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97681" w14:textId="77777777" w:rsidR="00880090" w:rsidRPr="007A210A" w:rsidRDefault="00880090"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eastAsia="ru-RU"/>
          <w14:ligatures w14:val="none"/>
        </w:rPr>
      </w:pPr>
    </w:p>
    <w:p w14:paraId="72142D12" w14:textId="77777777" w:rsidR="003474B6" w:rsidRPr="007A210A" w:rsidRDefault="003474B6"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eastAsia="ru-RU"/>
          <w14:ligatures w14:val="none"/>
        </w:rPr>
      </w:pPr>
      <w:r w:rsidRPr="007A210A">
        <w:rPr>
          <w:rFonts w:ascii="Times New Roman" w:eastAsia="Times New Roman" w:hAnsi="Times New Roman" w:cs="Times New Roman"/>
          <w:b/>
          <w:kern w:val="0"/>
          <w:sz w:val="24"/>
          <w:szCs w:val="24"/>
          <w:lang w:val="ro-RO" w:eastAsia="ru-RU"/>
          <w14:ligatures w14:val="none"/>
        </w:rPr>
        <w:t>SINTEZA</w:t>
      </w:r>
    </w:p>
    <w:p w14:paraId="0B11EF32" w14:textId="77777777" w:rsidR="003474B6" w:rsidRPr="007A210A" w:rsidRDefault="003474B6"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eastAsia="ru-RU"/>
          <w14:ligatures w14:val="none"/>
        </w:rPr>
      </w:pPr>
    </w:p>
    <w:p w14:paraId="4A121B1E" w14:textId="77777777" w:rsidR="003474B6" w:rsidRPr="007A210A" w:rsidRDefault="003474B6"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eastAsia="ru-RU"/>
          <w14:ligatures w14:val="none"/>
        </w:rPr>
      </w:pPr>
      <w:r w:rsidRPr="007A210A">
        <w:rPr>
          <w:rFonts w:ascii="Times New Roman" w:eastAsia="Times New Roman" w:hAnsi="Times New Roman" w:cs="Times New Roman"/>
          <w:b/>
          <w:kern w:val="0"/>
          <w:sz w:val="24"/>
          <w:szCs w:val="24"/>
          <w:lang w:val="ro-RO" w:eastAsia="ru-RU"/>
          <w14:ligatures w14:val="none"/>
        </w:rPr>
        <w:t xml:space="preserve">obiecțiilor și propunerilor (recomandărilor) </w:t>
      </w:r>
    </w:p>
    <w:p w14:paraId="30475CD7" w14:textId="1E7962B3" w:rsidR="003474B6" w:rsidRPr="007A210A" w:rsidRDefault="003474B6" w:rsidP="00ED24C1">
      <w:pPr>
        <w:spacing w:after="0" w:line="240" w:lineRule="auto"/>
        <w:jc w:val="center"/>
        <w:rPr>
          <w:rFonts w:ascii="Times New Roman" w:eastAsia="Times New Roman" w:hAnsi="Times New Roman" w:cs="Times New Roman"/>
          <w:b/>
          <w:kern w:val="0"/>
          <w:sz w:val="24"/>
          <w:szCs w:val="24"/>
          <w:lang w:val="ro-RO" w:eastAsia="ru-RU"/>
          <w14:ligatures w14:val="none"/>
        </w:rPr>
      </w:pPr>
      <w:r w:rsidRPr="007A210A">
        <w:rPr>
          <w:rFonts w:ascii="Times New Roman" w:eastAsia="Times New Roman" w:hAnsi="Times New Roman" w:cs="Times New Roman"/>
          <w:b/>
          <w:kern w:val="0"/>
          <w:sz w:val="24"/>
          <w:szCs w:val="24"/>
          <w:lang w:val="ro-RO" w:eastAsia="ru-RU"/>
          <w14:ligatures w14:val="none"/>
        </w:rPr>
        <w:t xml:space="preserve">la proiectul de hotărâre a Guvernului pentru aprobarea </w:t>
      </w:r>
      <w:r w:rsidR="00ED24C1" w:rsidRPr="00ED24C1">
        <w:rPr>
          <w:rFonts w:ascii="Times New Roman" w:eastAsia="Times New Roman" w:hAnsi="Times New Roman" w:cs="Times New Roman"/>
          <w:b/>
          <w:kern w:val="0"/>
          <w:sz w:val="24"/>
          <w:szCs w:val="24"/>
          <w:lang w:val="ro-RO" w:eastAsia="ru-RU"/>
          <w14:ligatures w14:val="none"/>
        </w:rPr>
        <w:t>proiectului de Lege pentru modificarea Legii 280/2011 privind protejarea patrimoniului cultural național mobil</w:t>
      </w:r>
    </w:p>
    <w:p w14:paraId="3CC16FA2" w14:textId="77777777" w:rsidR="003474B6" w:rsidRPr="007A210A" w:rsidRDefault="003474B6" w:rsidP="003474B6">
      <w:pPr>
        <w:spacing w:after="0" w:line="240" w:lineRule="auto"/>
        <w:jc w:val="center"/>
        <w:rPr>
          <w:rFonts w:ascii="Times New Roman" w:eastAsia="Times New Roman" w:hAnsi="Times New Roman" w:cs="Times New Roman"/>
          <w:b/>
          <w:kern w:val="0"/>
          <w:sz w:val="24"/>
          <w:szCs w:val="24"/>
          <w:lang w:val="ro-RO" w:eastAsia="ru-RU"/>
          <w14:ligatures w14:val="none"/>
        </w:rPr>
      </w:pPr>
    </w:p>
    <w:p w14:paraId="63E47749" w14:textId="77777777" w:rsidR="003474B6" w:rsidRPr="007A210A" w:rsidRDefault="003474B6" w:rsidP="003474B6">
      <w:pPr>
        <w:spacing w:after="0" w:line="240" w:lineRule="auto"/>
        <w:jc w:val="center"/>
        <w:rPr>
          <w:rFonts w:ascii="Times New Roman" w:eastAsia="Calibri" w:hAnsi="Times New Roman" w:cs="Times New Roman"/>
          <w:kern w:val="0"/>
          <w:sz w:val="24"/>
          <w:szCs w:val="24"/>
          <w:lang w:val="ro-RO"/>
          <w14:ligatures w14:val="none"/>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162"/>
        <w:gridCol w:w="5828"/>
        <w:gridCol w:w="5938"/>
      </w:tblGrid>
      <w:tr w:rsidR="003474B6" w:rsidRPr="007A210A" w14:paraId="4FD1B63C" w14:textId="77777777" w:rsidTr="00ED24C1">
        <w:tc>
          <w:tcPr>
            <w:tcW w:w="1668" w:type="dxa"/>
            <w:tcBorders>
              <w:top w:val="single" w:sz="4" w:space="0" w:color="auto"/>
              <w:left w:val="single" w:sz="4" w:space="0" w:color="auto"/>
              <w:bottom w:val="single" w:sz="4" w:space="0" w:color="auto"/>
              <w:right w:val="single" w:sz="4" w:space="0" w:color="auto"/>
            </w:tcBorders>
            <w:shd w:val="clear" w:color="auto" w:fill="FFFFFF"/>
            <w:hideMark/>
          </w:tcPr>
          <w:p w14:paraId="4EC118C4" w14:textId="77777777" w:rsidR="003474B6" w:rsidRPr="007A210A" w:rsidRDefault="003474B6"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 xml:space="preserve">Participantul la avizare (expertizare)/consultare publică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60DFEA99" w14:textId="77777777" w:rsidR="003474B6" w:rsidRPr="007A210A" w:rsidRDefault="003474B6"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Nr.pct.</w:t>
            </w:r>
          </w:p>
        </w:tc>
        <w:tc>
          <w:tcPr>
            <w:tcW w:w="5828" w:type="dxa"/>
            <w:tcBorders>
              <w:top w:val="single" w:sz="4" w:space="0" w:color="auto"/>
              <w:left w:val="single" w:sz="4" w:space="0" w:color="auto"/>
              <w:bottom w:val="single" w:sz="4" w:space="0" w:color="auto"/>
              <w:right w:val="single" w:sz="4" w:space="0" w:color="auto"/>
            </w:tcBorders>
            <w:shd w:val="clear" w:color="auto" w:fill="FFFFFF"/>
            <w:hideMark/>
          </w:tcPr>
          <w:p w14:paraId="0937CFCB" w14:textId="77777777" w:rsidR="003474B6" w:rsidRPr="007A210A" w:rsidRDefault="003474B6"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Conținutul obiecției/</w:t>
            </w:r>
          </w:p>
          <w:p w14:paraId="3D2B5AEA" w14:textId="77777777" w:rsidR="003474B6" w:rsidRPr="007A210A" w:rsidRDefault="003474B6"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propunerii (recomandării)</w:t>
            </w:r>
          </w:p>
        </w:tc>
        <w:tc>
          <w:tcPr>
            <w:tcW w:w="5938" w:type="dxa"/>
            <w:tcBorders>
              <w:top w:val="single" w:sz="4" w:space="0" w:color="auto"/>
              <w:left w:val="single" w:sz="4" w:space="0" w:color="auto"/>
              <w:bottom w:val="single" w:sz="4" w:space="0" w:color="auto"/>
              <w:right w:val="single" w:sz="4" w:space="0" w:color="auto"/>
            </w:tcBorders>
            <w:shd w:val="clear" w:color="auto" w:fill="FFFFFF"/>
            <w:hideMark/>
          </w:tcPr>
          <w:p w14:paraId="434B9761" w14:textId="77777777" w:rsidR="003474B6" w:rsidRPr="007A210A" w:rsidRDefault="003474B6"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 xml:space="preserve">Argumentarea </w:t>
            </w:r>
          </w:p>
          <w:p w14:paraId="45FB2BF2" w14:textId="77777777" w:rsidR="003474B6" w:rsidRPr="007A210A" w:rsidRDefault="003474B6"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autorului proiectului</w:t>
            </w:r>
          </w:p>
        </w:tc>
      </w:tr>
      <w:tr w:rsidR="008A3B8F" w:rsidRPr="00ED24C1" w14:paraId="5729638C" w14:textId="77777777" w:rsidTr="00ED24C1">
        <w:tc>
          <w:tcPr>
            <w:tcW w:w="1668" w:type="dxa"/>
            <w:vMerge w:val="restart"/>
            <w:tcBorders>
              <w:top w:val="single" w:sz="4" w:space="0" w:color="auto"/>
              <w:left w:val="single" w:sz="4" w:space="0" w:color="auto"/>
              <w:right w:val="single" w:sz="4" w:space="0" w:color="auto"/>
            </w:tcBorders>
            <w:shd w:val="clear" w:color="auto" w:fill="FFFFFF"/>
          </w:tcPr>
          <w:p w14:paraId="3B48F509"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Ministerul Afacerilor Interne</w:t>
            </w:r>
          </w:p>
          <w:p w14:paraId="78ED40EB"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(nr. 38/4633 din 13.10.2023</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40E071BB"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La pct. 6</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7D77DE3C" w14:textId="40264C3C" w:rsidR="008A3B8F" w:rsidRPr="007A210A" w:rsidRDefault="008A3B8F" w:rsidP="00450691">
            <w:pPr>
              <w:tabs>
                <w:tab w:val="left" w:pos="884"/>
                <w:tab w:val="left" w:pos="1196"/>
              </w:tabs>
              <w:spacing w:after="0" w:line="240" w:lineRule="auto"/>
              <w:jc w:val="both"/>
              <w:rPr>
                <w:rFonts w:ascii="Times New Roman" w:eastAsia="Times New Roman" w:hAnsi="Times New Roman" w:cs="Times New Roman"/>
                <w:b/>
                <w:kern w:val="0"/>
                <w:sz w:val="24"/>
                <w:szCs w:val="24"/>
                <w:lang w:val="ro-RO"/>
                <w14:ligatures w14:val="none"/>
              </w:rPr>
            </w:pPr>
            <w:r w:rsidRPr="007A210A">
              <w:rPr>
                <w:rFonts w:ascii="Times New Roman" w:hAnsi="Times New Roman" w:cs="Times New Roman"/>
                <w:sz w:val="24"/>
                <w:szCs w:val="24"/>
                <w:lang w:val="ro-RO"/>
              </w:rPr>
              <w:t xml:space="preserve">Potrivit pct. 6 al proiectului, se propune ca „pentru a coopera și a se consulta, Serviciul de evidență și circulație a bunurilor culturale mobile utilizează toate sistemele de evidență, la care Republica Moldova este parte.” Se precizează că textul „utilizează toate sistemele de evidență” este prea larg, iar Serviciul de evidență și circulație a bunurilor culturale mobile nu poate avea acces la toate sistemele de evidență, decât cele ce țin evidența bunurilor culturale sau au tangență cu această activitate. Din acest considerent se propune specificarea în proiect a denumirii generice a sistemului de evidență care va fi utilizat de către Serviciul de evidență și circulație a bunurilor culturale mobile. Respectiv, Directiva 2014/60/UE a Parlamentului European și a Consiliului din 15 mai 2014 privind restituirea obiectelor culturale care au părăsit ilegal teritoriul unui stat membru și de modificare a Regulamentului (UE) nr. 1024/2012 (Reformare), care este transpusă proiect, prevede expres în art. 5 „Pentru a coopera și a se consulta, autoritățile centrale ale statelor membre utilizează un modul al Sistemul de informare al pieței interne (IMI) instituit prin Regulamentul (UE) nr. 1024/2012, special conceput pentru obiecte culturale. Acestea pot de asemenea utiliza IMI pentru a difuza informații relevante de la caz la caz privind obiecte culturale furate sau care au părăsit ilegal </w:t>
            </w:r>
            <w:r w:rsidRPr="007A210A">
              <w:rPr>
                <w:rFonts w:ascii="Times New Roman" w:hAnsi="Times New Roman" w:cs="Times New Roman"/>
                <w:sz w:val="24"/>
                <w:szCs w:val="24"/>
                <w:lang w:val="ro-RO"/>
              </w:rPr>
              <w:lastRenderedPageBreak/>
              <w:t>teritoriul lor. Statele membre decid cu privire la utilizarea IMI de către celelalte autorități competente în sensul prezentei directive”.</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5C155A6E" w14:textId="77777777" w:rsidR="008A3B8F" w:rsidRPr="007A210A" w:rsidRDefault="00C8723F" w:rsidP="00C8723F">
            <w:pPr>
              <w:tabs>
                <w:tab w:val="left" w:pos="884"/>
                <w:tab w:val="left" w:pos="1196"/>
              </w:tabs>
              <w:spacing w:after="0" w:line="240" w:lineRule="auto"/>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lastRenderedPageBreak/>
              <w:t>Se acceptă.</w:t>
            </w:r>
          </w:p>
          <w:p w14:paraId="2EBCE02B" w14:textId="77777777" w:rsidR="00251971" w:rsidRDefault="00251971" w:rsidP="00251971">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57659EBA" w14:textId="703CCE2F" w:rsidR="00251971" w:rsidRDefault="00251971" w:rsidP="00C8723F">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Proiectul a fost amendat ca să incorporeze propunerea expusă.</w:t>
            </w:r>
          </w:p>
          <w:p w14:paraId="67BEE77E" w14:textId="18E9EAF9" w:rsidR="00251971" w:rsidRDefault="00251971" w:rsidP="00C8723F">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 xml:space="preserve">Proiectul a fost completat cu </w:t>
            </w:r>
            <w:r w:rsidRPr="00251971">
              <w:rPr>
                <w:rFonts w:ascii="Times New Roman" w:eastAsia="Times New Roman" w:hAnsi="Times New Roman" w:cs="Times New Roman"/>
                <w:bCs/>
                <w:kern w:val="0"/>
                <w:sz w:val="24"/>
                <w:szCs w:val="24"/>
                <w:lang w:val="ro-RO"/>
                <w14:ligatures w14:val="none"/>
              </w:rPr>
              <w:t>Articolul 25. Atribuțiile Serviciul de evidență și circulație a bunurilor culturale mobile în domeniul recuperării și restituirii patrimoniului cultural național mobil</w:t>
            </w:r>
            <w:r w:rsidR="00214EB3">
              <w:rPr>
                <w:rFonts w:ascii="Times New Roman" w:eastAsia="Times New Roman" w:hAnsi="Times New Roman" w:cs="Times New Roman"/>
                <w:bCs/>
                <w:kern w:val="0"/>
                <w:sz w:val="24"/>
                <w:szCs w:val="24"/>
                <w:lang w:val="ro-RO"/>
                <w14:ligatures w14:val="none"/>
              </w:rPr>
              <w:t xml:space="preserve">. Alineatul </w:t>
            </w:r>
            <w:r w:rsidR="00214EB3" w:rsidRPr="00214EB3">
              <w:rPr>
                <w:rFonts w:ascii="Times New Roman" w:eastAsia="Times New Roman" w:hAnsi="Times New Roman" w:cs="Times New Roman"/>
                <w:bCs/>
                <w:kern w:val="0"/>
                <w:sz w:val="24"/>
                <w:szCs w:val="24"/>
                <w:lang w:val="ro-RO"/>
                <w14:ligatures w14:val="none"/>
              </w:rPr>
              <w:t>(3)</w:t>
            </w:r>
            <w:r w:rsidR="00214EB3">
              <w:rPr>
                <w:rFonts w:ascii="Times New Roman" w:eastAsia="Times New Roman" w:hAnsi="Times New Roman" w:cs="Times New Roman"/>
                <w:bCs/>
                <w:kern w:val="0"/>
                <w:sz w:val="24"/>
                <w:szCs w:val="24"/>
                <w:lang w:val="ro-RO"/>
                <w14:ligatures w14:val="none"/>
              </w:rPr>
              <w:t xml:space="preserve"> stabilește că p</w:t>
            </w:r>
            <w:r w:rsidR="00214EB3" w:rsidRPr="00214EB3">
              <w:rPr>
                <w:rFonts w:ascii="Times New Roman" w:eastAsia="Times New Roman" w:hAnsi="Times New Roman" w:cs="Times New Roman"/>
                <w:bCs/>
                <w:kern w:val="0"/>
                <w:sz w:val="24"/>
                <w:szCs w:val="24"/>
                <w:lang w:val="ro-RO"/>
                <w14:ligatures w14:val="none"/>
              </w:rPr>
              <w:t>entru a coopera și a se consulta, Serviciul utilizează sistemele de evidență relevante pentru bunurile culturale mobile, inclusiv, dar nu limitat la, Sistemul de informare al pieței interne (IMI) și alte sisteme similare la care Republica Moldova este parte.</w:t>
            </w:r>
          </w:p>
          <w:p w14:paraId="7A9592B0" w14:textId="566B275E" w:rsidR="00C8723F" w:rsidRPr="007A210A" w:rsidRDefault="00891F24" w:rsidP="00C22C7B">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 xml:space="preserve">Totodată, art. 30 a fost completat cu </w:t>
            </w:r>
            <w:r w:rsidR="00AA0756">
              <w:rPr>
                <w:rFonts w:ascii="Times New Roman" w:eastAsia="Times New Roman" w:hAnsi="Times New Roman" w:cs="Times New Roman"/>
                <w:bCs/>
                <w:kern w:val="0"/>
                <w:sz w:val="24"/>
                <w:szCs w:val="24"/>
                <w:lang w:val="ro-RO"/>
                <w14:ligatures w14:val="none"/>
              </w:rPr>
              <w:t xml:space="preserve">alin. </w:t>
            </w:r>
            <w:r w:rsidR="00AA0756" w:rsidRPr="00AA0756">
              <w:rPr>
                <w:rFonts w:ascii="Times New Roman" w:eastAsia="Times New Roman" w:hAnsi="Times New Roman" w:cs="Times New Roman"/>
                <w:bCs/>
                <w:kern w:val="0"/>
                <w:sz w:val="24"/>
                <w:szCs w:val="24"/>
                <w:lang w:val="ro-RO"/>
                <w14:ligatures w14:val="none"/>
              </w:rPr>
              <w:t xml:space="preserve">(6) </w:t>
            </w:r>
            <w:r w:rsidR="005219A5">
              <w:rPr>
                <w:rFonts w:ascii="Times New Roman" w:eastAsia="Times New Roman" w:hAnsi="Times New Roman" w:cs="Times New Roman"/>
                <w:bCs/>
                <w:kern w:val="0"/>
                <w:sz w:val="24"/>
                <w:szCs w:val="24"/>
                <w:lang w:val="ro-RO"/>
                <w14:ligatures w14:val="none"/>
              </w:rPr>
              <w:t>care prevede că d</w:t>
            </w:r>
            <w:r w:rsidR="00AA0756" w:rsidRPr="00AA0756">
              <w:rPr>
                <w:rFonts w:ascii="Times New Roman" w:eastAsia="Times New Roman" w:hAnsi="Times New Roman" w:cs="Times New Roman"/>
                <w:bCs/>
                <w:kern w:val="0"/>
                <w:sz w:val="24"/>
                <w:szCs w:val="24"/>
                <w:lang w:val="ro-RO"/>
                <w14:ligatures w14:val="none"/>
              </w:rPr>
              <w:t xml:space="preserve">e la data aderării Republicii Moldova la Uniunea Europeană, Serviciul de evidență și circulație a bunurilor culturale mobile va utiliza în mod obligatoriu Sistemul de informare al pieței interne (IMI) instituit prin Regulamentul (UE) nr. 1024/2012, special conceput pentru obiecte culturale, în conformitate cu Directiva 2014/60/UE </w:t>
            </w:r>
            <w:r w:rsidR="00AA0756" w:rsidRPr="00AA0756">
              <w:rPr>
                <w:rFonts w:ascii="Times New Roman" w:eastAsia="Times New Roman" w:hAnsi="Times New Roman" w:cs="Times New Roman"/>
                <w:bCs/>
                <w:kern w:val="0"/>
                <w:sz w:val="24"/>
                <w:szCs w:val="24"/>
                <w:lang w:val="ro-RO"/>
                <w14:ligatures w14:val="none"/>
              </w:rPr>
              <w:lastRenderedPageBreak/>
              <w:t>a Parlamentului European și a Consiliului din 15 mai 2014 privind restituirea obiectelor culturale care au părăsit ilegal teritoriul unui stat membru și de modificare a Regulamentului (UE) nr. 1024/2012 (Reformare).”</w:t>
            </w:r>
          </w:p>
        </w:tc>
      </w:tr>
      <w:tr w:rsidR="008A3B8F" w:rsidRPr="00ED24C1" w14:paraId="10B09980" w14:textId="77777777" w:rsidTr="00ED24C1">
        <w:tc>
          <w:tcPr>
            <w:tcW w:w="1668" w:type="dxa"/>
            <w:vMerge/>
            <w:tcBorders>
              <w:left w:val="single" w:sz="4" w:space="0" w:color="auto"/>
              <w:bottom w:val="single" w:sz="4" w:space="0" w:color="auto"/>
              <w:right w:val="single" w:sz="4" w:space="0" w:color="auto"/>
            </w:tcBorders>
            <w:shd w:val="clear" w:color="auto" w:fill="FFFFFF"/>
          </w:tcPr>
          <w:p w14:paraId="69DCC434"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555FF0A1"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57F53389" w14:textId="4E907A9E" w:rsidR="008A3B8F" w:rsidRPr="007A210A" w:rsidRDefault="008A3B8F" w:rsidP="00C8723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De asemenea, se menționează că proiectul Regulamentului nu conține norme ce</w:t>
            </w:r>
            <w:r w:rsidR="00C8723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reglementează modalitatea de interacțiune a Serviciului cu alte state și asigurarea</w:t>
            </w:r>
            <w:r w:rsidR="00C8723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protecției datelor cu caracter personal, clauză pe care o considerăm obligatorie în</w:t>
            </w:r>
            <w:r w:rsidR="00C8723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relațiile de cooperare pentru restituirea bunurilor culturale și impusă de prevederile art.</w:t>
            </w:r>
            <w:r w:rsidR="00C8723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7 din Directivă, care prevede „Schimbul de informații se efectuează prin intermediul</w:t>
            </w:r>
            <w:r w:rsidR="00C8723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IMI, în conformitate cu dispozițiile legale aplicabile privind protecția datelor cu</w:t>
            </w:r>
            <w:r w:rsidR="00C8723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caracter personal și a vieții private, fără a aduce atingere posibilității ca autoritățile</w:t>
            </w:r>
            <w:r w:rsidR="00C8723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centrale competente să utilizeze alte mijloace de comunicare în afara IMI”.</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4AB926A6" w14:textId="77777777" w:rsidR="008A3B8F" w:rsidRPr="007A210A" w:rsidRDefault="00944510" w:rsidP="00944510">
            <w:pPr>
              <w:tabs>
                <w:tab w:val="left" w:pos="884"/>
                <w:tab w:val="left" w:pos="1196"/>
              </w:tabs>
              <w:spacing w:after="0" w:line="240" w:lineRule="auto"/>
              <w:jc w:val="both"/>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Se acceptă.</w:t>
            </w:r>
          </w:p>
          <w:p w14:paraId="6B98C1C5" w14:textId="77777777" w:rsidR="00603267" w:rsidRDefault="00603267" w:rsidP="00603267">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74C6FBA3" w14:textId="7CE943FD" w:rsidR="00944510" w:rsidRPr="007A210A" w:rsidRDefault="00603267" w:rsidP="00944510">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 xml:space="preserve">În urma reconceptualizării, </w:t>
            </w:r>
            <w:r w:rsidR="00F73515">
              <w:rPr>
                <w:rFonts w:ascii="Times New Roman" w:eastAsia="Times New Roman" w:hAnsi="Times New Roman" w:cs="Times New Roman"/>
                <w:bCs/>
                <w:kern w:val="0"/>
                <w:sz w:val="24"/>
                <w:szCs w:val="24"/>
                <w:lang w:val="ro-RO"/>
                <w14:ligatures w14:val="none"/>
              </w:rPr>
              <w:t xml:space="preserve">au fost incluse prevederile alin. (4) și (5) ale art. 25 care stabilesc că </w:t>
            </w:r>
            <w:r w:rsidR="00F73515" w:rsidRPr="00F73515">
              <w:rPr>
                <w:rFonts w:ascii="Times New Roman" w:eastAsia="Times New Roman" w:hAnsi="Times New Roman" w:cs="Times New Roman"/>
                <w:bCs/>
                <w:kern w:val="0"/>
                <w:sz w:val="24"/>
                <w:szCs w:val="24"/>
                <w:lang w:val="ro-RO"/>
                <w14:ligatures w14:val="none"/>
              </w:rPr>
              <w:t>(4) Schimbul de informații între Serviciu și autoritățile competente ale statelor membre ale Uniunii Europene se va realiza în conformitate cu dispozițiile legale aplicabile privind protecția datelor cu caracter personal și a vieții private</w:t>
            </w:r>
            <w:r w:rsidR="00F73515">
              <w:rPr>
                <w:rFonts w:ascii="Times New Roman" w:eastAsia="Times New Roman" w:hAnsi="Times New Roman" w:cs="Times New Roman"/>
                <w:bCs/>
                <w:kern w:val="0"/>
                <w:sz w:val="24"/>
                <w:szCs w:val="24"/>
                <w:lang w:val="ro-RO"/>
                <w14:ligatures w14:val="none"/>
              </w:rPr>
              <w:t xml:space="preserve">; și </w:t>
            </w:r>
            <w:r w:rsidR="00F73515" w:rsidRPr="00F73515">
              <w:rPr>
                <w:rFonts w:ascii="Times New Roman" w:eastAsia="Times New Roman" w:hAnsi="Times New Roman" w:cs="Times New Roman"/>
                <w:bCs/>
                <w:kern w:val="0"/>
                <w:sz w:val="24"/>
                <w:szCs w:val="24"/>
                <w:lang w:val="ro-RO"/>
                <w14:ligatures w14:val="none"/>
              </w:rPr>
              <w:t>(5) Serviciul va asigura că toate datele cu caracter personal procesate în cadrul procedurilor de restituire a bunurilor culturale sunt tratate în conformitate cu prevederile legale privind confidențialitatea și protecția datelor, inclusiv prin aplicarea măsurilor tehnice și organizatorice adecvate pentru protejarea acestor date împotriva accesului neautorizat, pierderii sau distrugerii.”</w:t>
            </w:r>
          </w:p>
        </w:tc>
      </w:tr>
      <w:tr w:rsidR="008A3B8F" w:rsidRPr="00ED24C1" w14:paraId="21CEAF56" w14:textId="77777777" w:rsidTr="00ED24C1">
        <w:tc>
          <w:tcPr>
            <w:tcW w:w="1668" w:type="dxa"/>
            <w:vMerge w:val="restart"/>
            <w:tcBorders>
              <w:top w:val="single" w:sz="4" w:space="0" w:color="auto"/>
              <w:left w:val="single" w:sz="4" w:space="0" w:color="auto"/>
              <w:right w:val="single" w:sz="4" w:space="0" w:color="auto"/>
            </w:tcBorders>
            <w:shd w:val="clear" w:color="auto" w:fill="FFFFFF"/>
          </w:tcPr>
          <w:p w14:paraId="61FD6B96"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Ministerul Finanțelor</w:t>
            </w:r>
          </w:p>
          <w:p w14:paraId="52153A26"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 nr. 07/1-03/114/1581din 27.10.2023</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1364A9C9"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De ordin general</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77E126B5" w14:textId="61FE45B2" w:rsidR="008A3B8F" w:rsidRPr="007A210A" w:rsidRDefault="008A3B8F" w:rsidP="00C8723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Autorul proiectului urmează să se determine dacă proiectul înaintat are aplicabilitate doar</w:t>
            </w:r>
            <w:r w:rsidR="00C8723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asupra bunurilor, care au părăsit ilegal teritoriul Republicii Moldova și a unui stat membru al Uniunii Europene sau acest lucru s-a produs în orice stat. În această ordine de idei menționăm că, la noțiunea „părăsirea ilegală a teritoriului unui stat” din pct.3 și în alte prevederi (de ex., în pct.1) se indică părăsirea ilegală a teritoriului Republicii Moldova sau a unui stat al Uniunii Europene, iar la noțiunea „stat solicitant” deja se indică că solicitant poate fi orice stat (chiar și în afara Uniunii Europene), al cărui obiect cultural a părăsit ilegal teritoriul său.</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49770B50" w14:textId="4F5B420D" w:rsidR="008A3B8F" w:rsidRPr="007A210A" w:rsidRDefault="00A16421" w:rsidP="00B54663">
            <w:pPr>
              <w:tabs>
                <w:tab w:val="left" w:pos="884"/>
                <w:tab w:val="left" w:pos="1196"/>
              </w:tabs>
              <w:spacing w:after="0" w:line="240" w:lineRule="auto"/>
              <w:jc w:val="both"/>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Se acceptă.</w:t>
            </w:r>
          </w:p>
          <w:p w14:paraId="6CFEDACA" w14:textId="77777777" w:rsidR="00274ADB" w:rsidRDefault="00274ADB" w:rsidP="00274ADB">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1EDA30DC" w14:textId="1DA17CD1" w:rsidR="00B54663" w:rsidRPr="007A210A" w:rsidRDefault="00274ADB" w:rsidP="00B54663">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 xml:space="preserve">Proiectul este aplicabil </w:t>
            </w:r>
            <w:r w:rsidR="00B54663" w:rsidRPr="007A210A">
              <w:rPr>
                <w:rFonts w:ascii="Times New Roman" w:eastAsia="Times New Roman" w:hAnsi="Times New Roman" w:cs="Times New Roman"/>
                <w:bCs/>
                <w:kern w:val="0"/>
                <w:sz w:val="24"/>
                <w:szCs w:val="24"/>
                <w:lang w:val="ro-RO"/>
                <w14:ligatures w14:val="none"/>
              </w:rPr>
              <w:t>doar bunurilor, care au părăsit ilegal teritoriul Republicii Moldova și a unui stat membr</w:t>
            </w:r>
            <w:r w:rsidR="00504730">
              <w:rPr>
                <w:rFonts w:ascii="Times New Roman" w:eastAsia="Times New Roman" w:hAnsi="Times New Roman" w:cs="Times New Roman"/>
                <w:bCs/>
                <w:kern w:val="0"/>
                <w:sz w:val="24"/>
                <w:szCs w:val="24"/>
                <w:lang w:val="ro-RO"/>
                <w14:ligatures w14:val="none"/>
              </w:rPr>
              <w:t>u</w:t>
            </w:r>
            <w:r w:rsidR="00B54663" w:rsidRPr="007A210A">
              <w:rPr>
                <w:rFonts w:ascii="Times New Roman" w:eastAsia="Times New Roman" w:hAnsi="Times New Roman" w:cs="Times New Roman"/>
                <w:bCs/>
                <w:kern w:val="0"/>
                <w:sz w:val="24"/>
                <w:szCs w:val="24"/>
                <w:lang w:val="ro-RO"/>
                <w14:ligatures w14:val="none"/>
              </w:rPr>
              <w:t xml:space="preserve"> al UE.</w:t>
            </w:r>
          </w:p>
          <w:p w14:paraId="0E8E77EE" w14:textId="3765FE42" w:rsidR="00393136" w:rsidRPr="007A210A" w:rsidRDefault="00B54663" w:rsidP="00B54663">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7A210A">
              <w:rPr>
                <w:rFonts w:ascii="Times New Roman" w:eastAsia="Times New Roman" w:hAnsi="Times New Roman" w:cs="Times New Roman"/>
                <w:bCs/>
                <w:kern w:val="0"/>
                <w:sz w:val="24"/>
                <w:szCs w:val="24"/>
                <w:lang w:val="ro-RO"/>
                <w14:ligatures w14:val="none"/>
              </w:rPr>
              <w:t xml:space="preserve">Noțiunile din </w:t>
            </w:r>
            <w:r w:rsidR="00F44C67">
              <w:rPr>
                <w:rFonts w:ascii="Times New Roman" w:eastAsia="Times New Roman" w:hAnsi="Times New Roman" w:cs="Times New Roman"/>
                <w:bCs/>
                <w:kern w:val="0"/>
                <w:sz w:val="24"/>
                <w:szCs w:val="24"/>
                <w:lang w:val="ro-RO"/>
                <w14:ligatures w14:val="none"/>
              </w:rPr>
              <w:t>art. 2 al proiectului</w:t>
            </w:r>
            <w:r w:rsidRPr="007A210A">
              <w:rPr>
                <w:rFonts w:ascii="Times New Roman" w:eastAsia="Times New Roman" w:hAnsi="Times New Roman" w:cs="Times New Roman"/>
                <w:bCs/>
                <w:kern w:val="0"/>
                <w:sz w:val="24"/>
                <w:szCs w:val="24"/>
                <w:lang w:val="ro-RO"/>
                <w14:ligatures w14:val="none"/>
              </w:rPr>
              <w:t xml:space="preserve"> au fost ajustate </w:t>
            </w:r>
            <w:r w:rsidR="00C24B32" w:rsidRPr="007A210A">
              <w:rPr>
                <w:rFonts w:ascii="Times New Roman" w:eastAsia="Times New Roman" w:hAnsi="Times New Roman" w:cs="Times New Roman"/>
                <w:bCs/>
                <w:kern w:val="0"/>
                <w:sz w:val="24"/>
                <w:szCs w:val="24"/>
                <w:lang w:val="ro-RO"/>
                <w14:ligatures w14:val="none"/>
              </w:rPr>
              <w:t xml:space="preserve">conform </w:t>
            </w:r>
            <w:r w:rsidRPr="007A210A">
              <w:rPr>
                <w:rFonts w:ascii="Times New Roman" w:eastAsia="Times New Roman" w:hAnsi="Times New Roman" w:cs="Times New Roman"/>
                <w:bCs/>
                <w:kern w:val="0"/>
                <w:sz w:val="24"/>
                <w:szCs w:val="24"/>
                <w:lang w:val="ro-RO"/>
                <w14:ligatures w14:val="none"/>
              </w:rPr>
              <w:t>raționamentului menționat supra.</w:t>
            </w:r>
            <w:r w:rsidR="00393136" w:rsidRPr="007A210A">
              <w:rPr>
                <w:rFonts w:ascii="Times New Roman" w:eastAsia="Times New Roman" w:hAnsi="Times New Roman" w:cs="Times New Roman"/>
                <w:bCs/>
                <w:kern w:val="0"/>
                <w:sz w:val="24"/>
                <w:szCs w:val="24"/>
                <w:lang w:val="ro-RO"/>
                <w14:ligatures w14:val="none"/>
              </w:rPr>
              <w:t xml:space="preserve"> Aceste modificări vor asigura coerența și claritatea definițiilor, prevenind interpretările eronate și asigurând o aplicare uniformă a </w:t>
            </w:r>
            <w:r w:rsidR="00393136" w:rsidRPr="007A210A">
              <w:rPr>
                <w:rFonts w:ascii="Times New Roman" w:eastAsia="Times New Roman" w:hAnsi="Times New Roman" w:cs="Times New Roman"/>
                <w:bCs/>
                <w:kern w:val="0"/>
                <w:sz w:val="24"/>
                <w:szCs w:val="24"/>
                <w:lang w:val="ro-RO"/>
                <w14:ligatures w14:val="none"/>
              </w:rPr>
              <w:lastRenderedPageBreak/>
              <w:t>regulamentului.</w:t>
            </w:r>
          </w:p>
          <w:p w14:paraId="1396F8AD" w14:textId="04640C78" w:rsidR="00B54663" w:rsidRPr="007A210A" w:rsidRDefault="00B54663" w:rsidP="00B54663">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tc>
      </w:tr>
      <w:tr w:rsidR="008A3B8F" w:rsidRPr="006D7777" w14:paraId="17BD929A" w14:textId="77777777" w:rsidTr="00ED24C1">
        <w:tc>
          <w:tcPr>
            <w:tcW w:w="1668" w:type="dxa"/>
            <w:vMerge/>
            <w:tcBorders>
              <w:left w:val="single" w:sz="4" w:space="0" w:color="auto"/>
              <w:right w:val="single" w:sz="4" w:space="0" w:color="auto"/>
            </w:tcBorders>
            <w:shd w:val="clear" w:color="auto" w:fill="FFFFFF"/>
          </w:tcPr>
          <w:p w14:paraId="11292959"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323EA29"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La proiectul de hotărâre</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46BD3B2E" w14:textId="29AF5769"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Temeiul de adoptare a actului normativ se propune de completat cu art.27 din Legea</w:t>
            </w:r>
            <w:r w:rsidR="006D77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privind protejarea patrimoniului cultural național mobil nr.280/2011.</w:t>
            </w:r>
          </w:p>
          <w:p w14:paraId="4348C427" w14:textId="64C47E84"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Ținând cont de noțiunile prevăzute în art.2 și prevederile art.27 din Legea privind</w:t>
            </w:r>
            <w:r w:rsidR="00393136"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protejarea patrimoniului cultural național mobil nr.280/2011, denumirea proiectului se va expune</w:t>
            </w:r>
            <w:r w:rsidR="00393136"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în redacția următoare:</w:t>
            </w:r>
            <w:r w:rsidR="00393136"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„pentru aprobarea Regulamentului privind restituirea bunurilor culturale mobile scoase</w:t>
            </w:r>
            <w:r w:rsidR="00393136"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ilegal de pe teritoriul unui stat”.</w:t>
            </w:r>
          </w:p>
          <w:p w14:paraId="5999F524" w14:textId="77777777"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p>
          <w:p w14:paraId="025E5247" w14:textId="77777777"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La pct.1 se vor efectua modificările corespunzătoare.</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2E3E2B9B" w14:textId="1E77E65A" w:rsidR="008A3B8F" w:rsidRPr="007A210A" w:rsidRDefault="006D7777" w:rsidP="00393136">
            <w:pPr>
              <w:tabs>
                <w:tab w:val="left" w:pos="884"/>
                <w:tab w:val="left" w:pos="1196"/>
              </w:tabs>
              <w:spacing w:after="0" w:line="240" w:lineRule="auto"/>
              <w:jc w:val="both"/>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t>Se acceptă</w:t>
            </w:r>
            <w:r w:rsidR="00393136" w:rsidRPr="007A210A">
              <w:rPr>
                <w:rFonts w:ascii="Times New Roman" w:eastAsia="Times New Roman" w:hAnsi="Times New Roman" w:cs="Times New Roman"/>
                <w:b/>
                <w:kern w:val="0"/>
                <w:sz w:val="24"/>
                <w:szCs w:val="24"/>
                <w:lang w:val="ro-RO"/>
                <w14:ligatures w14:val="none"/>
              </w:rPr>
              <w:t>.</w:t>
            </w:r>
          </w:p>
          <w:p w14:paraId="59FC5CE1" w14:textId="77777777" w:rsidR="004B4CA4" w:rsidRDefault="004B4CA4" w:rsidP="004B4CA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77872C5B" w14:textId="7B01B9F8" w:rsidR="00393136" w:rsidRPr="007A210A" w:rsidRDefault="00393136" w:rsidP="00393136">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7A210A">
              <w:rPr>
                <w:rFonts w:ascii="Times New Roman" w:eastAsia="Times New Roman" w:hAnsi="Times New Roman" w:cs="Times New Roman"/>
                <w:bCs/>
                <w:kern w:val="0"/>
                <w:sz w:val="24"/>
                <w:szCs w:val="24"/>
                <w:lang w:val="ro-RO"/>
                <w14:ligatures w14:val="none"/>
              </w:rPr>
              <w:t xml:space="preserve">Pentru a asigura coerența între prevederile </w:t>
            </w:r>
            <w:r w:rsidR="004008C4">
              <w:rPr>
                <w:rFonts w:ascii="Times New Roman" w:eastAsia="Times New Roman" w:hAnsi="Times New Roman" w:cs="Times New Roman"/>
                <w:bCs/>
                <w:kern w:val="0"/>
                <w:sz w:val="24"/>
                <w:szCs w:val="24"/>
                <w:lang w:val="ro-RO"/>
                <w14:ligatures w14:val="none"/>
              </w:rPr>
              <w:t>proiectului</w:t>
            </w:r>
            <w:r w:rsidRPr="007A210A">
              <w:rPr>
                <w:rFonts w:ascii="Times New Roman" w:eastAsia="Times New Roman" w:hAnsi="Times New Roman" w:cs="Times New Roman"/>
                <w:bCs/>
                <w:kern w:val="0"/>
                <w:sz w:val="24"/>
                <w:szCs w:val="24"/>
                <w:lang w:val="ro-RO"/>
                <w14:ligatures w14:val="none"/>
              </w:rPr>
              <w:t xml:space="preserve"> și cerințele directivei europene, facilitând o implementare corectă și eficientă, denumirea a fost ajustat</w:t>
            </w:r>
            <w:r w:rsidR="006D7777">
              <w:rPr>
                <w:rFonts w:ascii="Times New Roman" w:eastAsia="Times New Roman" w:hAnsi="Times New Roman" w:cs="Times New Roman"/>
                <w:bCs/>
                <w:kern w:val="0"/>
                <w:sz w:val="24"/>
                <w:szCs w:val="24"/>
                <w:lang w:val="ro-RO"/>
                <w14:ligatures w14:val="none"/>
              </w:rPr>
              <w:t>ă</w:t>
            </w:r>
            <w:r w:rsidRPr="007A210A">
              <w:rPr>
                <w:rFonts w:ascii="Times New Roman" w:eastAsia="Times New Roman" w:hAnsi="Times New Roman" w:cs="Times New Roman"/>
                <w:bCs/>
                <w:kern w:val="0"/>
                <w:sz w:val="24"/>
                <w:szCs w:val="24"/>
                <w:lang w:val="ro-RO"/>
                <w14:ligatures w14:val="none"/>
              </w:rPr>
              <w:t xml:space="preserve"> corespunzător.</w:t>
            </w:r>
          </w:p>
        </w:tc>
      </w:tr>
      <w:tr w:rsidR="008A3B8F" w:rsidRPr="004008C4" w14:paraId="1C965449" w14:textId="77777777" w:rsidTr="00ED24C1">
        <w:tc>
          <w:tcPr>
            <w:tcW w:w="1668" w:type="dxa"/>
            <w:vMerge/>
            <w:tcBorders>
              <w:left w:val="single" w:sz="4" w:space="0" w:color="auto"/>
              <w:bottom w:val="single" w:sz="4" w:space="0" w:color="auto"/>
              <w:right w:val="single" w:sz="4" w:space="0" w:color="auto"/>
            </w:tcBorders>
            <w:shd w:val="clear" w:color="auto" w:fill="FFFFFF"/>
          </w:tcPr>
          <w:p w14:paraId="5EADEBF2"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51418020"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La proiectul Regulamentului</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36B99A7D" w14:textId="5314572A"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Pe tot cuprinsul proiectului Regulamentului se propune de substituit cuvintele „bunuri</w:t>
            </w:r>
            <w:r w:rsidR="00AA79D6"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culturale”, „obiecte” și „obiecte culturale” cu sintagma „bunuri culturale mobile”, iar cuvintele „care au părăsit ilegal” se vor substitui cu cuvintele „scoase ilegal” la forma gramaticală corespunzătoare.</w:t>
            </w:r>
          </w:p>
          <w:p w14:paraId="09688C7F" w14:textId="77777777"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p>
          <w:p w14:paraId="34C1F279" w14:textId="7C58A54F"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Ținând cont că, legislația vamală (inclusiv reglementările Codului vamal nr.95/2021 care</w:t>
            </w:r>
            <w:r w:rsidR="00AA79D6"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vor intra în vigoare la 1 ianuarie 2024) operează cu noțiuni precum: „introducere”, „scoatere” sau „importul” și „exportul” mărfurilor, totodată reieșind din obiecțiile expuse la proiectul de hotărâre, la pct.3 din Regulament se înaintează următoarele propuneri, după cum urmează:</w:t>
            </w:r>
          </w:p>
          <w:p w14:paraId="0F7FCE0C" w14:textId="77777777"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noțiunea „părăsire ilegală de pe teritoriul unui stat” de substituit cu noțiunea de</w:t>
            </w:r>
          </w:p>
          <w:p w14:paraId="35105DC7" w14:textId="77777777"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„scoaterea ilegală de pe teritoriul unui stat” cu următorul cuprins:</w:t>
            </w:r>
          </w:p>
          <w:p w14:paraId="47894E46" w14:textId="649ACE56"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„scoaterea ilegală de pe teritoriul unui stat – scoaterea bunurilor culturale mobile de pe</w:t>
            </w:r>
            <w:r w:rsidR="00AA79D6"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teritoriul Republicii Moldova sau a unui stat membru al Uniunii Europene, cu încălcarea</w:t>
            </w:r>
            <w:r w:rsidR="00AA79D6"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legislației acestora în domeniul protecției patrimoniului cultural național mobil, nereturnarea la sfârșitul scoaterii temporare legale, sau orice încălcare a uneia din condițiile scoaterii temporare;”;</w:t>
            </w:r>
          </w:p>
          <w:p w14:paraId="798CA9AB" w14:textId="77777777"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lastRenderedPageBreak/>
              <w:t>- la noțiunea „posesor” cuvântul „persoană” de completat cu textul „(fizică sau juridică)”;</w:t>
            </w:r>
          </w:p>
          <w:p w14:paraId="137BAE73" w14:textId="406F6EE9"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la noțiunea „deținător” cuvintele „persoana fizică sau juridică ce deține” de substituit cu</w:t>
            </w:r>
            <w:r w:rsidR="00AA79D6"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cuvintele „persoana (fizică sau juridică) care deține”.</w:t>
            </w:r>
          </w:p>
          <w:p w14:paraId="0AE03BF6" w14:textId="77777777"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Modificările corespunzătoare se vor efectua în tot cuprinsul proiectului Regulamentului.</w:t>
            </w:r>
          </w:p>
          <w:p w14:paraId="5768F919" w14:textId="77777777"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p>
          <w:p w14:paraId="71291EC7" w14:textId="77777777" w:rsidR="008A3B8F" w:rsidRPr="007A210A" w:rsidRDefault="008A3B8F"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Prevederile pct.9 se propun de exclus, deoarece un minister nu este abilitat cu dreptul de a examina eficacitatea unui Regulament, aprobat prin hotărâre de Guvern.</w:t>
            </w:r>
          </w:p>
          <w:p w14:paraId="694EC8A5" w14:textId="0172CB25" w:rsidR="008A3B8F" w:rsidRPr="007A210A" w:rsidRDefault="008A3B8F" w:rsidP="00AA79D6">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Totodată, pentru a nu admite cheltuieli de la bugetul de stat, se propune ca plata</w:t>
            </w:r>
            <w:r w:rsidR="00AA79D6"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despăgubirii și a cheltuielilor (de la pct.17 și pct.18) să fie încasate direct din contul persoanei, care a scos ilegal bunul, dar să nu fie suportate inițial de către statul solicitant.</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6586714D" w14:textId="58348014" w:rsidR="008A3B8F" w:rsidRPr="007A210A" w:rsidRDefault="006D7777" w:rsidP="009E0964">
            <w:pPr>
              <w:tabs>
                <w:tab w:val="left" w:pos="884"/>
                <w:tab w:val="left" w:pos="1196"/>
              </w:tabs>
              <w:spacing w:after="0" w:line="240" w:lineRule="auto"/>
              <w:jc w:val="both"/>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lastRenderedPageBreak/>
              <w:t>Se acceptă</w:t>
            </w:r>
            <w:r w:rsidR="009E0964" w:rsidRPr="007A210A">
              <w:rPr>
                <w:rFonts w:ascii="Times New Roman" w:eastAsia="Times New Roman" w:hAnsi="Times New Roman" w:cs="Times New Roman"/>
                <w:b/>
                <w:kern w:val="0"/>
                <w:sz w:val="24"/>
                <w:szCs w:val="24"/>
                <w:lang w:val="ro-RO"/>
                <w14:ligatures w14:val="none"/>
              </w:rPr>
              <w:t>.</w:t>
            </w:r>
          </w:p>
          <w:p w14:paraId="1EFE2B43" w14:textId="77777777" w:rsidR="004B4CA4" w:rsidRDefault="004B4CA4" w:rsidP="004B4CA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622A0A44" w14:textId="5EF7BA16" w:rsidR="009E0964" w:rsidRPr="007A210A" w:rsidRDefault="009E0964"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7A210A">
              <w:rPr>
                <w:rFonts w:ascii="Times New Roman" w:eastAsia="Times New Roman" w:hAnsi="Times New Roman" w:cs="Times New Roman"/>
                <w:bCs/>
                <w:kern w:val="0"/>
                <w:sz w:val="24"/>
                <w:szCs w:val="24"/>
                <w:lang w:val="ro-RO"/>
                <w14:ligatures w14:val="none"/>
              </w:rPr>
              <w:t xml:space="preserve">Pentru a asigura coerența între prevederile </w:t>
            </w:r>
            <w:r w:rsidR="004B4CA4">
              <w:rPr>
                <w:rFonts w:ascii="Times New Roman" w:eastAsia="Times New Roman" w:hAnsi="Times New Roman" w:cs="Times New Roman"/>
                <w:bCs/>
                <w:kern w:val="0"/>
                <w:sz w:val="24"/>
                <w:szCs w:val="24"/>
                <w:lang w:val="ro-RO"/>
                <w14:ligatures w14:val="none"/>
              </w:rPr>
              <w:t>proiectului</w:t>
            </w:r>
            <w:r w:rsidRPr="007A210A">
              <w:rPr>
                <w:rFonts w:ascii="Times New Roman" w:eastAsia="Times New Roman" w:hAnsi="Times New Roman" w:cs="Times New Roman"/>
                <w:bCs/>
                <w:kern w:val="0"/>
                <w:sz w:val="24"/>
                <w:szCs w:val="24"/>
                <w:lang w:val="ro-RO"/>
                <w14:ligatures w14:val="none"/>
              </w:rPr>
              <w:t xml:space="preserve"> și cerințele directivei europene, facilitând o implementare corectă și eficientă, noțiunile au fost ajustate</w:t>
            </w:r>
            <w:r w:rsidR="00B8795D" w:rsidRPr="007A210A">
              <w:rPr>
                <w:rFonts w:ascii="Times New Roman" w:eastAsia="Times New Roman" w:hAnsi="Times New Roman" w:cs="Times New Roman"/>
                <w:bCs/>
                <w:kern w:val="0"/>
                <w:sz w:val="24"/>
                <w:szCs w:val="24"/>
                <w:lang w:val="ro-RO"/>
                <w14:ligatures w14:val="none"/>
              </w:rPr>
              <w:t xml:space="preserve">, inclusiv pe tot parcursul </w:t>
            </w:r>
            <w:r w:rsidR="006D7777">
              <w:rPr>
                <w:rFonts w:ascii="Times New Roman" w:eastAsia="Times New Roman" w:hAnsi="Times New Roman" w:cs="Times New Roman"/>
                <w:bCs/>
                <w:kern w:val="0"/>
                <w:sz w:val="24"/>
                <w:szCs w:val="24"/>
                <w:lang w:val="ro-RO"/>
                <w14:ligatures w14:val="none"/>
              </w:rPr>
              <w:t>legii</w:t>
            </w:r>
            <w:r w:rsidR="00B8795D" w:rsidRPr="007A210A">
              <w:rPr>
                <w:rFonts w:ascii="Times New Roman" w:eastAsia="Times New Roman" w:hAnsi="Times New Roman" w:cs="Times New Roman"/>
                <w:bCs/>
                <w:kern w:val="0"/>
                <w:sz w:val="24"/>
                <w:szCs w:val="24"/>
                <w:lang w:val="ro-RO"/>
                <w14:ligatures w14:val="none"/>
              </w:rPr>
              <w:t>.</w:t>
            </w:r>
          </w:p>
          <w:p w14:paraId="60AAD80C"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152F4072"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50C80119"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23DEF1F4"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3AF4D743"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5DF2F2F7"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4C5FCE76"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128071D1"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649B1672"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2CB9041C"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50DF60D7"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2492FA90"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35A333B7"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5103BF4F"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17CF0CA6"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7D24F2B3"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0D7FB84A"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77CD9AB6"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25B54249"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35BCC243"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257552B7"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20F3102C" w14:textId="77777777" w:rsidR="006D7777" w:rsidRDefault="006D7777"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31B42FFD" w14:textId="4FAAA13C" w:rsidR="004B4CA4" w:rsidRDefault="004B4CA4"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 xml:space="preserve">Conform art. 30 alin. (3) </w:t>
            </w:r>
            <w:r w:rsidRPr="004B4CA4">
              <w:rPr>
                <w:rFonts w:ascii="Times New Roman" w:eastAsia="Times New Roman" w:hAnsi="Times New Roman" w:cs="Times New Roman"/>
                <w:bCs/>
                <w:kern w:val="0"/>
                <w:sz w:val="24"/>
                <w:szCs w:val="24"/>
                <w:lang w:val="ro-RO"/>
                <w14:ligatures w14:val="none"/>
              </w:rPr>
              <w:t>(3) Guvernul, la intervale de cinci ani, va examina eficacitatea prevederilor prezentei legi ce vizează exercitarea funcțiilor de restituire a bunurilor culturale mobile scoase ilegal de pe teritoriul unui stat membru al Uniunii Europene sau Republicii Moldova.</w:t>
            </w:r>
          </w:p>
          <w:p w14:paraId="5FF84DD1" w14:textId="77777777" w:rsidR="004B4CA4" w:rsidRDefault="004B4CA4"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27E0B3CE" w14:textId="27C02BB9" w:rsidR="004B4CA4" w:rsidRDefault="007A210A" w:rsidP="009E096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7A210A">
              <w:rPr>
                <w:rFonts w:ascii="Times New Roman" w:eastAsia="Times New Roman" w:hAnsi="Times New Roman" w:cs="Times New Roman"/>
                <w:bCs/>
                <w:kern w:val="0"/>
                <w:sz w:val="24"/>
                <w:szCs w:val="24"/>
                <w:lang w:val="ro-RO"/>
                <w14:ligatures w14:val="none"/>
              </w:rPr>
              <w:t xml:space="preserve">Modificările </w:t>
            </w:r>
            <w:r>
              <w:rPr>
                <w:rFonts w:ascii="Times New Roman" w:eastAsia="Times New Roman" w:hAnsi="Times New Roman" w:cs="Times New Roman"/>
                <w:bCs/>
                <w:kern w:val="0"/>
                <w:sz w:val="24"/>
                <w:szCs w:val="24"/>
                <w:lang w:val="ro-RO"/>
                <w14:ligatures w14:val="none"/>
              </w:rPr>
              <w:t>aferente pct. 17 și 18 nu sunt operabile având în vedere faptul că vor denatura procesul de transpunere a directivei.</w:t>
            </w:r>
          </w:p>
          <w:p w14:paraId="08EA3C09" w14:textId="3230A64F" w:rsidR="007C288E" w:rsidRPr="007C288E" w:rsidRDefault="004B4CA4" w:rsidP="007C288E">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 xml:space="preserve">Totodată, proiectul a fost completat cu </w:t>
            </w:r>
            <w:r w:rsidR="007C288E">
              <w:rPr>
                <w:rFonts w:ascii="Times New Roman" w:eastAsia="Times New Roman" w:hAnsi="Times New Roman" w:cs="Times New Roman"/>
                <w:bCs/>
                <w:kern w:val="0"/>
                <w:sz w:val="24"/>
                <w:szCs w:val="24"/>
                <w:lang w:val="ro-RO"/>
                <w14:ligatures w14:val="none"/>
              </w:rPr>
              <w:t xml:space="preserve">art. 31 alin. </w:t>
            </w:r>
            <w:r w:rsidR="007C288E" w:rsidRPr="007C288E">
              <w:rPr>
                <w:rFonts w:ascii="Times New Roman" w:eastAsia="Times New Roman" w:hAnsi="Times New Roman" w:cs="Times New Roman"/>
                <w:bCs/>
                <w:kern w:val="0"/>
                <w:sz w:val="24"/>
                <w:szCs w:val="24"/>
                <w:lang w:val="ro-RO"/>
                <w14:ligatures w14:val="none"/>
              </w:rPr>
              <w:t xml:space="preserve">(5) </w:t>
            </w:r>
            <w:r w:rsidR="007C288E">
              <w:rPr>
                <w:rFonts w:ascii="Times New Roman" w:eastAsia="Times New Roman" w:hAnsi="Times New Roman" w:cs="Times New Roman"/>
                <w:bCs/>
                <w:kern w:val="0"/>
                <w:sz w:val="24"/>
                <w:szCs w:val="24"/>
                <w:lang w:val="ro-RO"/>
                <w14:ligatures w14:val="none"/>
              </w:rPr>
              <w:t xml:space="preserve"> care stabilește că p</w:t>
            </w:r>
            <w:r w:rsidR="007C288E" w:rsidRPr="007C288E">
              <w:rPr>
                <w:rFonts w:ascii="Times New Roman" w:eastAsia="Times New Roman" w:hAnsi="Times New Roman" w:cs="Times New Roman"/>
                <w:bCs/>
                <w:kern w:val="0"/>
                <w:sz w:val="24"/>
                <w:szCs w:val="24"/>
                <w:lang w:val="ro-RO"/>
                <w14:ligatures w14:val="none"/>
              </w:rPr>
              <w:t>lata despăgubirilor prevăzute la alin. (2) cade în sarcina statului membru al Uniunii Europene reclamant și se efectuează în momentul remiterii materiale a bunului care a făcut obiectul acțiunii în restituire și trebuie să acopere, după caz:</w:t>
            </w:r>
          </w:p>
          <w:p w14:paraId="1D0DEA5B" w14:textId="77777777" w:rsidR="007C288E" w:rsidRPr="007C288E" w:rsidRDefault="007C288E" w:rsidP="007C288E">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7C288E">
              <w:rPr>
                <w:rFonts w:ascii="Times New Roman" w:eastAsia="Times New Roman" w:hAnsi="Times New Roman" w:cs="Times New Roman"/>
                <w:bCs/>
                <w:kern w:val="0"/>
                <w:sz w:val="24"/>
                <w:szCs w:val="24"/>
                <w:lang w:val="ro-RO"/>
                <w14:ligatures w14:val="none"/>
              </w:rPr>
              <w:t>a) cheltuielile efectuate de posesorul de bună-credință în legătură cu achiziționarea și conservarea bunului cultural;</w:t>
            </w:r>
          </w:p>
          <w:p w14:paraId="39E46AAB" w14:textId="77777777" w:rsidR="007C288E" w:rsidRPr="007C288E" w:rsidRDefault="007C288E" w:rsidP="007C288E">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7C288E">
              <w:rPr>
                <w:rFonts w:ascii="Times New Roman" w:eastAsia="Times New Roman" w:hAnsi="Times New Roman" w:cs="Times New Roman"/>
                <w:bCs/>
                <w:kern w:val="0"/>
                <w:sz w:val="24"/>
                <w:szCs w:val="24"/>
                <w:lang w:val="ro-RO"/>
                <w14:ligatures w14:val="none"/>
              </w:rPr>
              <w:t>b) cheltuielile efectuate de instituția specializată în legătură cu conservarea bunului cultural.</w:t>
            </w:r>
          </w:p>
          <w:p w14:paraId="6C266E1B" w14:textId="0ADCF226" w:rsidR="004B4CA4" w:rsidRDefault="007C288E" w:rsidP="007C288E">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7C288E">
              <w:rPr>
                <w:rFonts w:ascii="Times New Roman" w:eastAsia="Times New Roman" w:hAnsi="Times New Roman" w:cs="Times New Roman"/>
                <w:bCs/>
                <w:kern w:val="0"/>
                <w:sz w:val="24"/>
                <w:szCs w:val="24"/>
                <w:lang w:val="ro-RO"/>
                <w14:ligatures w14:val="none"/>
              </w:rPr>
              <w:t>(6) Cheltuielile ce rezultă din executarea hotărârii judecătorești prin care se restituie bunul cultural cad în sarcina statului solicitant.</w:t>
            </w:r>
          </w:p>
          <w:p w14:paraId="0E743EB5" w14:textId="1853E1FD" w:rsidR="007A210A" w:rsidRPr="007A210A" w:rsidRDefault="00B60008" w:rsidP="004B4CA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 xml:space="preserve">A fost completat de asemenea și cu art. </w:t>
            </w:r>
            <w:r w:rsidR="001D09FB">
              <w:rPr>
                <w:rFonts w:ascii="Times New Roman" w:eastAsia="Times New Roman" w:hAnsi="Times New Roman" w:cs="Times New Roman"/>
                <w:bCs/>
                <w:kern w:val="0"/>
                <w:sz w:val="24"/>
                <w:szCs w:val="24"/>
                <w:lang w:val="ro-RO"/>
                <w14:ligatures w14:val="none"/>
              </w:rPr>
              <w:t xml:space="preserve">33 care stabilește că </w:t>
            </w:r>
            <w:r w:rsidR="001D09FB" w:rsidRPr="001D09FB">
              <w:rPr>
                <w:rFonts w:ascii="Times New Roman" w:eastAsia="Times New Roman" w:hAnsi="Times New Roman" w:cs="Times New Roman"/>
                <w:bCs/>
                <w:kern w:val="0"/>
                <w:sz w:val="24"/>
                <w:szCs w:val="24"/>
                <w:lang w:val="ro-RO"/>
                <w14:ligatures w14:val="none"/>
              </w:rPr>
              <w:t>(1) Statul solicitant are dreptul la acțiunea în regres împotriva persoanei responsabile de scoaterea ilegală a bunului cultural mobil de pe teritoriul său, în cazul în care bunul cultural a fost restituit conform art. 30 al prezentei legi, precum și atunci când statul respectiv a plătit despăgubirile prevăzute la art. 31 al prezentei legi.</w:t>
            </w:r>
            <w:r w:rsidR="001D09FB">
              <w:rPr>
                <w:rFonts w:ascii="Times New Roman" w:eastAsia="Times New Roman" w:hAnsi="Times New Roman" w:cs="Times New Roman"/>
                <w:bCs/>
                <w:kern w:val="0"/>
                <w:sz w:val="24"/>
                <w:szCs w:val="24"/>
                <w:lang w:val="ro-RO"/>
                <w14:ligatures w14:val="none"/>
              </w:rPr>
              <w:t xml:space="preserve"> Prevederea în cauză este aplicabilă și Republicii Moldova</w:t>
            </w:r>
          </w:p>
        </w:tc>
      </w:tr>
      <w:tr w:rsidR="004F711E" w:rsidRPr="004008C4" w14:paraId="0EA1371C" w14:textId="77777777" w:rsidTr="00ED24C1">
        <w:tc>
          <w:tcPr>
            <w:tcW w:w="1668" w:type="dxa"/>
            <w:tcBorders>
              <w:top w:val="single" w:sz="4" w:space="0" w:color="auto"/>
              <w:left w:val="single" w:sz="4" w:space="0" w:color="auto"/>
              <w:bottom w:val="single" w:sz="4" w:space="0" w:color="auto"/>
              <w:right w:val="single" w:sz="4" w:space="0" w:color="auto"/>
            </w:tcBorders>
            <w:shd w:val="clear" w:color="auto" w:fill="FFFFFF"/>
          </w:tcPr>
          <w:p w14:paraId="4E2C46A4" w14:textId="77777777" w:rsidR="004F711E" w:rsidRPr="007A210A" w:rsidRDefault="004F711E"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139EDE6B" w14:textId="77777777" w:rsidR="004F711E" w:rsidRPr="007A210A" w:rsidRDefault="004F711E"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La Nota informativă</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0C625E84" w14:textId="570C2FCF" w:rsidR="004F711E" w:rsidRPr="007A210A" w:rsidRDefault="004F711E" w:rsidP="004F711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Nota informativă se va ajusta, ținând cont de obiecțiile expuse la proiectul de hotărâre și</w:t>
            </w:r>
            <w:r w:rsidR="003B729B">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proiectul Regulamentului.</w:t>
            </w:r>
          </w:p>
          <w:p w14:paraId="34D0A4CD" w14:textId="77777777" w:rsidR="004F711E" w:rsidRPr="007A210A" w:rsidRDefault="004F711E" w:rsidP="004F711E">
            <w:pPr>
              <w:tabs>
                <w:tab w:val="left" w:pos="884"/>
                <w:tab w:val="left" w:pos="1196"/>
              </w:tabs>
              <w:spacing w:after="0" w:line="240" w:lineRule="auto"/>
              <w:jc w:val="both"/>
              <w:rPr>
                <w:rFonts w:ascii="Times New Roman" w:hAnsi="Times New Roman" w:cs="Times New Roman"/>
                <w:sz w:val="24"/>
                <w:szCs w:val="24"/>
                <w:lang w:val="ro-RO"/>
              </w:rPr>
            </w:pPr>
          </w:p>
          <w:p w14:paraId="4E441F52" w14:textId="3EF1ED16" w:rsidR="004F711E" w:rsidRPr="007A210A" w:rsidRDefault="004F711E" w:rsidP="007A210A">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Potrivit compartimentul 5 „Fundamentarea economico-financiară”, cheltuielile necesare</w:t>
            </w:r>
            <w:r w:rsid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pentru restituirea, către Republica Moldova, a bunurilor culturale mobile vor fi acoperite din contul alocațiilor prevăzute în bugetul Serviciului de evidență și circulației a bunurilor culturale mobile. În același timp, atenționăm că, alocațiile aprobate în bugetul acestuia sunt prevăzute pentru remunerarea angajaților și asigurarea activității curente ale autorității, fără a fi incluse cheltuieli pentru punerea în aplicare a prevederilor proiectului. Prin urmare, în cazul în care vor fi necesare mijloacele suplimentare, Ministerul Culturii urmează să asigure implementarea actului normativ din contul și în limita alocațiilor prevăzute în bugetul ministerului.</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0F98960F" w14:textId="504F2152" w:rsidR="004F711E" w:rsidRDefault="006D7777" w:rsidP="007E3CEC">
            <w:pPr>
              <w:tabs>
                <w:tab w:val="left" w:pos="884"/>
                <w:tab w:val="left" w:pos="1196"/>
              </w:tabs>
              <w:spacing w:after="0" w:line="240" w:lineRule="auto"/>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t>Se acceptă</w:t>
            </w:r>
            <w:bookmarkStart w:id="0" w:name="_GoBack"/>
            <w:bookmarkEnd w:id="0"/>
            <w:r w:rsidR="007E3CEC">
              <w:rPr>
                <w:rFonts w:ascii="Times New Roman" w:eastAsia="Times New Roman" w:hAnsi="Times New Roman" w:cs="Times New Roman"/>
                <w:b/>
                <w:kern w:val="0"/>
                <w:sz w:val="24"/>
                <w:szCs w:val="24"/>
                <w:lang w:val="ro-RO"/>
                <w14:ligatures w14:val="none"/>
              </w:rPr>
              <w:t>.</w:t>
            </w:r>
          </w:p>
          <w:p w14:paraId="2C1821F5" w14:textId="26756C67" w:rsidR="00D8740F" w:rsidRDefault="00D8740F" w:rsidP="00D8740F">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r w:rsidR="006D7777">
              <w:rPr>
                <w:rFonts w:ascii="Times New Roman" w:eastAsia="Times New Roman" w:hAnsi="Times New Roman" w:cs="Times New Roman"/>
                <w:bCs/>
                <w:kern w:val="0"/>
                <w:sz w:val="24"/>
                <w:szCs w:val="24"/>
                <w:lang w:val="ro-RO"/>
                <w14:ligatures w14:val="none"/>
              </w:rPr>
              <w:t xml:space="preserve"> Respectiv, Nota de fundamentare a fost ajustată ținând cont de obiecțiile expuse.</w:t>
            </w:r>
          </w:p>
          <w:p w14:paraId="61D57791" w14:textId="77777777" w:rsidR="00D8740F" w:rsidRDefault="00D8740F" w:rsidP="007E3CEC">
            <w:pPr>
              <w:tabs>
                <w:tab w:val="left" w:pos="884"/>
                <w:tab w:val="left" w:pos="1196"/>
              </w:tabs>
              <w:spacing w:after="0" w:line="240" w:lineRule="auto"/>
              <w:rPr>
                <w:rFonts w:ascii="Times New Roman" w:eastAsia="Times New Roman" w:hAnsi="Times New Roman" w:cs="Times New Roman"/>
                <w:bCs/>
                <w:kern w:val="0"/>
                <w:sz w:val="24"/>
                <w:szCs w:val="24"/>
                <w:lang w:val="ro-RO"/>
                <w14:ligatures w14:val="none"/>
              </w:rPr>
            </w:pPr>
          </w:p>
          <w:p w14:paraId="26726BE0" w14:textId="32DD4520" w:rsidR="007E3CEC" w:rsidRPr="007E3CEC" w:rsidRDefault="007E3CEC" w:rsidP="007E3CEC">
            <w:pPr>
              <w:tabs>
                <w:tab w:val="left" w:pos="884"/>
                <w:tab w:val="left" w:pos="1196"/>
              </w:tabs>
              <w:spacing w:after="0" w:line="240" w:lineRule="auto"/>
              <w:rPr>
                <w:rFonts w:ascii="Times New Roman" w:eastAsia="Times New Roman" w:hAnsi="Times New Roman" w:cs="Times New Roman"/>
                <w:bCs/>
                <w:kern w:val="0"/>
                <w:sz w:val="24"/>
                <w:szCs w:val="24"/>
                <w:lang w:val="ro-RO"/>
                <w14:ligatures w14:val="none"/>
              </w:rPr>
            </w:pPr>
            <w:r w:rsidRPr="007E3CEC">
              <w:rPr>
                <w:rFonts w:ascii="Times New Roman" w:eastAsia="Times New Roman" w:hAnsi="Times New Roman" w:cs="Times New Roman"/>
                <w:bCs/>
                <w:kern w:val="0"/>
                <w:sz w:val="24"/>
                <w:szCs w:val="24"/>
                <w:lang w:val="ro-RO"/>
                <w14:ligatures w14:val="none"/>
              </w:rPr>
              <w:t xml:space="preserve">Cheltuielile aferente implementării </w:t>
            </w:r>
            <w:r w:rsidR="00D8740F">
              <w:rPr>
                <w:rFonts w:ascii="Times New Roman" w:eastAsia="Times New Roman" w:hAnsi="Times New Roman" w:cs="Times New Roman"/>
                <w:bCs/>
                <w:kern w:val="0"/>
                <w:sz w:val="24"/>
                <w:szCs w:val="24"/>
                <w:lang w:val="ro-RO"/>
                <w14:ligatures w14:val="none"/>
              </w:rPr>
              <w:t>proiectului</w:t>
            </w:r>
            <w:r w:rsidRPr="007E3CEC">
              <w:rPr>
                <w:rFonts w:ascii="Times New Roman" w:eastAsia="Times New Roman" w:hAnsi="Times New Roman" w:cs="Times New Roman"/>
                <w:bCs/>
                <w:kern w:val="0"/>
                <w:sz w:val="24"/>
                <w:szCs w:val="24"/>
                <w:lang w:val="ro-RO"/>
                <w14:ligatures w14:val="none"/>
              </w:rPr>
              <w:t xml:space="preserve"> vor fi planificate în modul stabilit de cadrul legal.</w:t>
            </w:r>
          </w:p>
        </w:tc>
      </w:tr>
      <w:tr w:rsidR="004F711E" w:rsidRPr="00ED24C1" w14:paraId="50E79184" w14:textId="77777777" w:rsidTr="00ED24C1">
        <w:tc>
          <w:tcPr>
            <w:tcW w:w="1668" w:type="dxa"/>
            <w:tcBorders>
              <w:top w:val="single" w:sz="4" w:space="0" w:color="auto"/>
              <w:left w:val="single" w:sz="4" w:space="0" w:color="auto"/>
              <w:bottom w:val="single" w:sz="4" w:space="0" w:color="auto"/>
              <w:right w:val="single" w:sz="4" w:space="0" w:color="auto"/>
            </w:tcBorders>
            <w:shd w:val="clear" w:color="auto" w:fill="FFFFFF"/>
          </w:tcPr>
          <w:p w14:paraId="59CBF2A1" w14:textId="77777777" w:rsidR="004F711E" w:rsidRPr="007A210A" w:rsidRDefault="001C52B5"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 xml:space="preserve">Centrul de armonizare a legislației ( </w:t>
            </w:r>
            <w:r w:rsidR="00C265BE" w:rsidRPr="007A210A">
              <w:rPr>
                <w:rFonts w:ascii="Times New Roman" w:eastAsia="Times New Roman" w:hAnsi="Times New Roman" w:cs="Times New Roman"/>
                <w:b/>
                <w:kern w:val="0"/>
                <w:sz w:val="24"/>
                <w:szCs w:val="24"/>
                <w:lang w:val="ro-RO"/>
                <w14:ligatures w14:val="none"/>
              </w:rPr>
              <w:t>nr. 31/02-126-11265 din 24.10.2023)</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0027F2F1" w14:textId="77777777" w:rsidR="00C265BE" w:rsidRPr="007A210A" w:rsidRDefault="00C265BE" w:rsidP="00C265BE">
            <w:pPr>
              <w:tabs>
                <w:tab w:val="left" w:pos="884"/>
                <w:tab w:val="left" w:pos="1196"/>
              </w:tabs>
              <w:spacing w:after="0" w:line="240" w:lineRule="auto"/>
              <w:jc w:val="both"/>
              <w:rPr>
                <w:rFonts w:ascii="Times New Roman" w:hAnsi="Times New Roman" w:cs="Times New Roman"/>
                <w:b/>
                <w:bCs/>
                <w:sz w:val="24"/>
                <w:szCs w:val="24"/>
                <w:lang w:val="ro-RO"/>
              </w:rPr>
            </w:pPr>
            <w:r w:rsidRPr="007A210A">
              <w:rPr>
                <w:rFonts w:ascii="Times New Roman" w:hAnsi="Times New Roman" w:cs="Times New Roman"/>
                <w:b/>
                <w:bCs/>
                <w:sz w:val="24"/>
                <w:szCs w:val="24"/>
                <w:lang w:val="ro-RO"/>
              </w:rPr>
              <w:t xml:space="preserve">II. Evaluarea din perspectiva compatibilității cu Dreptul UE </w:t>
            </w:r>
          </w:p>
          <w:p w14:paraId="179FC2F9" w14:textId="77777777" w:rsidR="00C265BE" w:rsidRPr="007A210A" w:rsidRDefault="00C265BE" w:rsidP="00C265BE">
            <w:pPr>
              <w:tabs>
                <w:tab w:val="left" w:pos="884"/>
                <w:tab w:val="left" w:pos="1196"/>
              </w:tabs>
              <w:spacing w:after="0" w:line="240" w:lineRule="auto"/>
              <w:jc w:val="both"/>
              <w:rPr>
                <w:rFonts w:ascii="Times New Roman" w:hAnsi="Times New Roman" w:cs="Times New Roman"/>
                <w:b/>
                <w:bCs/>
                <w:sz w:val="24"/>
                <w:szCs w:val="24"/>
                <w:lang w:val="ro-RO"/>
              </w:rPr>
            </w:pPr>
            <w:r w:rsidRPr="007A210A">
              <w:rPr>
                <w:rFonts w:ascii="Times New Roman" w:hAnsi="Times New Roman" w:cs="Times New Roman"/>
                <w:b/>
                <w:bCs/>
                <w:sz w:val="24"/>
                <w:szCs w:val="24"/>
                <w:lang w:val="ro-RO"/>
              </w:rPr>
              <w:t xml:space="preserve">b) Obiecții privind compatibilitatea actului național cu prevederile </w:t>
            </w:r>
            <w:r w:rsidRPr="007A210A">
              <w:rPr>
                <w:rFonts w:ascii="Times New Roman" w:hAnsi="Times New Roman" w:cs="Times New Roman"/>
                <w:b/>
                <w:bCs/>
                <w:sz w:val="24"/>
                <w:szCs w:val="24"/>
                <w:lang w:val="ro-RO"/>
              </w:rPr>
              <w:lastRenderedPageBreak/>
              <w:t>Directivei</w:t>
            </w:r>
          </w:p>
          <w:p w14:paraId="67077F81" w14:textId="77777777" w:rsidR="00C265BE" w:rsidRPr="007A210A" w:rsidRDefault="00C265BE" w:rsidP="00C265BE">
            <w:pPr>
              <w:tabs>
                <w:tab w:val="left" w:pos="884"/>
                <w:tab w:val="left" w:pos="1196"/>
              </w:tabs>
              <w:spacing w:after="0" w:line="240" w:lineRule="auto"/>
              <w:jc w:val="both"/>
              <w:rPr>
                <w:rFonts w:ascii="Times New Roman" w:hAnsi="Times New Roman" w:cs="Times New Roman"/>
                <w:b/>
                <w:bCs/>
                <w:sz w:val="24"/>
                <w:szCs w:val="24"/>
                <w:lang w:val="ro-RO"/>
              </w:rPr>
            </w:pPr>
            <w:r w:rsidRPr="007A210A">
              <w:rPr>
                <w:rFonts w:ascii="Times New Roman" w:hAnsi="Times New Roman" w:cs="Times New Roman"/>
                <w:b/>
                <w:bCs/>
                <w:sz w:val="24"/>
                <w:szCs w:val="24"/>
                <w:lang w:val="ro-RO"/>
              </w:rPr>
              <w:t>2014/60</w:t>
            </w:r>
          </w:p>
          <w:p w14:paraId="25B37726" w14:textId="77777777" w:rsidR="004F711E" w:rsidRPr="007A210A" w:rsidRDefault="004F711E"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5DA9A012" w14:textId="04EDB220" w:rsidR="00C265BE" w:rsidRPr="007A210A" w:rsidRDefault="00C265BE"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lastRenderedPageBreak/>
              <w:t>Proiectul național a optat pentru transpunerea directă a Directivei 2014/60/UE, prin</w:t>
            </w:r>
            <w:r w:rsidR="007E3CEC">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preluarea exactă a textului acesteia în textul proiectului național, fapt ce distorsionează</w:t>
            </w:r>
            <w:r w:rsidR="007E3CEC">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gradul de realizare a scopului și obiectivului general urmărit de actul UE. Astfel, potrivit</w:t>
            </w:r>
          </w:p>
          <w:p w14:paraId="648CEEC3" w14:textId="333C5183" w:rsidR="00C265BE" w:rsidRPr="007A210A" w:rsidRDefault="00C265BE"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art. 288 din TFUE, Directiva este obligatorie pentru fiecare stat membru destinatar cu</w:t>
            </w:r>
            <w:r w:rsidR="007E3CEC">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privire la rezultatul care trebuie atins, lăsând autorităților naționale competența în</w:t>
            </w:r>
          </w:p>
          <w:p w14:paraId="3794AE64" w14:textId="527CAE7B" w:rsidR="00C265BE" w:rsidRPr="005860A4" w:rsidRDefault="00C265BE"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ceea ce privește forma și mijloacele. În context, chiar dacă proiectul per general transpune</w:t>
            </w:r>
            <w:r w:rsidR="007E3CEC">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 xml:space="preserve">ad litteram actul UE, obiectivul actului UE nu este atins, ori </w:t>
            </w:r>
            <w:r w:rsidRPr="005860A4">
              <w:rPr>
                <w:rFonts w:ascii="Times New Roman" w:hAnsi="Times New Roman" w:cs="Times New Roman"/>
                <w:sz w:val="24"/>
                <w:szCs w:val="24"/>
                <w:lang w:val="ro-RO"/>
              </w:rPr>
              <w:t>nu este clară procedura</w:t>
            </w:r>
            <w:r w:rsidR="007E3CEC" w:rsidRPr="005860A4">
              <w:rPr>
                <w:rFonts w:ascii="Times New Roman" w:hAnsi="Times New Roman" w:cs="Times New Roman"/>
                <w:sz w:val="24"/>
                <w:szCs w:val="24"/>
                <w:lang w:val="ro-RO"/>
              </w:rPr>
              <w:t xml:space="preserve"> </w:t>
            </w:r>
            <w:r w:rsidRPr="005860A4">
              <w:rPr>
                <w:rFonts w:ascii="Times New Roman" w:hAnsi="Times New Roman" w:cs="Times New Roman"/>
                <w:sz w:val="24"/>
                <w:szCs w:val="24"/>
                <w:lang w:val="ro-RO"/>
              </w:rPr>
              <w:t>propriu-zisă de restituire a bunurilor culturale ale RM și ale statelor membre UE care au</w:t>
            </w:r>
            <w:r w:rsidR="007E3CEC" w:rsidRPr="005860A4">
              <w:rPr>
                <w:rFonts w:ascii="Times New Roman" w:hAnsi="Times New Roman" w:cs="Times New Roman"/>
                <w:sz w:val="24"/>
                <w:szCs w:val="24"/>
                <w:lang w:val="ro-RO"/>
              </w:rPr>
              <w:t xml:space="preserve"> </w:t>
            </w:r>
            <w:r w:rsidRPr="005860A4">
              <w:rPr>
                <w:rFonts w:ascii="Times New Roman" w:hAnsi="Times New Roman" w:cs="Times New Roman"/>
                <w:sz w:val="24"/>
                <w:szCs w:val="24"/>
                <w:lang w:val="ro-RO"/>
              </w:rPr>
              <w:t>părăsit teritoriul național sau cel al statelor membre, inclusiv, sub aspectul rolului pe care</w:t>
            </w:r>
            <w:r w:rsidR="007E3CEC" w:rsidRPr="005860A4">
              <w:rPr>
                <w:rFonts w:ascii="Times New Roman" w:hAnsi="Times New Roman" w:cs="Times New Roman"/>
                <w:sz w:val="24"/>
                <w:szCs w:val="24"/>
                <w:lang w:val="ro-RO"/>
              </w:rPr>
              <w:t xml:space="preserve"> </w:t>
            </w:r>
            <w:r w:rsidRPr="005860A4">
              <w:rPr>
                <w:rFonts w:ascii="Times New Roman" w:hAnsi="Times New Roman" w:cs="Times New Roman"/>
                <w:sz w:val="24"/>
                <w:szCs w:val="24"/>
                <w:lang w:val="ro-RO"/>
              </w:rPr>
              <w:t>trebuie să îl aibă instanțele judecătorești și procedurilor judiciare care se impun a fi</w:t>
            </w:r>
            <w:r w:rsidR="007E3CEC" w:rsidRPr="005860A4">
              <w:rPr>
                <w:rFonts w:ascii="Times New Roman" w:hAnsi="Times New Roman" w:cs="Times New Roman"/>
                <w:sz w:val="24"/>
                <w:szCs w:val="24"/>
                <w:lang w:val="ro-RO"/>
              </w:rPr>
              <w:t xml:space="preserve"> </w:t>
            </w:r>
            <w:r w:rsidRPr="005860A4">
              <w:rPr>
                <w:rFonts w:ascii="Times New Roman" w:hAnsi="Times New Roman" w:cs="Times New Roman"/>
                <w:sz w:val="24"/>
                <w:szCs w:val="24"/>
                <w:lang w:val="ro-RO"/>
              </w:rPr>
              <w:t xml:space="preserve">desfășurate în cazurile respective. </w:t>
            </w:r>
          </w:p>
          <w:p w14:paraId="5DF2FC95" w14:textId="77777777" w:rsidR="00C265BE" w:rsidRPr="005860A4" w:rsidRDefault="00C265BE" w:rsidP="00C265BE">
            <w:pPr>
              <w:tabs>
                <w:tab w:val="left" w:pos="884"/>
                <w:tab w:val="left" w:pos="1196"/>
              </w:tabs>
              <w:spacing w:after="0" w:line="240" w:lineRule="auto"/>
              <w:jc w:val="both"/>
              <w:rPr>
                <w:rFonts w:ascii="Times New Roman" w:hAnsi="Times New Roman" w:cs="Times New Roman"/>
                <w:sz w:val="24"/>
                <w:szCs w:val="24"/>
                <w:lang w:val="ro-RO"/>
              </w:rPr>
            </w:pPr>
            <w:r w:rsidRPr="005860A4">
              <w:rPr>
                <w:rFonts w:ascii="Times New Roman" w:hAnsi="Times New Roman" w:cs="Times New Roman"/>
                <w:sz w:val="24"/>
                <w:szCs w:val="24"/>
                <w:lang w:val="ro-RO"/>
              </w:rPr>
              <w:t xml:space="preserve">De asemenea, se constată numeroase norme cu caracter ambiguu, în speță, în ceea ce privește despăgubirile ce trebuie plătite, or actul național ar trebuie să fixeze cel </w:t>
            </w:r>
            <w:r w:rsidRPr="005860A4">
              <w:rPr>
                <w:rFonts w:ascii="Times New Roman" w:hAnsi="Times New Roman" w:cs="Times New Roman"/>
                <w:sz w:val="24"/>
                <w:szCs w:val="24"/>
                <w:lang w:val="ro-RO"/>
              </w:rPr>
              <w:lastRenderedPageBreak/>
              <w:t>puțin marja valorică a acesteia în măsura în aceasta să fie una ”echitabilă”. Astfel, se impune revizuirea integrală a prevederilor procedurale ale proiectului Regulamentului în vederea stabilirii unui mecanism clar și eficient de restituire a obiectelor culturale, cu descrierea atribuțiilor autorităților naționale implicate, ori acestea nu se rezumă doar la activitatea Serviciului de evidență și circulație a bunurilor culturale mobile, ci implică și instanțele judiciare. Totodată, nu este clară dacă restituirea bunurilor culturale se va realiza în temeiul procedurilor stabilite de Legea nr. 371/2006 cu privire la asistența juridică internațională în materie penală ( a se vedea, în special, art. 12).</w:t>
            </w:r>
          </w:p>
          <w:p w14:paraId="4DD0BA31" w14:textId="77777777" w:rsidR="00C265BE" w:rsidRPr="005860A4" w:rsidRDefault="00C265BE" w:rsidP="00C265BE">
            <w:pPr>
              <w:tabs>
                <w:tab w:val="left" w:pos="884"/>
                <w:tab w:val="left" w:pos="1196"/>
              </w:tabs>
              <w:spacing w:after="0" w:line="240" w:lineRule="auto"/>
              <w:jc w:val="both"/>
              <w:rPr>
                <w:rFonts w:ascii="Times New Roman" w:hAnsi="Times New Roman" w:cs="Times New Roman"/>
                <w:sz w:val="24"/>
                <w:szCs w:val="24"/>
                <w:lang w:val="ro-RO"/>
              </w:rPr>
            </w:pPr>
            <w:r w:rsidRPr="005860A4">
              <w:rPr>
                <w:rFonts w:ascii="Times New Roman" w:hAnsi="Times New Roman" w:cs="Times New Roman"/>
                <w:sz w:val="24"/>
                <w:szCs w:val="24"/>
                <w:lang w:val="ro-RO"/>
              </w:rPr>
              <w:t>Totodată, se recomandă consultarea în acest caz a legislației României de transpunere a Directivei, în speță, Capitolul IX: Restituirea bunurilor culturale mobile care au părăsit ilegal teritoriul unui stat membru al Uniunii Europene din Legea nr. 182 din 25 octombrie 2000 privind protejarea patrimoniului cultural național mobil.</w:t>
            </w:r>
          </w:p>
          <w:p w14:paraId="67EFE830" w14:textId="0E4A1649" w:rsidR="00C265BE" w:rsidRPr="007A210A" w:rsidRDefault="00C265BE"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De asemenea, în anumite cazuri, s-a optat pentru o copiere a unor concepte din actul</w:t>
            </w:r>
            <w:r w:rsidR="00EE3C94">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UE, fără ca acestea să fie adaptate realității juridice naționale a RM. De ex., în noțiunea de</w:t>
            </w:r>
            <w:r w:rsidR="00EE3C94">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”colecții publice” se menționează autoritățile publice regionale ale RM, ori acest tip de</w:t>
            </w:r>
            <w:r w:rsidR="00EE3C94">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organizare administrativă nu este specific RM. La fel, pct. 24 din proiectul Regulamentului a</w:t>
            </w:r>
            <w:r w:rsidR="00EE3C94">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copiat art. 16 al Directivei UE, ori asemenea norme se impun a fi reformulate.</w:t>
            </w:r>
          </w:p>
          <w:p w14:paraId="77A95FF7" w14:textId="358BCD2D" w:rsidR="00C265BE" w:rsidRPr="007A210A" w:rsidRDefault="00C265BE"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În ceea ce privește pct. 6 din proiectul Regulamentului, care stabilește utilizarea de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către Serviciul de evidență și circulație a bunurilor culturale mobile a oricăror sisteme de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evidență la care RM este parte, opinăm că acesta nu asigură implementarea art. 5, ultimul</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paragraf al actului UE. Astfel, actul UE indică expres modulul din cadrul sistemului</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informațional utilizat pentru obiecte culturale - Sistemul de informare a pieței interne (IMI),</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care este accesibil autorităților din statele membre, cât și altor autorități competente. În acest</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 xml:space="preserve">context, se va examina posibilitatea ca cooperarea și consultarea privind obiectele </w:t>
            </w:r>
            <w:r w:rsidRPr="007A210A">
              <w:rPr>
                <w:rFonts w:ascii="Times New Roman" w:hAnsi="Times New Roman" w:cs="Times New Roman"/>
                <w:sz w:val="24"/>
                <w:szCs w:val="24"/>
                <w:lang w:val="ro-RO"/>
              </w:rPr>
              <w:lastRenderedPageBreak/>
              <w:t>culturale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să aibă loc în cadrul modulului din IMI sau proiectul național să identifice exact sistemul de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evidență a bunurilor culturale mobile care va permite cooperarea cu alte state.</w:t>
            </w:r>
          </w:p>
          <w:p w14:paraId="37D391B9" w14:textId="77777777" w:rsidR="00C265BE" w:rsidRPr="007A210A" w:rsidRDefault="00C265BE" w:rsidP="00C265BE">
            <w:pPr>
              <w:tabs>
                <w:tab w:val="left" w:pos="884"/>
                <w:tab w:val="left" w:pos="1196"/>
              </w:tabs>
              <w:spacing w:after="0" w:line="240" w:lineRule="auto"/>
              <w:jc w:val="both"/>
              <w:rPr>
                <w:rFonts w:ascii="Times New Roman" w:hAnsi="Times New Roman" w:cs="Times New Roman"/>
                <w:sz w:val="24"/>
                <w:szCs w:val="24"/>
                <w:lang w:val="ro-RO"/>
              </w:rPr>
            </w:pPr>
          </w:p>
          <w:p w14:paraId="4A751628" w14:textId="58FBBDD9" w:rsidR="00C265BE" w:rsidRPr="007A210A" w:rsidRDefault="00C265BE"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Cu referire la pct. 14 din proiect, care stabilește acțiunile speciale de prescripție, nu au</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preluate în totalitate prevederile art. 8 (1), în speță, excepțiile aplicabile termenului de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prescripție pentru acțiuni în restituire pentru unele categorii de obiecte care nu au termen de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prescripție sau pentru care reiese altceva din acordurile bilaterale.</w:t>
            </w:r>
          </w:p>
          <w:p w14:paraId="08DFDE2B" w14:textId="77777777" w:rsidR="00C265BE" w:rsidRPr="007A210A" w:rsidRDefault="00C265BE" w:rsidP="00C265BE">
            <w:pPr>
              <w:tabs>
                <w:tab w:val="left" w:pos="884"/>
                <w:tab w:val="left" w:pos="1196"/>
              </w:tabs>
              <w:spacing w:after="0" w:line="240" w:lineRule="auto"/>
              <w:jc w:val="both"/>
              <w:rPr>
                <w:rFonts w:ascii="Times New Roman" w:hAnsi="Times New Roman" w:cs="Times New Roman"/>
                <w:sz w:val="24"/>
                <w:szCs w:val="24"/>
                <w:lang w:val="ro-RO"/>
              </w:rPr>
            </w:pPr>
          </w:p>
          <w:p w14:paraId="5D54388B" w14:textId="08B8FAC7" w:rsidR="00C265BE" w:rsidRPr="007A210A" w:rsidRDefault="00C265BE"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Cu referire la pct. 16 din proiectul Regulamentului, se va face referință la pct. 2, 12,</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13, și 14 din proiectul Regulamentului, ori anume acesta asigură transpunerea art. 8 și 14 din</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 xml:space="preserve">actul UE. </w:t>
            </w:r>
          </w:p>
          <w:p w14:paraId="030A09A3" w14:textId="77777777" w:rsidR="00C265BE" w:rsidRPr="007A210A" w:rsidRDefault="00C265BE" w:rsidP="00C265BE">
            <w:pPr>
              <w:tabs>
                <w:tab w:val="left" w:pos="884"/>
                <w:tab w:val="left" w:pos="1196"/>
              </w:tabs>
              <w:spacing w:after="0" w:line="240" w:lineRule="auto"/>
              <w:jc w:val="both"/>
              <w:rPr>
                <w:rFonts w:ascii="Times New Roman" w:hAnsi="Times New Roman" w:cs="Times New Roman"/>
                <w:sz w:val="24"/>
                <w:szCs w:val="24"/>
                <w:lang w:val="ro-RO"/>
              </w:rPr>
            </w:pPr>
          </w:p>
          <w:p w14:paraId="7BA53796" w14:textId="36F2ABB7" w:rsidR="004F711E" w:rsidRPr="007A210A" w:rsidRDefault="00C265BE" w:rsidP="001D1177">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La fel, în pct. 22 din proiect, în cazul plății despăgubirii referința se va opera la</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punctul 17, iar în cazul cheltuielilor la punctul 18 și 21.</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78269A3B" w14:textId="77777777" w:rsidR="004F711E" w:rsidRDefault="001D1177" w:rsidP="001D1177">
            <w:pPr>
              <w:tabs>
                <w:tab w:val="left" w:pos="884"/>
                <w:tab w:val="left" w:pos="1196"/>
              </w:tabs>
              <w:spacing w:after="0" w:line="240" w:lineRule="auto"/>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lastRenderedPageBreak/>
              <w:t>Se acceptă.</w:t>
            </w:r>
          </w:p>
          <w:p w14:paraId="6D58E858" w14:textId="77777777" w:rsidR="001D1177" w:rsidRDefault="001D1177" w:rsidP="001D1177">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0C526B35" w14:textId="077D7DFA" w:rsidR="001D1177" w:rsidRPr="001D1177" w:rsidRDefault="00936FD3" w:rsidP="003B729B">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În urma reconceptualizării, proiectul de lege înglobează recomandările expuse.</w:t>
            </w:r>
          </w:p>
        </w:tc>
      </w:tr>
      <w:tr w:rsidR="008A3B8F" w:rsidRPr="004008C4" w14:paraId="3CDCCB39" w14:textId="77777777" w:rsidTr="00ED24C1">
        <w:tc>
          <w:tcPr>
            <w:tcW w:w="1668" w:type="dxa"/>
            <w:vMerge w:val="restart"/>
            <w:tcBorders>
              <w:top w:val="single" w:sz="4" w:space="0" w:color="auto"/>
              <w:left w:val="single" w:sz="4" w:space="0" w:color="auto"/>
              <w:right w:val="single" w:sz="4" w:space="0" w:color="auto"/>
            </w:tcBorders>
            <w:shd w:val="clear" w:color="auto" w:fill="FFFFFF"/>
          </w:tcPr>
          <w:p w14:paraId="5EC656CF"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9FD2594" w14:textId="77777777" w:rsidR="008A3B8F" w:rsidRPr="007A210A" w:rsidRDefault="008A3B8F" w:rsidP="00C265BE">
            <w:pPr>
              <w:tabs>
                <w:tab w:val="left" w:pos="884"/>
                <w:tab w:val="left" w:pos="1196"/>
              </w:tabs>
              <w:spacing w:after="0" w:line="240" w:lineRule="auto"/>
              <w:jc w:val="both"/>
              <w:rPr>
                <w:rFonts w:ascii="Times New Roman" w:hAnsi="Times New Roman" w:cs="Times New Roman"/>
                <w:b/>
                <w:bCs/>
                <w:sz w:val="24"/>
                <w:szCs w:val="24"/>
                <w:lang w:val="ro-RO"/>
              </w:rPr>
            </w:pPr>
            <w:r w:rsidRPr="007A210A">
              <w:rPr>
                <w:rFonts w:ascii="Times New Roman" w:hAnsi="Times New Roman" w:cs="Times New Roman"/>
                <w:b/>
                <w:bCs/>
                <w:sz w:val="24"/>
                <w:szCs w:val="24"/>
                <w:lang w:val="ro-RO"/>
              </w:rPr>
              <w:t>a) Obiecții privind clauza de armonizare</w:t>
            </w:r>
          </w:p>
          <w:p w14:paraId="7F978B8F"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0C2549ED" w14:textId="2290AE16" w:rsidR="008A3B8F" w:rsidRPr="007A210A" w:rsidRDefault="008A3B8F"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În vederea respectării cerințelor înaintate față de proiectele de acte normative cu</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relevanță UE, stabilite de art. 31 din Legea nr. 100/2017 și pct. 30 din Regulamentul privind</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armonizarea legislației Republicii Moldova cu legislația Uniunii Europene (în continuare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Regulament), aprobat prin Hotărârea Guvernului nr. 1171/2018, în proiectul Hotărârii de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Guvern, după clauza de adoptare se va insera clauza de armonizare în următoarea redacție:</w:t>
            </w:r>
          </w:p>
          <w:p w14:paraId="0D91CE09" w14:textId="77777777" w:rsidR="008A3B8F" w:rsidRPr="007A210A" w:rsidRDefault="008A3B8F" w:rsidP="00C265BE">
            <w:pPr>
              <w:tabs>
                <w:tab w:val="left" w:pos="884"/>
                <w:tab w:val="left" w:pos="1196"/>
              </w:tabs>
              <w:spacing w:after="0" w:line="240" w:lineRule="auto"/>
              <w:jc w:val="both"/>
              <w:rPr>
                <w:rFonts w:ascii="Times New Roman" w:hAnsi="Times New Roman" w:cs="Times New Roman"/>
                <w:sz w:val="24"/>
                <w:szCs w:val="24"/>
                <w:lang w:val="ro-RO"/>
              </w:rPr>
            </w:pPr>
          </w:p>
          <w:p w14:paraId="15DA658D" w14:textId="3C76D30F" w:rsidR="008A3B8F" w:rsidRPr="007A210A" w:rsidRDefault="008A3B8F" w:rsidP="001D1177">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Prezentul Regulament transpune parțial (transpune art. 1; art. 2; art. 3; art. 4,</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primul paragraf; art. 5; art. 6; art. 7, primul paragraf; art. 8 (1), primul paragraf, al doilea</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paragraf și prima parte din al treilea paragraf; art. 8 (2); art. 9 – 14 și art. 16) din</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Directiva 2014/60/UE a Parlamentului European și a Consiliului din 15 mai 2014 privind</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restituirea obiectelor culturale care au părăsit ilegal teritoriul unui stat membru și de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 xml:space="preserve">modificare a </w:t>
            </w:r>
            <w:r w:rsidRPr="007A210A">
              <w:rPr>
                <w:rFonts w:ascii="Times New Roman" w:hAnsi="Times New Roman" w:cs="Times New Roman"/>
                <w:sz w:val="24"/>
                <w:szCs w:val="24"/>
                <w:lang w:val="ro-RO"/>
              </w:rPr>
              <w:lastRenderedPageBreak/>
              <w:t>Regulamentului (UE) nr. 1024/2012 (Reformare) publicat în Jurnalul Oficial</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al Uniunii Europene L nr. 159/1din 28 mai 2014.</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4D49BB84" w14:textId="77777777" w:rsidR="008A3B8F" w:rsidRDefault="002F22F0" w:rsidP="002F22F0">
            <w:pPr>
              <w:tabs>
                <w:tab w:val="left" w:pos="884"/>
                <w:tab w:val="left" w:pos="1196"/>
              </w:tabs>
              <w:spacing w:after="0" w:line="240" w:lineRule="auto"/>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lastRenderedPageBreak/>
              <w:t>Se acceptă.</w:t>
            </w:r>
          </w:p>
          <w:p w14:paraId="2DF82282" w14:textId="77777777" w:rsidR="009B2E70" w:rsidRDefault="009B2E70" w:rsidP="009B2E70">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653160B2" w14:textId="77777777" w:rsidR="009B2E70" w:rsidRDefault="009B2E70" w:rsidP="00314F15">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76768BC4" w14:textId="23509358" w:rsidR="002F22F0" w:rsidRPr="002F22F0" w:rsidRDefault="002F22F0" w:rsidP="00314F15">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Proiectul a fost completat cu clauza de adoptare recomandată.</w:t>
            </w:r>
          </w:p>
        </w:tc>
      </w:tr>
      <w:tr w:rsidR="008A3B8F" w:rsidRPr="00ED24C1" w14:paraId="6226F36B" w14:textId="77777777" w:rsidTr="00ED24C1">
        <w:tc>
          <w:tcPr>
            <w:tcW w:w="1668" w:type="dxa"/>
            <w:vMerge/>
            <w:tcBorders>
              <w:left w:val="single" w:sz="4" w:space="0" w:color="auto"/>
              <w:bottom w:val="single" w:sz="4" w:space="0" w:color="auto"/>
              <w:right w:val="single" w:sz="4" w:space="0" w:color="auto"/>
            </w:tcBorders>
            <w:shd w:val="clear" w:color="auto" w:fill="FFFFFF"/>
          </w:tcPr>
          <w:p w14:paraId="7D6D2EA2"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60A2F064" w14:textId="77777777" w:rsidR="008A3B8F" w:rsidRPr="007A210A" w:rsidRDefault="008A3B8F" w:rsidP="00C265BE">
            <w:pPr>
              <w:tabs>
                <w:tab w:val="left" w:pos="884"/>
                <w:tab w:val="left" w:pos="1196"/>
              </w:tabs>
              <w:spacing w:after="0" w:line="240" w:lineRule="auto"/>
              <w:jc w:val="both"/>
              <w:rPr>
                <w:rFonts w:ascii="Times New Roman" w:hAnsi="Times New Roman" w:cs="Times New Roman"/>
                <w:b/>
                <w:bCs/>
                <w:sz w:val="24"/>
                <w:szCs w:val="24"/>
                <w:lang w:val="ro-RO"/>
              </w:rPr>
            </w:pPr>
            <w:r w:rsidRPr="007A210A">
              <w:rPr>
                <w:rFonts w:ascii="Times New Roman" w:hAnsi="Times New Roman" w:cs="Times New Roman"/>
                <w:b/>
                <w:bCs/>
                <w:sz w:val="24"/>
                <w:szCs w:val="24"/>
                <w:lang w:val="ro-RO"/>
              </w:rPr>
              <w:t>b) Obiecții privind Tabelul de concordanță</w:t>
            </w:r>
          </w:p>
          <w:p w14:paraId="65ED09C3"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385FFC2C" w14:textId="241AC495" w:rsidR="008A3B8F" w:rsidRPr="007A210A" w:rsidRDefault="008A3B8F"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Tabelul de concordanță al proiectului nu corespunde în totalitate cerințelor legale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înaintate pentru acesta. În acest sens, se impune actualizarea lui în conformitate cu condițiile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stabilite de Anexa 3 la HG nr.1171/2018. Astfel, acesta va fi modificat, după cum urmează:</w:t>
            </w:r>
          </w:p>
          <w:p w14:paraId="79B8CA52" w14:textId="03180A0B" w:rsidR="008A3B8F" w:rsidRPr="007A210A" w:rsidRDefault="008A3B8F"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La compartimentul 4 al tabelului se va menționa, în ordine: articolele, alineatele,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paragrafele etc. ale actului Uniunii Europene, cu transcrierea tuturor dispozițiilor ce</w:t>
            </w:r>
          </w:p>
          <w:p w14:paraId="66B96051" w14:textId="33518831" w:rsidR="008A3B8F" w:rsidRPr="007A210A" w:rsidRDefault="008A3B8F"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corespund acestora, astfel încât să fie reflectat întreg textul actului Uniunii Europene care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constituie obiect al transpunerii;</w:t>
            </w:r>
          </w:p>
          <w:p w14:paraId="15ED3B9F" w14:textId="516DFDB5" w:rsidR="008A3B8F" w:rsidRPr="007A210A" w:rsidRDefault="008A3B8F"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La compartimentul 5 al tabelului se vor menționa articolele, alineatele, paragrafele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etc. ale proiectului de act normativ național, care corespund și transpun dispozițiile actului</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Uniunii Europene din compartimentul 4 al tabelului de concordanță, cu transcrierea tuturor</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prevederilor proiectului cuprinse în aceste articole, alineate, paragrafe etc., astfel încât să fie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reflectat întreg textul proiectului de act normativ național;</w:t>
            </w:r>
          </w:p>
          <w:p w14:paraId="1173365F" w14:textId="688F60A9" w:rsidR="008A3B8F" w:rsidRPr="007A210A" w:rsidRDefault="008A3B8F"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La compartimentul 6 se va revizui gradul de compatibilitate dintre prevederile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actului Uniunii Europene care se transpune și prevederile corespondente ale proiectului de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act normativ care transpune dispozițiile actului Uniunii Europene, pentru fiecare articol,</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alineat, paragraf etc., în funcție de modul de reflectare a corespondenței acestora,</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utilizându-se calificativele de compatibilitate stabilite în pct. 35 din HG 1171/2018, în speță,</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cu referire la art. 5; art. 7 (al treilea paragraf indică că: „Schimbul de informații se efectuează</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prin intermediul IMI … fără a aduce atingere posibilității ca autoritățile centrale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competente să utilizeze alte mijloace de comunicare în afara IMI.”, ceea ce înseamnă</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posibilitatea ajustării prevederii pentru transpunerea în legislația națională); art. 15;</w:t>
            </w:r>
          </w:p>
          <w:p w14:paraId="3577CE7E" w14:textId="133C0806" w:rsidR="008A3B8F" w:rsidRPr="007A210A" w:rsidRDefault="008A3B8F"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xml:space="preserve">- La compartimentul 7 se va menționa diferențele dintre </w:t>
            </w:r>
            <w:r w:rsidRPr="007A210A">
              <w:rPr>
                <w:rFonts w:ascii="Times New Roman" w:hAnsi="Times New Roman" w:cs="Times New Roman"/>
                <w:sz w:val="24"/>
                <w:szCs w:val="24"/>
                <w:lang w:val="ro-RO"/>
              </w:rPr>
              <w:lastRenderedPageBreak/>
              <w:t>prevederile actului Uniunii</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Europene și prevederile proiectului de act normativ național, în cazul în care se realizează o</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transpunere incompletă/parțială a dispozițiilor actului Uniunii Europene. Se explică motivele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care stau la baza transpunerii incomplete/parțiale și se inserează trimiteri, mențiuni relevante;</w:t>
            </w:r>
          </w:p>
          <w:p w14:paraId="4C743B9F" w14:textId="5A749D92" w:rsidR="008A3B8F" w:rsidRPr="007A210A" w:rsidRDefault="008A3B8F"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La compartimentul 8 se va indica termenele preconizate pentru realizarea</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transpunerii integrale a dispozițiilor actului Uniunii Europene și proiectele de acte normative</w:t>
            </w:r>
          </w:p>
          <w:p w14:paraId="42B72B7C" w14:textId="5EA40E97" w:rsidR="008A3B8F" w:rsidRPr="007A210A" w:rsidRDefault="008A3B8F"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care vor înlătura diferențele de compatibilitate constatate la compartimentul 7 al tabelului de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concordanță.</w:t>
            </w:r>
          </w:p>
          <w:p w14:paraId="4E75720E" w14:textId="1A7F8C03" w:rsidR="008A3B8F" w:rsidRPr="007A210A" w:rsidRDefault="008A3B8F" w:rsidP="00C265BE">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De asemenea, remarcăm că, în conformitate cu pct. 53 din Regulament, Tabelul de</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concordanță actualizat urmează a fi prezentat în format electronic, în termen de 20 zile de la</w:t>
            </w:r>
          </w:p>
          <w:p w14:paraId="04DF424A" w14:textId="4F5EC2BA" w:rsidR="008A3B8F" w:rsidRPr="007A210A" w:rsidRDefault="008A3B8F" w:rsidP="001D1177">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aprobarea proiectului de act normativ Cancelariei de Stat (Centrului de armonizare a</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legislației) pentru a fi inclus în baza de date a legislației naționale armonizate. )</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3FCC2F1C" w14:textId="77777777" w:rsidR="007811A3" w:rsidRDefault="007811A3" w:rsidP="007811A3">
            <w:pPr>
              <w:tabs>
                <w:tab w:val="left" w:pos="884"/>
                <w:tab w:val="left" w:pos="1196"/>
              </w:tabs>
              <w:spacing w:after="0" w:line="240" w:lineRule="auto"/>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lastRenderedPageBreak/>
              <w:t>Se acceptă.</w:t>
            </w:r>
          </w:p>
          <w:p w14:paraId="2EC12571" w14:textId="77777777" w:rsidR="00345692" w:rsidRDefault="00345692" w:rsidP="00345692">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4512E644" w14:textId="77777777" w:rsidR="00345692" w:rsidRDefault="00345692" w:rsidP="00C85217">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03FED466" w14:textId="0FA4462B" w:rsidR="008A3B8F" w:rsidRPr="007A210A" w:rsidRDefault="007811A3" w:rsidP="00ED24C1">
            <w:pPr>
              <w:tabs>
                <w:tab w:val="left" w:pos="884"/>
                <w:tab w:val="left" w:pos="1196"/>
              </w:tabs>
              <w:spacing w:after="0" w:line="240" w:lineRule="auto"/>
              <w:jc w:val="both"/>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Cs/>
                <w:kern w:val="0"/>
                <w:sz w:val="24"/>
                <w:szCs w:val="24"/>
                <w:lang w:val="ro-RO"/>
                <w14:ligatures w14:val="none"/>
              </w:rPr>
              <w:t xml:space="preserve">Tabelul de concordanță a fost </w:t>
            </w:r>
            <w:r w:rsidR="00ED24C1">
              <w:rPr>
                <w:rFonts w:ascii="Times New Roman" w:eastAsia="Times New Roman" w:hAnsi="Times New Roman" w:cs="Times New Roman"/>
                <w:bCs/>
                <w:kern w:val="0"/>
                <w:sz w:val="24"/>
                <w:szCs w:val="24"/>
                <w:lang w:val="ro-RO"/>
                <w14:ligatures w14:val="none"/>
              </w:rPr>
              <w:t>modificat. Recomandările au fost încorporate.</w:t>
            </w:r>
          </w:p>
        </w:tc>
      </w:tr>
      <w:tr w:rsidR="008A3B8F" w:rsidRPr="006D7777" w14:paraId="46639649" w14:textId="77777777" w:rsidTr="00ED24C1">
        <w:tc>
          <w:tcPr>
            <w:tcW w:w="1668" w:type="dxa"/>
            <w:vMerge w:val="restart"/>
            <w:tcBorders>
              <w:top w:val="single" w:sz="4" w:space="0" w:color="auto"/>
              <w:left w:val="single" w:sz="4" w:space="0" w:color="auto"/>
              <w:right w:val="single" w:sz="4" w:space="0" w:color="auto"/>
            </w:tcBorders>
            <w:shd w:val="clear" w:color="auto" w:fill="FFFFFF"/>
          </w:tcPr>
          <w:p w14:paraId="0B5529B7"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lastRenderedPageBreak/>
              <w:t>Ministerul Afacerilor Externe și Integrării Europene (nr. DI/3/041.1-12026 din 18 octombrie 2023)</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5D2DFCCA"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La Nota informativă</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4847AAC6" w14:textId="77777777" w:rsidR="008A3B8F" w:rsidRPr="007A210A" w:rsidRDefault="008A3B8F" w:rsidP="008A3B8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Se menționează că, în corespunde cu cerințele prevăzute în modelul din anexa nr. 1 din Legea nr. 100/2017 cu privire la actele normative, la compartimentul 3 urmează a se indica: dacă intervenția rezultă din angajamentele asumate de Republica Moldova în baza acordurilor bilaterale cu Uniunea Europeană (litera a) și mențiunea privind elaborarea tabelului de concordanță (litera c).</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78A89519" w14:textId="77777777" w:rsidR="008A3B8F" w:rsidRDefault="001D1177" w:rsidP="001D1177">
            <w:pPr>
              <w:tabs>
                <w:tab w:val="left" w:pos="884"/>
                <w:tab w:val="left" w:pos="1196"/>
              </w:tabs>
              <w:spacing w:after="0" w:line="240" w:lineRule="auto"/>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t>Se acceptă.</w:t>
            </w:r>
          </w:p>
          <w:p w14:paraId="0F7CD062" w14:textId="77777777" w:rsidR="00051642" w:rsidRDefault="00051642" w:rsidP="00051642">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05663F5F" w14:textId="77777777" w:rsidR="00051642" w:rsidRDefault="00051642" w:rsidP="001D1177">
            <w:pPr>
              <w:tabs>
                <w:tab w:val="left" w:pos="884"/>
                <w:tab w:val="left" w:pos="1196"/>
              </w:tabs>
              <w:spacing w:after="0" w:line="240" w:lineRule="auto"/>
              <w:rPr>
                <w:rFonts w:ascii="Times New Roman" w:eastAsia="Times New Roman" w:hAnsi="Times New Roman" w:cs="Times New Roman"/>
                <w:bCs/>
                <w:kern w:val="0"/>
                <w:sz w:val="24"/>
                <w:szCs w:val="24"/>
                <w:lang w:val="ro-RO"/>
                <w14:ligatures w14:val="none"/>
              </w:rPr>
            </w:pPr>
          </w:p>
          <w:p w14:paraId="006F3C29" w14:textId="526D7241" w:rsidR="00D22BCB" w:rsidRPr="00D22BCB" w:rsidRDefault="006D7777" w:rsidP="006D7777">
            <w:pPr>
              <w:tabs>
                <w:tab w:val="left" w:pos="884"/>
                <w:tab w:val="left" w:pos="1196"/>
              </w:tabs>
              <w:spacing w:after="0" w:line="240" w:lineRule="auto"/>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 xml:space="preserve">Nota de fundamentare a fost </w:t>
            </w:r>
            <w:r w:rsidR="00D22BCB">
              <w:rPr>
                <w:rFonts w:ascii="Times New Roman" w:eastAsia="Times New Roman" w:hAnsi="Times New Roman" w:cs="Times New Roman"/>
                <w:bCs/>
                <w:kern w:val="0"/>
                <w:sz w:val="24"/>
                <w:szCs w:val="24"/>
                <w:lang w:val="ro-RO"/>
                <w14:ligatures w14:val="none"/>
              </w:rPr>
              <w:t>ajustat</w:t>
            </w:r>
            <w:r>
              <w:rPr>
                <w:rFonts w:ascii="Times New Roman" w:eastAsia="Times New Roman" w:hAnsi="Times New Roman" w:cs="Times New Roman"/>
                <w:bCs/>
                <w:kern w:val="0"/>
                <w:sz w:val="24"/>
                <w:szCs w:val="24"/>
                <w:lang w:val="ro-RO"/>
                <w14:ligatures w14:val="none"/>
              </w:rPr>
              <w:t>ă</w:t>
            </w:r>
            <w:r w:rsidR="00D22BCB">
              <w:rPr>
                <w:rFonts w:ascii="Times New Roman" w:eastAsia="Times New Roman" w:hAnsi="Times New Roman" w:cs="Times New Roman"/>
                <w:bCs/>
                <w:kern w:val="0"/>
                <w:sz w:val="24"/>
                <w:szCs w:val="24"/>
                <w:lang w:val="ro-RO"/>
                <w14:ligatures w14:val="none"/>
              </w:rPr>
              <w:t xml:space="preserve"> în corespundere cu recomandările.</w:t>
            </w:r>
          </w:p>
        </w:tc>
      </w:tr>
      <w:tr w:rsidR="008A3B8F" w:rsidRPr="004008C4" w14:paraId="31D0AF61" w14:textId="77777777" w:rsidTr="00ED24C1">
        <w:tc>
          <w:tcPr>
            <w:tcW w:w="1668" w:type="dxa"/>
            <w:vMerge/>
            <w:tcBorders>
              <w:left w:val="single" w:sz="4" w:space="0" w:color="auto"/>
              <w:right w:val="single" w:sz="4" w:space="0" w:color="auto"/>
            </w:tcBorders>
            <w:shd w:val="clear" w:color="auto" w:fill="FFFFFF"/>
          </w:tcPr>
          <w:p w14:paraId="75893A7F"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2C96067C"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t>La compartimentul 5 din tabelul de concordanță</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12838FB4" w14:textId="77777777" w:rsidR="008A3B8F" w:rsidRPr="007A210A" w:rsidRDefault="008A3B8F" w:rsidP="008A3B8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La compartimentul 5 din tabelul de concordanță se face referință la punctul 25 care ar fi existent în proiectul Regulamentului privind restituirea bunurilor culturale care au părăsit ilegal teritoriul unui stat supus examinării, pe când în textul regulamentului se regăsesc doar 24 de puncte.</w:t>
            </w:r>
          </w:p>
          <w:p w14:paraId="7932A813" w14:textId="6BB01A6D" w:rsidR="008A3B8F" w:rsidRPr="007A210A" w:rsidRDefault="008A3B8F" w:rsidP="001D1177">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Suplimentar, în conformitate cu art. 56, alin. (1) din Legea nr. 100/2017 cu privire la</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actele normative, se menționează că actele normative intră în vigoare peste o lună de la</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data publicării în Monitorul Oficial al Republicii Moldova, cu excepția cazurilor</w:t>
            </w:r>
            <w:r w:rsidR="001D1177">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 xml:space="preserve">prevăzute la </w:t>
            </w:r>
            <w:r w:rsidRPr="007A210A">
              <w:rPr>
                <w:rFonts w:ascii="Times New Roman" w:hAnsi="Times New Roman" w:cs="Times New Roman"/>
                <w:sz w:val="24"/>
                <w:szCs w:val="24"/>
                <w:lang w:val="ro-RO"/>
              </w:rPr>
              <w:lastRenderedPageBreak/>
              <w:t>alin. (2) și (3), relevanța cărora urmează a fi reflectată în nota informativă.</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6AD4F8AA" w14:textId="77777777" w:rsidR="008A3B8F" w:rsidRDefault="001D1177" w:rsidP="001D1177">
            <w:pPr>
              <w:tabs>
                <w:tab w:val="left" w:pos="884"/>
                <w:tab w:val="left" w:pos="1196"/>
              </w:tabs>
              <w:spacing w:after="0" w:line="240" w:lineRule="auto"/>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lastRenderedPageBreak/>
              <w:t>Se acceptă.</w:t>
            </w:r>
          </w:p>
          <w:p w14:paraId="350B4CE8" w14:textId="77777777" w:rsidR="006824C9" w:rsidRDefault="006824C9" w:rsidP="006824C9">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4D86522C" w14:textId="77777777" w:rsidR="006824C9" w:rsidRDefault="006824C9" w:rsidP="001D1177">
            <w:pPr>
              <w:tabs>
                <w:tab w:val="left" w:pos="884"/>
                <w:tab w:val="left" w:pos="1196"/>
              </w:tabs>
              <w:spacing w:after="0" w:line="240" w:lineRule="auto"/>
              <w:rPr>
                <w:rFonts w:ascii="Times New Roman" w:eastAsia="Times New Roman" w:hAnsi="Times New Roman" w:cs="Times New Roman"/>
                <w:bCs/>
                <w:kern w:val="0"/>
                <w:sz w:val="24"/>
                <w:szCs w:val="24"/>
                <w:lang w:val="ro-RO"/>
                <w14:ligatures w14:val="none"/>
              </w:rPr>
            </w:pPr>
          </w:p>
          <w:p w14:paraId="2766E7A0" w14:textId="4618CC4F" w:rsidR="001D1177" w:rsidRPr="001D1177" w:rsidRDefault="006D7777" w:rsidP="001D1177">
            <w:pPr>
              <w:tabs>
                <w:tab w:val="left" w:pos="884"/>
                <w:tab w:val="left" w:pos="1196"/>
              </w:tabs>
              <w:spacing w:after="0" w:line="240" w:lineRule="auto"/>
              <w:rPr>
                <w:rFonts w:ascii="Times New Roman" w:eastAsia="Times New Roman" w:hAnsi="Times New Roman" w:cs="Times New Roman"/>
                <w:bCs/>
                <w:kern w:val="0"/>
                <w:sz w:val="24"/>
                <w:szCs w:val="24"/>
                <w:lang w:val="ro-RO"/>
                <w14:ligatures w14:val="none"/>
              </w:rPr>
            </w:pPr>
            <w:r w:rsidRPr="006D7777">
              <w:rPr>
                <w:rFonts w:ascii="Times New Roman" w:eastAsia="Times New Roman" w:hAnsi="Times New Roman" w:cs="Times New Roman"/>
                <w:bCs/>
                <w:kern w:val="0"/>
                <w:sz w:val="24"/>
                <w:szCs w:val="24"/>
                <w:lang w:val="ro-RO"/>
                <w14:ligatures w14:val="none"/>
              </w:rPr>
              <w:t>Tabelul de concordanță a fost modificat. Recomandările au fost încorporate.</w:t>
            </w:r>
          </w:p>
        </w:tc>
      </w:tr>
      <w:tr w:rsidR="008A3B8F" w:rsidRPr="00ED24C1" w14:paraId="6D5CB90F" w14:textId="77777777" w:rsidTr="00ED24C1">
        <w:tc>
          <w:tcPr>
            <w:tcW w:w="1668" w:type="dxa"/>
            <w:tcBorders>
              <w:top w:val="single" w:sz="4" w:space="0" w:color="auto"/>
              <w:left w:val="single" w:sz="4" w:space="0" w:color="auto"/>
              <w:bottom w:val="nil"/>
              <w:right w:val="single" w:sz="4" w:space="0" w:color="auto"/>
            </w:tcBorders>
            <w:shd w:val="clear" w:color="auto" w:fill="FFFFFF"/>
          </w:tcPr>
          <w:p w14:paraId="2DE4F64E"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r w:rsidRPr="007A210A">
              <w:rPr>
                <w:rFonts w:ascii="Times New Roman" w:eastAsia="Times New Roman" w:hAnsi="Times New Roman" w:cs="Times New Roman"/>
                <w:b/>
                <w:kern w:val="0"/>
                <w:sz w:val="24"/>
                <w:szCs w:val="24"/>
                <w:lang w:val="ro-RO"/>
                <w14:ligatures w14:val="none"/>
              </w:rPr>
              <w:lastRenderedPageBreak/>
              <w:t xml:space="preserve">Ministerul Justiției ( </w:t>
            </w:r>
            <w:r w:rsidR="007D5295" w:rsidRPr="007A210A">
              <w:rPr>
                <w:rFonts w:ascii="Times New Roman" w:eastAsia="Times New Roman" w:hAnsi="Times New Roman" w:cs="Times New Roman"/>
                <w:b/>
                <w:kern w:val="0"/>
                <w:sz w:val="24"/>
                <w:szCs w:val="24"/>
                <w:lang w:val="ro-RO"/>
                <w14:ligatures w14:val="none"/>
              </w:rPr>
              <w:t>04/1 – 9298 din 23.10.2023</w:t>
            </w:r>
            <w:r w:rsidRPr="007A210A">
              <w:rPr>
                <w:rFonts w:ascii="Times New Roman" w:eastAsia="Times New Roman" w:hAnsi="Times New Roman" w:cs="Times New Roman"/>
                <w:b/>
                <w:kern w:val="0"/>
                <w:sz w:val="24"/>
                <w:szCs w:val="24"/>
                <w:lang w:val="ro-RO"/>
                <w14:ligatures w14:val="none"/>
              </w:rPr>
              <w:t>)</w:t>
            </w:r>
          </w:p>
        </w:tc>
        <w:tc>
          <w:tcPr>
            <w:tcW w:w="1162" w:type="dxa"/>
            <w:tcBorders>
              <w:top w:val="single" w:sz="4" w:space="0" w:color="auto"/>
              <w:left w:val="single" w:sz="4" w:space="0" w:color="auto"/>
              <w:bottom w:val="nil"/>
              <w:right w:val="single" w:sz="4" w:space="0" w:color="auto"/>
            </w:tcBorders>
            <w:shd w:val="clear" w:color="auto" w:fill="FFFFFF"/>
          </w:tcPr>
          <w:p w14:paraId="43C9CE8D" w14:textId="77777777" w:rsidR="008A3B8F" w:rsidRPr="007A210A" w:rsidRDefault="008A3B8F"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3005C440" w14:textId="1CDF1ABA" w:rsidR="007D5295" w:rsidRPr="007A210A" w:rsidRDefault="007D5295" w:rsidP="007D5295">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În contextul Notei informative, proiectul a fost elaborat în scopul ajustării cadrului normativ național în domeniul protejării patrimoniului cultural național mobil la prevederile legislației Uniunii Europene și încurajării cooperării dintre Republica Moldova și statele membre în vederea protejării patrimoniului cultural de importanță europeană.</w:t>
            </w:r>
          </w:p>
          <w:p w14:paraId="68469A99" w14:textId="16718A9B" w:rsidR="007D5295" w:rsidRPr="007A210A" w:rsidRDefault="007D5295" w:rsidP="007D5295">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Prin proiectul hotărârii Guvernului se preconizează transpunerea Directivei 2014/60/UE a Parlamentului European și a Consiliului din 15 mai 2014 privind restituirea obiectelor culturale care au părăsit ilegal teritoriul unui stat membru și de modificare a Regulamentului (UE) nr. 1024/2012 (Reformare). Pe plan național, regimul juridic al bunurilor aparținând patrimoniului cultural național mobil, ca parte a patrimoniului cultural național, precum şi activitățile specifice în domeniul identificării, cercetării, inventarierii, clasării, conservării, asigurării securității, întreținerii, preparării, restaurării şi punerii în</w:t>
            </w:r>
          </w:p>
          <w:p w14:paraId="77A5C721" w14:textId="77777777" w:rsidR="007D5295" w:rsidRPr="007A210A" w:rsidRDefault="007D5295" w:rsidP="007D5295">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valoare a bunurilor culturale mobile este reglementat prin Legea nr. 280/2011 privind protejarea patrimoniului cultural național mobil.</w:t>
            </w:r>
          </w:p>
          <w:p w14:paraId="68C190BC" w14:textId="447505FA" w:rsidR="007D5295" w:rsidRPr="007A210A" w:rsidRDefault="007D5295" w:rsidP="00C817FF">
            <w:pPr>
              <w:tabs>
                <w:tab w:val="left" w:pos="884"/>
                <w:tab w:val="left" w:pos="1196"/>
              </w:tabs>
              <w:spacing w:after="0" w:line="240" w:lineRule="auto"/>
              <w:jc w:val="both"/>
              <w:rPr>
                <w:rFonts w:ascii="Times New Roman" w:hAnsi="Times New Roman" w:cs="Times New Roman"/>
                <w:b/>
                <w:bCs/>
                <w:sz w:val="24"/>
                <w:szCs w:val="24"/>
                <w:lang w:val="ro-RO"/>
              </w:rPr>
            </w:pPr>
            <w:r w:rsidRPr="007A210A">
              <w:rPr>
                <w:rFonts w:ascii="Times New Roman" w:hAnsi="Times New Roman" w:cs="Times New Roman"/>
                <w:b/>
                <w:bCs/>
                <w:sz w:val="24"/>
                <w:szCs w:val="24"/>
                <w:lang w:val="ro-RO"/>
              </w:rPr>
              <w:t xml:space="preserve">            Cu privire la obiectul de reglementare al Directivei, apreciem că actul</w:t>
            </w:r>
            <w:r w:rsidR="001D1177">
              <w:rPr>
                <w:rFonts w:ascii="Times New Roman" w:hAnsi="Times New Roman" w:cs="Times New Roman"/>
                <w:b/>
                <w:bCs/>
                <w:sz w:val="24"/>
                <w:szCs w:val="24"/>
                <w:lang w:val="ro-RO"/>
              </w:rPr>
              <w:t xml:space="preserve"> </w:t>
            </w:r>
            <w:r w:rsidRPr="007A210A">
              <w:rPr>
                <w:rFonts w:ascii="Times New Roman" w:hAnsi="Times New Roman" w:cs="Times New Roman"/>
                <w:b/>
                <w:bCs/>
                <w:sz w:val="24"/>
                <w:szCs w:val="24"/>
                <w:lang w:val="ro-RO"/>
              </w:rPr>
              <w:t>normativ intern de transpunere a acesteia trebuie să fie la nivel de lege.</w:t>
            </w:r>
          </w:p>
          <w:p w14:paraId="64DA6FAF" w14:textId="77777777" w:rsidR="007D5295" w:rsidRPr="007A210A" w:rsidRDefault="007D5295" w:rsidP="00C817F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xml:space="preserve"> Astfel, la elaborarea proiectului aflat în discuție, urma să se țină cont de prevederile art. 102 alin. (2) din Constituția Republicii Moldova, potrivit cărora hotărârile Guvernului se adoptă pentru organizarea executării legilor.</w:t>
            </w:r>
          </w:p>
          <w:p w14:paraId="2AFB824A" w14:textId="77777777" w:rsidR="008A3B8F" w:rsidRPr="007A210A" w:rsidRDefault="007D5295" w:rsidP="00C817F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xml:space="preserve">Cu referire la acest aspect, distingem că legea este un act juridic suprem în piramida surselor de drept, iar regula generală prevede că celelalte acte juridice normative nu pot anula, restrânge sau lărgi sfera de acțiune a legii propriu zise. Așadar, </w:t>
            </w:r>
            <w:r w:rsidRPr="007A210A">
              <w:rPr>
                <w:rFonts w:ascii="Times New Roman" w:hAnsi="Times New Roman" w:cs="Times New Roman"/>
                <w:b/>
                <w:bCs/>
                <w:sz w:val="24"/>
                <w:szCs w:val="24"/>
                <w:lang w:val="ro-RO"/>
              </w:rPr>
              <w:t>Guvernul nu dispune de dreptul de reglementare primară a relațiilor</w:t>
            </w:r>
            <w:r w:rsidRPr="007A210A">
              <w:rPr>
                <w:rFonts w:ascii="Times New Roman" w:hAnsi="Times New Roman" w:cs="Times New Roman"/>
                <w:sz w:val="24"/>
                <w:szCs w:val="24"/>
                <w:lang w:val="ro-RO"/>
              </w:rPr>
              <w:t xml:space="preserve"> </w:t>
            </w:r>
            <w:r w:rsidRPr="007A210A">
              <w:rPr>
                <w:rFonts w:ascii="Times New Roman" w:hAnsi="Times New Roman" w:cs="Times New Roman"/>
                <w:b/>
                <w:bCs/>
                <w:sz w:val="24"/>
                <w:szCs w:val="24"/>
                <w:lang w:val="ro-RO"/>
              </w:rPr>
              <w:t xml:space="preserve">sociale, ci doar de a adopta legislația secundară în scopul bunei </w:t>
            </w:r>
            <w:r w:rsidRPr="007A210A">
              <w:rPr>
                <w:rFonts w:ascii="Times New Roman" w:hAnsi="Times New Roman" w:cs="Times New Roman"/>
                <w:b/>
                <w:bCs/>
                <w:sz w:val="24"/>
                <w:szCs w:val="24"/>
                <w:lang w:val="ro-RO"/>
              </w:rPr>
              <w:lastRenderedPageBreak/>
              <w:t>administrări a</w:t>
            </w:r>
            <w:r w:rsidRPr="007A210A">
              <w:rPr>
                <w:rFonts w:ascii="Times New Roman" w:hAnsi="Times New Roman" w:cs="Times New Roman"/>
                <w:sz w:val="24"/>
                <w:szCs w:val="24"/>
                <w:lang w:val="ro-RO"/>
              </w:rPr>
              <w:t xml:space="preserve"> </w:t>
            </w:r>
            <w:r w:rsidRPr="007A210A">
              <w:rPr>
                <w:rFonts w:ascii="Times New Roman" w:hAnsi="Times New Roman" w:cs="Times New Roman"/>
                <w:b/>
                <w:bCs/>
                <w:sz w:val="24"/>
                <w:szCs w:val="24"/>
                <w:lang w:val="ro-RO"/>
              </w:rPr>
              <w:t>executării legilor (cadrului normativ primar), care reclamă stabilirea de măsuri şi</w:t>
            </w:r>
            <w:r w:rsidRPr="007A210A">
              <w:rPr>
                <w:rFonts w:ascii="Times New Roman" w:hAnsi="Times New Roman" w:cs="Times New Roman"/>
                <w:sz w:val="24"/>
                <w:szCs w:val="24"/>
                <w:lang w:val="ro-RO"/>
              </w:rPr>
              <w:t xml:space="preserve"> </w:t>
            </w:r>
            <w:r w:rsidRPr="007A210A">
              <w:rPr>
                <w:rFonts w:ascii="Times New Roman" w:hAnsi="Times New Roman" w:cs="Times New Roman"/>
                <w:b/>
                <w:bCs/>
                <w:sz w:val="24"/>
                <w:szCs w:val="24"/>
                <w:lang w:val="ro-RO"/>
              </w:rPr>
              <w:t>reguli subsecvente, care să asigure corecta aplicare a acestuia.</w:t>
            </w:r>
          </w:p>
          <w:p w14:paraId="0DC21213" w14:textId="77777777" w:rsidR="007D5295" w:rsidRPr="007A210A" w:rsidRDefault="007D5295" w:rsidP="00C817F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Curtea Constituțională, în Hotărârea nr. 23/2013, a relevat că „potrivit prevederilor art. 96 coroborate cu dispozițiile art. 102 alin. (2) din Constituție, Guvernul asigură realizarea politicii interne și externe a statului și exercită conducerea generală a administrației publice. În virtutea acestui rol, Guvernul efectuează o activitate exclusiv executivă, principala sa atribuție fiind organizarea și asigurarea executării legilor, în care scop emite acte normative sub formă de hotărâri și dispoziții. Actele normative, adoptate de către Guvern în temeiul și</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pentru executarea legilor, nu trebuie să contravină prevederilor acestora sau să le depășească.” (§ 48-49). De asemenea, Curtea Constituțională a statuat în jurisprudența sa (Hotărârea nr. 29/2016, § 71): „[...] conținutul actului normativ urmează să fie în strictă</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corespundere cu normele şi scopul legii sau ale actului normativ superior şi nu poate introduce reglementări noi, altele decât cele stabilite de lege sau actul superior. [...]”.</w:t>
            </w:r>
          </w:p>
          <w:p w14:paraId="693C176D" w14:textId="77777777" w:rsidR="007D5295" w:rsidRPr="007A210A" w:rsidRDefault="007D5295" w:rsidP="00C817F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În lumina celor enunțate mai sus, distingem că prin hotărârea Guvernului adoptată în temeiul legii, prin care se stabilesc reguli juridice de organizare a aplicării legii și de punere a ei în executare, nu se pot crea obligații noi sau să se stabilească raporturi neprevăzute în lege. Cu alte cuvinte, Guvernul nu poate interveni normativ în domeniile rezervate legii. Or, atunci când legiuitorul abilitează Guvernul cu reglementarea prin hotărâri, acestea din urmă se adoptă „în limitele” şi potrivit normelor legale care le ordonă, ceea ce înseamnă că prin actele</w:t>
            </w:r>
          </w:p>
          <w:p w14:paraId="415B971A" w14:textId="77777777" w:rsidR="007D5295" w:rsidRPr="007A210A" w:rsidRDefault="007D5295" w:rsidP="00C817F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xml:space="preserve">normative de reglementare secundară nu se poate deroga sau adăuga la lege și nu se poate interveni în domeniul legii (ordinare sau organice). Astfel, hotărârile Guvernului se aprobă întotdeauna în baza legii, urmărind organizarea executării și executarea în concret a normelor care </w:t>
            </w:r>
            <w:r w:rsidRPr="007A210A">
              <w:rPr>
                <w:rFonts w:ascii="Times New Roman" w:hAnsi="Times New Roman" w:cs="Times New Roman"/>
                <w:sz w:val="24"/>
                <w:szCs w:val="24"/>
                <w:lang w:val="ro-RO"/>
              </w:rPr>
              <w:lastRenderedPageBreak/>
              <w:t>reclamă stabilirea de măsuri şi reguli subsecvente pentru ca să fie asigurată aplicarea corectă a acestora.</w:t>
            </w:r>
          </w:p>
          <w:p w14:paraId="71C08680" w14:textId="77777777" w:rsidR="007D5295" w:rsidRPr="007A210A" w:rsidRDefault="007D5295" w:rsidP="00C817F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În condițiile de mai sus, subliniem că art. 22 alin. (3) din Legea nr. 280/2011, dispozițiile căruia prevăd că „Guvernul asigură realizarea politicii de stat în domeniul protejării patrimoniului cultural național mobil, aprobă cadrul normativ şi programele de stat privind protejarea, conservarea şi restaurarea patrimoniului</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cultural național mobil”, nu ar avea nicio relevanță/fundament temeinic pentru</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adoptarea proiectului hotărârii Guvernului aflat în discuție. Or, norma care prevede</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că Guvernul aprobă cadrul şi programele de stat privind protejarea, conservarea şi</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restaurarea patrimoniului cultural național mobil, nu ar trebui să fie interpretată în</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sensul că acesta ar putea să intervină, într-un domeniu rezervat legii după propria</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apreciere. Autoritățile statului, în speță Guvernul poate acționa numai dacă are</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abilitare legală sau doar în limitele stabilite de normele legale. Hotărârile</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Guvernului care se adoptă la inițiativa legii, nu pot crea obligații noi și nici sa</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stabilească raporturi neprevăzute în lege.</w:t>
            </w:r>
          </w:p>
          <w:p w14:paraId="01F4D656" w14:textId="77777777" w:rsidR="007D5295" w:rsidRPr="007A210A" w:rsidRDefault="007D5295" w:rsidP="00C817F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Față de aspectul ce se dorește a fi reglementat și anume despre condițiile de</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restituire de către statul Republica Moldova a bunurilor culturale care au părăsit</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ilegal teritoriul unui stat membru al Uniunii Europene, începând cu data de 1</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ianuarie 1993, se circumscrie exclusiv sferei de reglementare a Legii nr. 280/2011.</w:t>
            </w:r>
          </w:p>
          <w:p w14:paraId="3DF93060" w14:textId="33A92B79" w:rsidR="007D5295" w:rsidRPr="007A210A" w:rsidRDefault="007D5295" w:rsidP="00C817FF">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În subsidiar, atragem atenția că un eventual proiect de lege, prin obiectul</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reglementării lui, care ar avea în vedere transpunerea Directivei 2014/60/UE a</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Parlamentului European și a Consiliului din 15 mai 2014 privind restituirea</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obiectelor culturale care au părăsit ilegal teritoriul unui stat membru și de</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modificare a Regulamentului (UE) nr. 1024/2012 (Reformare) se va referi la</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restituirea de către Republica Moldova a bunurilor culturale care au părăsit ilegal</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teritoriul unui stat membru al Uniunii Europene, începând cu data de 1 ianuarie</w:t>
            </w:r>
            <w:r w:rsidR="00C817FF" w:rsidRPr="007A210A">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1993.</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193D30B0" w14:textId="77777777" w:rsidR="00742D44" w:rsidRDefault="00742D44" w:rsidP="00742D44">
            <w:pPr>
              <w:tabs>
                <w:tab w:val="left" w:pos="884"/>
                <w:tab w:val="left" w:pos="1196"/>
              </w:tabs>
              <w:spacing w:after="0" w:line="240" w:lineRule="auto"/>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lastRenderedPageBreak/>
              <w:t>Se acceptă.</w:t>
            </w:r>
          </w:p>
          <w:p w14:paraId="5B81880F" w14:textId="134D832A" w:rsidR="00742D44" w:rsidRDefault="00742D44" w:rsidP="00742D44">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1BC19ACF" w14:textId="3866ED73" w:rsidR="006C275E" w:rsidRPr="00BA1013" w:rsidRDefault="003B729B" w:rsidP="006C275E">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Pr>
                <w:rFonts w:ascii="Times New Roman" w:eastAsia="Times New Roman" w:hAnsi="Times New Roman" w:cs="Times New Roman"/>
                <w:bCs/>
                <w:kern w:val="0"/>
                <w:sz w:val="24"/>
                <w:szCs w:val="24"/>
                <w:lang w:val="ro-RO"/>
                <w14:ligatures w14:val="none"/>
              </w:rPr>
              <w:t>În urma reconceptualizării, p</w:t>
            </w:r>
            <w:r w:rsidR="00742D44">
              <w:rPr>
                <w:rFonts w:ascii="Times New Roman" w:eastAsia="Times New Roman" w:hAnsi="Times New Roman" w:cs="Times New Roman"/>
                <w:bCs/>
                <w:kern w:val="0"/>
                <w:sz w:val="24"/>
                <w:szCs w:val="24"/>
                <w:lang w:val="ro-RO"/>
                <w14:ligatures w14:val="none"/>
              </w:rPr>
              <w:t>roiectul de lege înglobează recomandările expuse.</w:t>
            </w:r>
          </w:p>
        </w:tc>
      </w:tr>
      <w:tr w:rsidR="00BA1013" w:rsidRPr="00ED24C1" w14:paraId="299C4246" w14:textId="77777777" w:rsidTr="00ED24C1">
        <w:tc>
          <w:tcPr>
            <w:tcW w:w="1668" w:type="dxa"/>
            <w:tcBorders>
              <w:top w:val="nil"/>
              <w:left w:val="single" w:sz="4" w:space="0" w:color="auto"/>
              <w:bottom w:val="single" w:sz="4" w:space="0" w:color="auto"/>
              <w:right w:val="single" w:sz="4" w:space="0" w:color="auto"/>
            </w:tcBorders>
            <w:shd w:val="clear" w:color="auto" w:fill="FFFFFF"/>
          </w:tcPr>
          <w:p w14:paraId="75EDA675" w14:textId="77777777" w:rsidR="00BA1013" w:rsidRPr="007A210A" w:rsidRDefault="00BA1013"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1162" w:type="dxa"/>
            <w:tcBorders>
              <w:top w:val="nil"/>
              <w:left w:val="single" w:sz="4" w:space="0" w:color="auto"/>
              <w:bottom w:val="single" w:sz="4" w:space="0" w:color="auto"/>
              <w:right w:val="single" w:sz="4" w:space="0" w:color="auto"/>
            </w:tcBorders>
            <w:shd w:val="clear" w:color="auto" w:fill="FFFFFF"/>
          </w:tcPr>
          <w:p w14:paraId="3917D7E8" w14:textId="77777777" w:rsidR="00BA1013" w:rsidRPr="007A210A" w:rsidRDefault="00BA1013" w:rsidP="003474B6">
            <w:pPr>
              <w:tabs>
                <w:tab w:val="left" w:pos="884"/>
                <w:tab w:val="left" w:pos="1196"/>
              </w:tabs>
              <w:spacing w:after="0" w:line="240" w:lineRule="auto"/>
              <w:jc w:val="center"/>
              <w:rPr>
                <w:rFonts w:ascii="Times New Roman" w:eastAsia="Times New Roman" w:hAnsi="Times New Roman" w:cs="Times New Roman"/>
                <w:b/>
                <w:kern w:val="0"/>
                <w:sz w:val="24"/>
                <w:szCs w:val="24"/>
                <w:lang w:val="ro-RO"/>
                <w14:ligatures w14:val="none"/>
              </w:rPr>
            </w:pP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6A121B44" w14:textId="77777777" w:rsidR="00BA1013" w:rsidRPr="007A210A" w:rsidRDefault="00BA1013" w:rsidP="00BA1013">
            <w:pPr>
              <w:tabs>
                <w:tab w:val="left" w:pos="884"/>
                <w:tab w:val="left" w:pos="1196"/>
              </w:tabs>
              <w:spacing w:after="0" w:line="240" w:lineRule="auto"/>
              <w:jc w:val="both"/>
              <w:rPr>
                <w:rFonts w:ascii="Times New Roman" w:hAnsi="Times New Roman" w:cs="Times New Roman"/>
                <w:b/>
                <w:bCs/>
                <w:sz w:val="24"/>
                <w:szCs w:val="24"/>
                <w:lang w:val="ro-RO"/>
              </w:rPr>
            </w:pPr>
            <w:r w:rsidRPr="007A210A">
              <w:rPr>
                <w:rFonts w:ascii="Times New Roman" w:hAnsi="Times New Roman" w:cs="Times New Roman"/>
                <w:b/>
                <w:bCs/>
                <w:sz w:val="24"/>
                <w:szCs w:val="24"/>
                <w:lang w:val="ro-RO"/>
              </w:rPr>
              <w:t xml:space="preserve">Referitor la definițiile din directivă, acestea trebuie </w:t>
            </w:r>
            <w:r w:rsidRPr="007A210A">
              <w:rPr>
                <w:rFonts w:ascii="Times New Roman" w:hAnsi="Times New Roman" w:cs="Times New Roman"/>
                <w:b/>
                <w:bCs/>
                <w:sz w:val="24"/>
                <w:szCs w:val="24"/>
                <w:lang w:val="ro-RO"/>
              </w:rPr>
              <w:lastRenderedPageBreak/>
              <w:t>transpuse integral și literal în legislația națională.</w:t>
            </w:r>
          </w:p>
          <w:p w14:paraId="53ACF809" w14:textId="77777777" w:rsidR="00BA1013" w:rsidRPr="007A210A" w:rsidRDefault="00BA1013" w:rsidP="00BA1013">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În Hotărârea nr. 16/1998 cu privire la interpretarea art. 20 din Constituția Republicii Moldova, Curtea Constituțională a stabilit:</w:t>
            </w:r>
          </w:p>
          <w:p w14:paraId="2DB46689" w14:textId="77777777" w:rsidR="00BA1013" w:rsidRPr="007A210A" w:rsidRDefault="00BA1013" w:rsidP="00BA1013">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xml:space="preserve"> „[3.] ...Potrivit art. 115 alin.(4) din Constituție, organizarea instanțelor judecătorești,</w:t>
            </w:r>
            <w:r>
              <w:rPr>
                <w:rFonts w:ascii="Times New Roman" w:hAnsi="Times New Roman" w:cs="Times New Roman"/>
                <w:sz w:val="24"/>
                <w:szCs w:val="24"/>
                <w:lang w:val="ro-RO"/>
              </w:rPr>
              <w:t xml:space="preserve"> </w:t>
            </w:r>
            <w:r w:rsidRPr="007A210A">
              <w:rPr>
                <w:rFonts w:ascii="Times New Roman" w:hAnsi="Times New Roman" w:cs="Times New Roman"/>
                <w:sz w:val="24"/>
                <w:szCs w:val="24"/>
                <w:lang w:val="ro-RO"/>
              </w:rPr>
              <w:t>competența acestora şi procedura de judecată sunt stabilite prin lege organică. Astfel, Curtea Constituțională constată că determinarea „instanței judecătorești competente”, locului acesteia în ierarhia instanțelor judecătorești, gradului de jurisdicție și aplicării căilor de atac, stabilirea categoriilor de cauze ce țin (sau ce nu țin) de competența acestora sunt prerogative exclusive ale legiuitorului.</w:t>
            </w:r>
          </w:p>
          <w:p w14:paraId="7CCE5382" w14:textId="77777777" w:rsidR="00BA1013" w:rsidRPr="007A210A" w:rsidRDefault="00BA1013" w:rsidP="00BA1013">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Având în vedere că Legea Supremă a Republicii Moldova nu prevede delegarea atribuțiilor legislative, Curtea a considerat că nici o altă autoritate publică, oricare ar fi locul ei în sistemul autorităților publice nu este in drept să stabilească competența instanțelor judecătorești, indiferent de natura politică sau socială a litigiului ce urmează să fie soluționat.”.</w:t>
            </w:r>
          </w:p>
          <w:p w14:paraId="62C2AD6E" w14:textId="126695D8" w:rsidR="00BA1013" w:rsidRPr="007A210A" w:rsidRDefault="00BA1013" w:rsidP="00BA1013">
            <w:pPr>
              <w:tabs>
                <w:tab w:val="left" w:pos="884"/>
                <w:tab w:val="left" w:pos="1196"/>
              </w:tabs>
              <w:spacing w:after="0" w:line="240" w:lineRule="auto"/>
              <w:jc w:val="both"/>
              <w:rPr>
                <w:rFonts w:ascii="Times New Roman" w:hAnsi="Times New Roman" w:cs="Times New Roman"/>
                <w:sz w:val="24"/>
                <w:szCs w:val="24"/>
                <w:lang w:val="ro-RO"/>
              </w:rPr>
            </w:pPr>
            <w:r w:rsidRPr="007A210A">
              <w:rPr>
                <w:rFonts w:ascii="Times New Roman" w:hAnsi="Times New Roman" w:cs="Times New Roman"/>
                <w:sz w:val="24"/>
                <w:szCs w:val="24"/>
                <w:lang w:val="ro-RO"/>
              </w:rPr>
              <w:t xml:space="preserve"> În contextul de mai sus, atragem atenția asupra art. 6 din Directiva nominalizată, care prevede că „Statul membru solicitant poate introduce împotriva posesorului sau, în lipsa acestuia, împotriva deținătorului o acțiune în restituirea unui obiect cultural care a părăsit ilegal teritoriul său, pe lângă tribunalul competent al statului membru solicitat”. Respectiv, în actul național urmează a fi identificată instanța competentă de examinare a acțiunii privind restituirea bunului cultural care a părăsit ilegal teritoriul unui stat membru al Uniunii Europene.</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53E8B18B" w14:textId="77777777" w:rsidR="00BA1013" w:rsidRPr="006C275E" w:rsidRDefault="00BA1013" w:rsidP="00BA1013">
            <w:pPr>
              <w:tabs>
                <w:tab w:val="left" w:pos="884"/>
                <w:tab w:val="left" w:pos="1196"/>
              </w:tabs>
              <w:spacing w:after="0" w:line="240" w:lineRule="auto"/>
              <w:jc w:val="both"/>
              <w:rPr>
                <w:rFonts w:ascii="Times New Roman" w:eastAsia="Times New Roman" w:hAnsi="Times New Roman" w:cs="Times New Roman"/>
                <w:b/>
                <w:kern w:val="0"/>
                <w:sz w:val="24"/>
                <w:szCs w:val="24"/>
                <w:lang w:val="ro-RO"/>
                <w14:ligatures w14:val="none"/>
              </w:rPr>
            </w:pPr>
            <w:r w:rsidRPr="006C275E">
              <w:rPr>
                <w:rFonts w:ascii="Times New Roman" w:eastAsia="Times New Roman" w:hAnsi="Times New Roman" w:cs="Times New Roman"/>
                <w:b/>
                <w:kern w:val="0"/>
                <w:sz w:val="24"/>
                <w:szCs w:val="24"/>
                <w:lang w:val="ro-RO"/>
                <w14:ligatures w14:val="none"/>
              </w:rPr>
              <w:lastRenderedPageBreak/>
              <w:t>Se acceptă.</w:t>
            </w:r>
          </w:p>
          <w:p w14:paraId="4902ACF4" w14:textId="77777777" w:rsidR="006824C9" w:rsidRDefault="006824C9" w:rsidP="006824C9">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r w:rsidRPr="001D1177">
              <w:rPr>
                <w:rFonts w:ascii="Times New Roman" w:eastAsia="Times New Roman" w:hAnsi="Times New Roman" w:cs="Times New Roman"/>
                <w:bCs/>
                <w:kern w:val="0"/>
                <w:sz w:val="24"/>
                <w:szCs w:val="24"/>
                <w:lang w:val="ro-RO"/>
                <w14:ligatures w14:val="none"/>
              </w:rPr>
              <w:lastRenderedPageBreak/>
              <w:t>Proiectul hotărârii Guvernului pentru aprobarea Regulamentului privind restituirea bunurilor culturale care au părăsit ilegal teritoriul unui stat ( nr. unic 861/MC/2023) a fost reconceptualizat și a fost elaborat proiectul de Lege cu privire la modificarea Legii nr. 280/2011 privind protejarea patrimoniului cultural național mobil</w:t>
            </w:r>
            <w:r>
              <w:rPr>
                <w:rFonts w:ascii="Times New Roman" w:eastAsia="Times New Roman" w:hAnsi="Times New Roman" w:cs="Times New Roman"/>
                <w:bCs/>
                <w:kern w:val="0"/>
                <w:sz w:val="24"/>
                <w:szCs w:val="24"/>
                <w:lang w:val="ro-RO"/>
                <w14:ligatures w14:val="none"/>
              </w:rPr>
              <w:t>.</w:t>
            </w:r>
          </w:p>
          <w:p w14:paraId="3EF49B9D" w14:textId="77777777" w:rsidR="006824C9" w:rsidRDefault="006824C9" w:rsidP="00BA1013">
            <w:pPr>
              <w:tabs>
                <w:tab w:val="left" w:pos="884"/>
                <w:tab w:val="left" w:pos="1196"/>
              </w:tabs>
              <w:spacing w:after="0" w:line="240" w:lineRule="auto"/>
              <w:jc w:val="both"/>
              <w:rPr>
                <w:rFonts w:ascii="Times New Roman" w:eastAsia="Times New Roman" w:hAnsi="Times New Roman" w:cs="Times New Roman"/>
                <w:bCs/>
                <w:kern w:val="0"/>
                <w:sz w:val="24"/>
                <w:szCs w:val="24"/>
                <w:lang w:val="ro-RO"/>
                <w14:ligatures w14:val="none"/>
              </w:rPr>
            </w:pPr>
          </w:p>
          <w:p w14:paraId="6184401B" w14:textId="0D9241D7" w:rsidR="00BA1013" w:rsidRDefault="00BA1013" w:rsidP="00BA1013">
            <w:pPr>
              <w:tabs>
                <w:tab w:val="left" w:pos="884"/>
                <w:tab w:val="left" w:pos="1196"/>
              </w:tabs>
              <w:spacing w:after="0" w:line="240" w:lineRule="auto"/>
              <w:jc w:val="both"/>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Cs/>
                <w:kern w:val="0"/>
                <w:sz w:val="24"/>
                <w:szCs w:val="24"/>
                <w:lang w:val="ro-RO"/>
                <w14:ligatures w14:val="none"/>
              </w:rPr>
              <w:t>În proiectul reconceptualizat</w:t>
            </w:r>
            <w:r w:rsidR="007E1F7D">
              <w:rPr>
                <w:rFonts w:ascii="Times New Roman" w:eastAsia="Times New Roman" w:hAnsi="Times New Roman" w:cs="Times New Roman"/>
                <w:bCs/>
                <w:kern w:val="0"/>
                <w:sz w:val="24"/>
                <w:szCs w:val="24"/>
                <w:lang w:val="ro-RO"/>
                <w14:ligatures w14:val="none"/>
              </w:rPr>
              <w:t xml:space="preserve">, </w:t>
            </w:r>
            <w:r>
              <w:rPr>
                <w:rFonts w:ascii="Times New Roman" w:eastAsia="Times New Roman" w:hAnsi="Times New Roman" w:cs="Times New Roman"/>
                <w:bCs/>
                <w:kern w:val="0"/>
                <w:sz w:val="24"/>
                <w:szCs w:val="24"/>
                <w:lang w:val="ro-RO"/>
                <w14:ligatures w14:val="none"/>
              </w:rPr>
              <w:t xml:space="preserve">Curtea de Apel Chișinău a fost identificată drept instanță competentă de examinare a </w:t>
            </w:r>
            <w:r w:rsidRPr="007A210A">
              <w:rPr>
                <w:rFonts w:ascii="Times New Roman" w:hAnsi="Times New Roman" w:cs="Times New Roman"/>
                <w:sz w:val="24"/>
                <w:szCs w:val="24"/>
                <w:lang w:val="ro-RO"/>
              </w:rPr>
              <w:t>acțiunii privind restituirea bunului cultural care a părăsit ilegal teritoriul unui stat membru al Uniunii Europene.</w:t>
            </w:r>
          </w:p>
        </w:tc>
      </w:tr>
    </w:tbl>
    <w:p w14:paraId="093F0F8A" w14:textId="77777777" w:rsidR="00D91A4C" w:rsidRPr="007A210A" w:rsidRDefault="00D91A4C">
      <w:pPr>
        <w:rPr>
          <w:lang w:val="ro-RO"/>
        </w:rPr>
      </w:pPr>
    </w:p>
    <w:sectPr w:rsidR="00D91A4C" w:rsidRPr="007A210A" w:rsidSect="00880090">
      <w:footerReference w:type="default" r:id="rId8"/>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AE82F" w14:textId="77777777" w:rsidR="008367A0" w:rsidRDefault="008367A0">
      <w:pPr>
        <w:spacing w:after="0" w:line="240" w:lineRule="auto"/>
      </w:pPr>
      <w:r>
        <w:separator/>
      </w:r>
    </w:p>
  </w:endnote>
  <w:endnote w:type="continuationSeparator" w:id="0">
    <w:p w14:paraId="5760E9F2" w14:textId="77777777" w:rsidR="008367A0" w:rsidRDefault="0083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80966192"/>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5F1EC34C" w14:textId="38A7BCF6" w:rsidR="0036678B" w:rsidRPr="004C6070" w:rsidRDefault="00E930C0" w:rsidP="004C6070">
            <w:pPr>
              <w:pStyle w:val="a3"/>
              <w:jc w:val="right"/>
              <w:rPr>
                <w:rFonts w:ascii="Times New Roman" w:hAnsi="Times New Roman" w:cs="Times New Roman"/>
              </w:rPr>
            </w:pPr>
            <w:r w:rsidRPr="004C6070">
              <w:rPr>
                <w:rFonts w:ascii="Times New Roman" w:hAnsi="Times New Roman" w:cs="Times New Roman"/>
                <w:lang w:val="ro-RO"/>
              </w:rPr>
              <w:t xml:space="preserve">Pagină </w:t>
            </w:r>
            <w:r w:rsidRPr="004C6070">
              <w:rPr>
                <w:rFonts w:ascii="Times New Roman" w:hAnsi="Times New Roman" w:cs="Times New Roman"/>
                <w:b/>
                <w:bCs/>
                <w:sz w:val="24"/>
                <w:szCs w:val="24"/>
              </w:rPr>
              <w:fldChar w:fldCharType="begin"/>
            </w:r>
            <w:r w:rsidRPr="004C6070">
              <w:rPr>
                <w:rFonts w:ascii="Times New Roman" w:hAnsi="Times New Roman" w:cs="Times New Roman"/>
                <w:b/>
                <w:bCs/>
              </w:rPr>
              <w:instrText>PAGE</w:instrText>
            </w:r>
            <w:r w:rsidRPr="004C6070">
              <w:rPr>
                <w:rFonts w:ascii="Times New Roman" w:hAnsi="Times New Roman" w:cs="Times New Roman"/>
                <w:b/>
                <w:bCs/>
                <w:sz w:val="24"/>
                <w:szCs w:val="24"/>
              </w:rPr>
              <w:fldChar w:fldCharType="separate"/>
            </w:r>
            <w:r w:rsidR="006D7777">
              <w:rPr>
                <w:rFonts w:ascii="Times New Roman" w:hAnsi="Times New Roman" w:cs="Times New Roman"/>
                <w:b/>
                <w:bCs/>
                <w:noProof/>
              </w:rPr>
              <w:t>10</w:t>
            </w:r>
            <w:r w:rsidRPr="004C6070">
              <w:rPr>
                <w:rFonts w:ascii="Times New Roman" w:hAnsi="Times New Roman" w:cs="Times New Roman"/>
                <w:b/>
                <w:bCs/>
                <w:sz w:val="24"/>
                <w:szCs w:val="24"/>
              </w:rPr>
              <w:fldChar w:fldCharType="end"/>
            </w:r>
            <w:r w:rsidRPr="004C6070">
              <w:rPr>
                <w:rFonts w:ascii="Times New Roman" w:hAnsi="Times New Roman" w:cs="Times New Roman"/>
                <w:lang w:val="ro-RO"/>
              </w:rPr>
              <w:t xml:space="preserve"> din </w:t>
            </w:r>
            <w:r w:rsidRPr="004C6070">
              <w:rPr>
                <w:rFonts w:ascii="Times New Roman" w:hAnsi="Times New Roman" w:cs="Times New Roman"/>
                <w:b/>
                <w:bCs/>
                <w:sz w:val="24"/>
                <w:szCs w:val="24"/>
              </w:rPr>
              <w:fldChar w:fldCharType="begin"/>
            </w:r>
            <w:r w:rsidRPr="004C6070">
              <w:rPr>
                <w:rFonts w:ascii="Times New Roman" w:hAnsi="Times New Roman" w:cs="Times New Roman"/>
                <w:b/>
                <w:bCs/>
              </w:rPr>
              <w:instrText>NUMPAGES</w:instrText>
            </w:r>
            <w:r w:rsidRPr="004C6070">
              <w:rPr>
                <w:rFonts w:ascii="Times New Roman" w:hAnsi="Times New Roman" w:cs="Times New Roman"/>
                <w:b/>
                <w:bCs/>
                <w:sz w:val="24"/>
                <w:szCs w:val="24"/>
              </w:rPr>
              <w:fldChar w:fldCharType="separate"/>
            </w:r>
            <w:r w:rsidR="006D7777">
              <w:rPr>
                <w:rFonts w:ascii="Times New Roman" w:hAnsi="Times New Roman" w:cs="Times New Roman"/>
                <w:b/>
                <w:bCs/>
                <w:noProof/>
              </w:rPr>
              <w:t>13</w:t>
            </w:r>
            <w:r w:rsidRPr="004C6070">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76F5B" w14:textId="77777777" w:rsidR="008367A0" w:rsidRDefault="008367A0">
      <w:pPr>
        <w:spacing w:after="0" w:line="240" w:lineRule="auto"/>
      </w:pPr>
      <w:r>
        <w:separator/>
      </w:r>
    </w:p>
  </w:footnote>
  <w:footnote w:type="continuationSeparator" w:id="0">
    <w:p w14:paraId="32A70820" w14:textId="77777777" w:rsidR="008367A0" w:rsidRDefault="008367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E36"/>
    <w:multiLevelType w:val="multilevel"/>
    <w:tmpl w:val="023E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B6"/>
    <w:rsid w:val="0002640C"/>
    <w:rsid w:val="00051642"/>
    <w:rsid w:val="00083974"/>
    <w:rsid w:val="001715A1"/>
    <w:rsid w:val="00171E93"/>
    <w:rsid w:val="00193874"/>
    <w:rsid w:val="001C52B5"/>
    <w:rsid w:val="001D09FB"/>
    <w:rsid w:val="001D1177"/>
    <w:rsid w:val="00214EB3"/>
    <w:rsid w:val="00251971"/>
    <w:rsid w:val="00251FD7"/>
    <w:rsid w:val="0026758E"/>
    <w:rsid w:val="00274ADB"/>
    <w:rsid w:val="002B23A1"/>
    <w:rsid w:val="002F22F0"/>
    <w:rsid w:val="00314F15"/>
    <w:rsid w:val="00345692"/>
    <w:rsid w:val="003474B6"/>
    <w:rsid w:val="0036678B"/>
    <w:rsid w:val="00393136"/>
    <w:rsid w:val="003B729B"/>
    <w:rsid w:val="004008C4"/>
    <w:rsid w:val="00450691"/>
    <w:rsid w:val="004B4CA4"/>
    <w:rsid w:val="004B6AF5"/>
    <w:rsid w:val="004C6070"/>
    <w:rsid w:val="004F711E"/>
    <w:rsid w:val="00504730"/>
    <w:rsid w:val="005219A5"/>
    <w:rsid w:val="005860A4"/>
    <w:rsid w:val="0059612F"/>
    <w:rsid w:val="005F0B48"/>
    <w:rsid w:val="00603267"/>
    <w:rsid w:val="00616AA5"/>
    <w:rsid w:val="006824C9"/>
    <w:rsid w:val="006A3B2E"/>
    <w:rsid w:val="006C275E"/>
    <w:rsid w:val="006D7777"/>
    <w:rsid w:val="006F0A88"/>
    <w:rsid w:val="00713C53"/>
    <w:rsid w:val="007247E7"/>
    <w:rsid w:val="00742D44"/>
    <w:rsid w:val="00767133"/>
    <w:rsid w:val="007811A3"/>
    <w:rsid w:val="007A210A"/>
    <w:rsid w:val="007C288E"/>
    <w:rsid w:val="007D5295"/>
    <w:rsid w:val="007E1F7D"/>
    <w:rsid w:val="007E3CEC"/>
    <w:rsid w:val="008367A0"/>
    <w:rsid w:val="008715C9"/>
    <w:rsid w:val="00880090"/>
    <w:rsid w:val="00891F24"/>
    <w:rsid w:val="008A3B8F"/>
    <w:rsid w:val="008A6B08"/>
    <w:rsid w:val="00936FD3"/>
    <w:rsid w:val="00944510"/>
    <w:rsid w:val="009A4066"/>
    <w:rsid w:val="009B2E70"/>
    <w:rsid w:val="009E0964"/>
    <w:rsid w:val="00A16421"/>
    <w:rsid w:val="00A425B7"/>
    <w:rsid w:val="00A62CD2"/>
    <w:rsid w:val="00A774CB"/>
    <w:rsid w:val="00AA0756"/>
    <w:rsid w:val="00AA79D6"/>
    <w:rsid w:val="00AE6285"/>
    <w:rsid w:val="00AF0979"/>
    <w:rsid w:val="00B54663"/>
    <w:rsid w:val="00B60008"/>
    <w:rsid w:val="00B71CDA"/>
    <w:rsid w:val="00B8795D"/>
    <w:rsid w:val="00BA1013"/>
    <w:rsid w:val="00C22C7B"/>
    <w:rsid w:val="00C24B32"/>
    <w:rsid w:val="00C265BE"/>
    <w:rsid w:val="00C817FF"/>
    <w:rsid w:val="00C85217"/>
    <w:rsid w:val="00C8723F"/>
    <w:rsid w:val="00D22BCB"/>
    <w:rsid w:val="00D27646"/>
    <w:rsid w:val="00D8740F"/>
    <w:rsid w:val="00D91A4C"/>
    <w:rsid w:val="00E930C0"/>
    <w:rsid w:val="00ED24C1"/>
    <w:rsid w:val="00EE3C94"/>
    <w:rsid w:val="00F44C67"/>
    <w:rsid w:val="00F7351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74B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474B6"/>
  </w:style>
  <w:style w:type="paragraph" w:styleId="a5">
    <w:name w:val="header"/>
    <w:basedOn w:val="a"/>
    <w:link w:val="a6"/>
    <w:uiPriority w:val="99"/>
    <w:unhideWhenUsed/>
    <w:rsid w:val="004C6070"/>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4C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74B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474B6"/>
  </w:style>
  <w:style w:type="paragraph" w:styleId="a5">
    <w:name w:val="header"/>
    <w:basedOn w:val="a"/>
    <w:link w:val="a6"/>
    <w:uiPriority w:val="99"/>
    <w:unhideWhenUsed/>
    <w:rsid w:val="004C6070"/>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4C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5014</Words>
  <Characters>28581</Characters>
  <Application>Microsoft Office Word</Application>
  <DocSecurity>0</DocSecurity>
  <Lines>238</Lines>
  <Paragraphs>67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Director</cp:lastModifiedBy>
  <cp:revision>2</cp:revision>
  <cp:lastPrinted>2023-11-09T10:08:00Z</cp:lastPrinted>
  <dcterms:created xsi:type="dcterms:W3CDTF">2024-08-07T10:53:00Z</dcterms:created>
  <dcterms:modified xsi:type="dcterms:W3CDTF">2024-08-07T10:53:00Z</dcterms:modified>
</cp:coreProperties>
</file>