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F7770" w14:textId="6B122D1F" w:rsidR="008B4BE6" w:rsidRPr="005535FB" w:rsidRDefault="008B4BE6" w:rsidP="00F37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19B5E71F" w14:textId="7A61C0EE" w:rsidR="008B4BE6" w:rsidRPr="005535FB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NOTA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DE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FUNDAMENTARE</w:t>
      </w:r>
    </w:p>
    <w:p w14:paraId="47DF5B87" w14:textId="77777777" w:rsidR="006C283E" w:rsidRDefault="006933C3" w:rsidP="006C283E">
      <w:pPr>
        <w:ind w:firstLine="0"/>
        <w:jc w:val="center"/>
        <w:rPr>
          <w:b/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la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proiectul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="006C283E">
        <w:rPr>
          <w:b/>
          <w:sz w:val="24"/>
          <w:szCs w:val="24"/>
          <w:lang w:val="ro-RO"/>
        </w:rPr>
        <w:t xml:space="preserve">Hotărârii Guvernului </w:t>
      </w:r>
      <w:r w:rsidR="006C283E" w:rsidRPr="006C283E">
        <w:rPr>
          <w:b/>
          <w:sz w:val="24"/>
          <w:szCs w:val="24"/>
          <w:lang w:val="ro-RO"/>
        </w:rPr>
        <w:t xml:space="preserve">cu privire la aprobarea </w:t>
      </w:r>
    </w:p>
    <w:p w14:paraId="17B89249" w14:textId="77777777" w:rsidR="006C283E" w:rsidRDefault="006C283E" w:rsidP="006C283E">
      <w:pPr>
        <w:ind w:firstLine="0"/>
        <w:jc w:val="center"/>
        <w:rPr>
          <w:b/>
          <w:sz w:val="24"/>
          <w:szCs w:val="24"/>
          <w:lang w:val="ro-RO"/>
        </w:rPr>
      </w:pPr>
      <w:r w:rsidRPr="006C283E">
        <w:rPr>
          <w:b/>
          <w:sz w:val="24"/>
          <w:szCs w:val="24"/>
          <w:lang w:val="ro-RO"/>
        </w:rPr>
        <w:t xml:space="preserve">Planului de admitere la studiile superioare de doctorat, ciclul III, </w:t>
      </w:r>
    </w:p>
    <w:p w14:paraId="6658BC56" w14:textId="1ED0C30D" w:rsidR="006C283E" w:rsidRDefault="006C283E" w:rsidP="006C283E">
      <w:pPr>
        <w:ind w:firstLine="0"/>
        <w:jc w:val="center"/>
        <w:rPr>
          <w:b/>
          <w:sz w:val="28"/>
          <w:szCs w:val="28"/>
        </w:rPr>
      </w:pPr>
      <w:r w:rsidRPr="006C283E">
        <w:rPr>
          <w:b/>
          <w:sz w:val="24"/>
          <w:szCs w:val="24"/>
          <w:lang w:val="ro-RO"/>
        </w:rPr>
        <w:t>cu finanțare de la bugetul de stat pentru anul academic 2024-2025</w:t>
      </w:r>
      <w:r>
        <w:rPr>
          <w:b/>
          <w:sz w:val="28"/>
          <w:szCs w:val="28"/>
        </w:rPr>
        <w:t xml:space="preserve"> </w:t>
      </w:r>
    </w:p>
    <w:p w14:paraId="7270453C" w14:textId="3B5927CD" w:rsidR="008B4BE6" w:rsidRPr="006C283E" w:rsidRDefault="008B4BE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</w:p>
    <w:p w14:paraId="581CF8BF" w14:textId="16BF9A29" w:rsidR="008B4BE6" w:rsidRPr="005535FB" w:rsidRDefault="00032B4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i/>
          <w:sz w:val="24"/>
          <w:szCs w:val="24"/>
          <w:vertAlign w:val="superscript"/>
          <w:lang w:val="ro-RO"/>
        </w:rPr>
        <w:t xml:space="preserve">                            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6D3EB7" w:rsidRPr="005535FB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5535FB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5DB021EF" w:rsidR="008B4BE6" w:rsidRPr="006C283E" w:rsidRDefault="006C283E" w:rsidP="006C283E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hotărârii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admitere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III, cu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stat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academic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283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C283E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еlаborаt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6C28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>.</w:t>
            </w:r>
            <w:r w:rsidR="00032B46" w:rsidRPr="006C28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6C283E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C28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F79667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Temeiul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legal</w:t>
            </w:r>
            <w:r w:rsidR="00825DC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după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caz</w:t>
            </w:r>
            <w:r w:rsidR="00825DC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sursa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</w:p>
        </w:tc>
      </w:tr>
      <w:tr w:rsidR="006C283E" w:rsidRPr="005535FB" w14:paraId="703C3270" w14:textId="77777777" w:rsidTr="006C283E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BC15" w14:textId="76AEA61E" w:rsidR="006C283E" w:rsidRPr="006C283E" w:rsidRDefault="006C283E" w:rsidP="00C10618">
            <w:pPr>
              <w:tabs>
                <w:tab w:val="left" w:pos="2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hotărârii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admitere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suреriоаrе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III, cu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de stat,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реntru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academic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283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C283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elaborat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executării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prevederilor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art. 94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. (10) </w:t>
            </w:r>
            <w:proofErr w:type="gramStart"/>
            <w:r w:rsidRPr="006C283E">
              <w:rPr>
                <w:rFonts w:ascii="Times New Roman" w:hAnsi="Times New Roman"/>
                <w:sz w:val="24"/>
                <w:szCs w:val="24"/>
              </w:rPr>
              <w:t>din</w:t>
            </w:r>
            <w:proofErr w:type="gram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Codul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 xml:space="preserve"> Moldova </w:t>
            </w:r>
            <w:proofErr w:type="spellStart"/>
            <w:r w:rsidRPr="006C283E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6C283E">
              <w:rPr>
                <w:rFonts w:ascii="Times New Roman" w:hAnsi="Times New Roman"/>
                <w:sz w:val="24"/>
                <w:szCs w:val="24"/>
              </w:rPr>
              <w:t>. 152/2014.</w:t>
            </w:r>
          </w:p>
        </w:tc>
      </w:tr>
      <w:tr w:rsidR="006D3EB7" w:rsidRPr="005535FB" w14:paraId="6F56D62C" w14:textId="77777777" w:rsidTr="007836A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2.2.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Descrierea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situa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actuale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problemelor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impun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interven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ia,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inclusiv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cadrul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aplicabil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deficien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el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/lacunel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</w:p>
        </w:tc>
      </w:tr>
      <w:tr w:rsidR="00452C6C" w:rsidRPr="005535FB" w14:paraId="30963134" w14:textId="77777777" w:rsidTr="007836AC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C994" w14:textId="5AAB3F99" w:rsidR="00C10618" w:rsidRPr="00C10618" w:rsidRDefault="00C10618" w:rsidP="00C10618">
            <w:pPr>
              <w:tabs>
                <w:tab w:val="left" w:pos="2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0618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admitere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suреriоаrе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III,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реntru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academic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еlаborаt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рrорunerilor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înaintate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сătrе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instituțiile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consorțiile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раrtеnеriаtеlе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internaționale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constituite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раrtiсiраrеа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organizațiilor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domeniile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al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admiterii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III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informațiilor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statistice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prezentate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Biroul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Statistică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6CE1E96" w14:textId="48EDE24A" w:rsidR="00C10618" w:rsidRPr="00C10618" w:rsidRDefault="00C10618" w:rsidP="00C10618">
            <w:pPr>
              <w:tabs>
                <w:tab w:val="left" w:pos="284"/>
                <w:tab w:val="left" w:pos="11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numărului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acordate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academic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s-au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luat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considerație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instituțională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susținere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III,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reflectată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solicitările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înaintate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instituțiile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consorțiile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parteneriatele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internaționale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constituite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organizațiilor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domeniile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precum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necesitatea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cadre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calificate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instituțiile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superior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institutele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determinată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depuse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competiția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științifice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repartizării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granturilor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stat.</w:t>
            </w:r>
            <w:proofErr w:type="gram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784905" w14:textId="78169025" w:rsidR="00C10618" w:rsidRPr="00C10618" w:rsidRDefault="00C10618" w:rsidP="00C10618">
            <w:pPr>
              <w:tabs>
                <w:tab w:val="left" w:pos="284"/>
                <w:tab w:val="left" w:pos="11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competiția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științifice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repartizării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granturilor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depuse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309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științifice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creștere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comparativ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precedenți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AB7">
              <w:rPr>
                <w:rFonts w:ascii="Times New Roman" w:hAnsi="Times New Roman"/>
                <w:sz w:val="24"/>
                <w:szCs w:val="24"/>
              </w:rPr>
              <w:t>1</w:t>
            </w:r>
            <w:r w:rsidR="00670F78">
              <w:rPr>
                <w:rFonts w:ascii="Times New Roman" w:hAnsi="Times New Roman"/>
                <w:sz w:val="24"/>
                <w:szCs w:val="24"/>
              </w:rPr>
              <w:t>7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școli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F78">
              <w:rPr>
                <w:rFonts w:ascii="Times New Roman" w:hAnsi="Times New Roman"/>
                <w:sz w:val="24"/>
                <w:szCs w:val="24"/>
              </w:rPr>
              <w:t>11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instituții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consorții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internaționale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constituite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organizațiilor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domeniile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urma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validare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dosarelor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conducătorilor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propunerilor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științifice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experții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naționali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selectați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conformitate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Ordinului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ministerului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572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D90AB7"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au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validate </w:t>
            </w:r>
            <w:proofErr w:type="gramStart"/>
            <w:r w:rsidRPr="00C106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36AC">
              <w:rPr>
                <w:rFonts w:ascii="Times New Roman" w:hAnsi="Times New Roman"/>
                <w:sz w:val="24"/>
                <w:szCs w:val="24"/>
              </w:rPr>
              <w:t>2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științifice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960733" w14:textId="58DA620E" w:rsidR="00C10618" w:rsidRPr="00C10618" w:rsidRDefault="00C10618" w:rsidP="00C10618">
            <w:pPr>
              <w:tabs>
                <w:tab w:val="left" w:pos="284"/>
                <w:tab w:val="left" w:pos="11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0618">
              <w:rPr>
                <w:rFonts w:ascii="Times New Roman" w:hAnsi="Times New Roman"/>
                <w:sz w:val="24"/>
                <w:szCs w:val="24"/>
              </w:rPr>
              <w:t>Totodată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ultimii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atestă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tendință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descreștere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numărului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studenți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înmatriculați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anume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3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înmatriculați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07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studenți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cetățeni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Moldova,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descreștere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2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3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când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înmatriculați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36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studenți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7AF8A9C7" w14:textId="56373947" w:rsidR="00452C6C" w:rsidRPr="00C10618" w:rsidRDefault="00C10618" w:rsidP="00CD78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lastRenderedPageBreak/>
              <w:t>Finalitatea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urmărită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Hotărârii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admitere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ciclul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III, cu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finanțare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academic 202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4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>-202</w:t>
            </w:r>
            <w:r w:rsidR="00CD781C">
              <w:rPr>
                <w:rFonts w:ascii="Times New Roman" w:hAnsi="Times New Roman"/>
                <w:sz w:val="24"/>
                <w:szCs w:val="24"/>
              </w:rPr>
              <w:t>5</w:t>
            </w:r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pregătirii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cariera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științifică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acordarea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finanțării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bugetul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stat sub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formă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618">
              <w:rPr>
                <w:rFonts w:ascii="Times New Roman" w:hAnsi="Times New Roman"/>
                <w:sz w:val="24"/>
                <w:szCs w:val="24"/>
              </w:rPr>
              <w:t>doctorale</w:t>
            </w:r>
            <w:proofErr w:type="spellEnd"/>
            <w:r w:rsidRPr="00C10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3EB7" w:rsidRPr="005535FB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3.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6D3EB7" w:rsidRPr="005535FB" w14:paraId="256ADAC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5535FB" w:rsidRDefault="00D927DB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3.1.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Principalele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prevederi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eviden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ierea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elementelor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noi</w:t>
            </w:r>
          </w:p>
        </w:tc>
      </w:tr>
      <w:tr w:rsidR="00CD781C" w:rsidRPr="005535FB" w14:paraId="3E91D30D" w14:textId="77777777" w:rsidTr="00CD781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CD6C" w14:textId="4E1AF478" w:rsidR="00784771" w:rsidRPr="00784771" w:rsidRDefault="00784771" w:rsidP="00784771">
            <w:pPr>
              <w:pStyle w:val="NoSpacing"/>
              <w:tabs>
                <w:tab w:val="left" w:pos="426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În conformitate cu proiectul hotărârii de Guvern se propune aprobarea Planului de admitere la studii superioare de doctorat, ciclul III, cu finanțare de la bugetul de stat pentru anul academic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. </w:t>
            </w:r>
          </w:p>
          <w:p w14:paraId="4C0B4D06" w14:textId="7530151A" w:rsidR="00784771" w:rsidRPr="00784771" w:rsidRDefault="00784771" w:rsidP="00784771">
            <w:pPr>
              <w:pStyle w:val="NoSpacing"/>
              <w:tabs>
                <w:tab w:val="left" w:pos="426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Proiectul Planului de admitere stabilește acordarea pentru cetățenii Republicii Moldova a 22</w:t>
            </w:r>
            <w:r w:rsidR="004E76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granturi pentru studiile superioare de doctorat, ciclul III, finanțate de la bugetul de stat pentru anul academic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 repartizate pe domeniile științifice, prevăzute de Nomenclatorul specialităților științifice, anexă la Hotărârea Guvernului nr. 199/2013, după cum urmează:</w:t>
            </w:r>
          </w:p>
          <w:p w14:paraId="6896C022" w14:textId="1AFC1A9E" w:rsidR="00784771" w:rsidRPr="00784771" w:rsidRDefault="00784771" w:rsidP="00784771">
            <w:pPr>
              <w:pStyle w:val="NoSpacing"/>
              <w:tabs>
                <w:tab w:val="left" w:pos="426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1. Științe ale naturii </w:t>
            </w:r>
            <w:r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="00A06D11"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29</w:t>
            </w:r>
            <w:r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granturi; 2. Științe inginerești și tehnologii - 1</w:t>
            </w:r>
            <w:r w:rsidR="00E06FF9"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  <w:r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granturi; 3. Științe medicale - </w:t>
            </w:r>
            <w:r w:rsidR="00E06FF9"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  <w:r w:rsidR="00323A24"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granturi; 4. Științe agricole - </w:t>
            </w:r>
            <w:r w:rsidR="00E06FF9"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  <w:r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granturi; 5. Științe sociale și economice – 7</w:t>
            </w:r>
            <w:r w:rsidR="00A06D11"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  <w:r w:rsidRPr="00AE162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granturi; 6. Științe umaniste - 38 granturi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7A55DA33" w14:textId="1BE0A026" w:rsidR="00784771" w:rsidRPr="00DF0C32" w:rsidRDefault="00784771" w:rsidP="00784771">
            <w:pPr>
              <w:pStyle w:val="NoSpacing"/>
              <w:tabs>
                <w:tab w:val="left" w:pos="426"/>
              </w:tabs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Pentru cetățenii străini, în baza tratatelor internaționale la care Republica Moldova este parte și solicitările de granturi înaintate de instituțiile de învățământ superior, consorțiile, parteneriatele naționale </w:t>
            </w:r>
            <w:proofErr w:type="spellStart"/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internaționale, inclusiv cele constituite cu participarea organizațiilor din domeniile cercetării </w:t>
            </w:r>
            <w:proofErr w:type="spellStart"/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inovării, în proiectul Planului de admitere la studii superioare de doctorat, ciclul III, cu finanțare de la bugetul de stat pentru anul academic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sunt </w:t>
            </w:r>
            <w:r w:rsidRPr="00DF0C3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prevăzute </w:t>
            </w:r>
            <w:r w:rsidR="00E06FF9" w:rsidRPr="00DF0C3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Pr="00DF0C3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 doctorale.</w:t>
            </w:r>
          </w:p>
          <w:p w14:paraId="4AA0CE6A" w14:textId="670F7975" w:rsidR="00784771" w:rsidRDefault="00784771" w:rsidP="00784771">
            <w:pPr>
              <w:pStyle w:val="NoSpacing"/>
              <w:tabs>
                <w:tab w:val="left" w:pos="426"/>
                <w:tab w:val="left" w:pos="9134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DF0C3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Repartizarea granturilor </w:t>
            </w:r>
            <w:r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doctorale pe fondatori ai instituțiilor de învățământ superior se modifică comparativ cu anul precedent, și anume: se propune micșorarea cu </w:t>
            </w:r>
            <w:r w:rsidR="00F40173"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granturi pentru Ministerul Educației și Cercetării, cu </w:t>
            </w:r>
            <w:r w:rsidR="00F40173"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1 grant pentru </w:t>
            </w:r>
            <w:r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40173"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Ministerul Apărării și majorarea cu 3 </w:t>
            </w:r>
            <w:r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granturi pentru Ministerul Sănătății, cu </w:t>
            </w:r>
            <w:r w:rsidR="00F40173"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  <w:r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granturi pentru Ministerul Culturii, cu 1 grant pentr</w:t>
            </w:r>
            <w:r w:rsidR="004E765B"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 Ministerul Afacerilor Interne,</w:t>
            </w:r>
            <w:r w:rsidRPr="001673A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4E765B" w:rsidRPr="009C2DBC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micșorarea și majorarea fiind determinate de numărul de proiecte științifice pentru care au fost solicitate granturi de către instituțiile de învățământ superior, consorțiile, parteneriatele naționale </w:t>
            </w:r>
            <w:proofErr w:type="spellStart"/>
            <w:r w:rsidR="004E765B" w:rsidRPr="009C2DBC">
              <w:rPr>
                <w:rFonts w:ascii="Times New Roman" w:hAnsi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="004E765B" w:rsidRPr="009C2DBC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internaționale, inclusiv cele constituite cu participarea organizațiilor din domeniile cercetării </w:t>
            </w:r>
            <w:proofErr w:type="spellStart"/>
            <w:r w:rsidR="004E765B" w:rsidRPr="009C2DBC">
              <w:rPr>
                <w:rFonts w:ascii="Times New Roman" w:hAnsi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="004E765B" w:rsidRPr="009C2DBC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inovării</w:t>
            </w:r>
            <w:r w:rsidR="004E765B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și de</w:t>
            </w:r>
            <w:r w:rsidR="004E765B"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765B"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="004E7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765B" w:rsidRPr="00C10618">
              <w:rPr>
                <w:rFonts w:ascii="Times New Roman" w:hAnsi="Times New Roman"/>
                <w:sz w:val="24"/>
                <w:szCs w:val="24"/>
              </w:rPr>
              <w:t>evalu</w:t>
            </w:r>
            <w:r w:rsidR="00C8776B">
              <w:rPr>
                <w:rFonts w:ascii="Times New Roman" w:hAnsi="Times New Roman"/>
                <w:sz w:val="24"/>
                <w:szCs w:val="24"/>
              </w:rPr>
              <w:t>ării</w:t>
            </w:r>
            <w:proofErr w:type="spellEnd"/>
            <w:r w:rsidR="004E765B"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765B" w:rsidRPr="00C10618">
              <w:rPr>
                <w:rFonts w:ascii="Times New Roman" w:hAnsi="Times New Roman"/>
                <w:sz w:val="24"/>
                <w:szCs w:val="24"/>
              </w:rPr>
              <w:t>propunerilor</w:t>
            </w:r>
            <w:proofErr w:type="spellEnd"/>
            <w:r w:rsidR="004E765B"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4E765B" w:rsidRPr="00C10618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4E765B"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765B" w:rsidRPr="00C10618">
              <w:rPr>
                <w:rFonts w:ascii="Times New Roman" w:hAnsi="Times New Roman"/>
                <w:sz w:val="24"/>
                <w:szCs w:val="24"/>
              </w:rPr>
              <w:t>științifice</w:t>
            </w:r>
            <w:proofErr w:type="spellEnd"/>
            <w:r w:rsidR="004E765B" w:rsidRPr="009C2DBC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161B83F7" w14:textId="77777777" w:rsidR="00784771" w:rsidRPr="00784771" w:rsidRDefault="00784771" w:rsidP="00784771">
            <w:pPr>
              <w:pStyle w:val="NoSpacing"/>
              <w:tabs>
                <w:tab w:val="left" w:pos="426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Admiterea la ciclul III de studii superioare se va organiza numai la programele de studii superioare de doctorat acreditate sau autorizate provizoriu, conform legislației în vigoare.</w:t>
            </w:r>
          </w:p>
          <w:p w14:paraId="70105B77" w14:textId="3FE768E1" w:rsidR="00CD781C" w:rsidRPr="00784771" w:rsidRDefault="00784771" w:rsidP="006F19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Proiectul hotărârii de Guvern cu privire aprobarea Planului de admitere la studii superioare de doctorat, ciclul III, cu finanțare de la bugetul de stat pentru anul academic 202</w:t>
            </w:r>
            <w:r w:rsidR="002A3A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4-2025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urmează să intre în vigoare la data publicării în Monitorul Oficial al Republicii Moldova, argumentarea fiind justificată de circumstanțe obiective, și anume, necesitatea desfășurării competiției instituționale de repartizare a granturilor doctorale între conducătorii de doctorat în cadrul școlilor doctorale, care are loc după aprobarea hotărârii de Guvern, până la începerea anului academic</w:t>
            </w:r>
            <w:r w:rsidR="002A3A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2024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-202</w:t>
            </w:r>
            <w:r w:rsidR="002A3A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  <w:r w:rsidRPr="0078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. </w:t>
            </w:r>
          </w:p>
        </w:tc>
      </w:tr>
      <w:tr w:rsidR="006D3EB7" w:rsidRPr="005535FB" w14:paraId="3761439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5535FB" w:rsidRDefault="00D927DB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3.2.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Op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iunile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alternative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analizate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motivele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F7F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F7F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acestea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fost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luate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considerare</w:t>
            </w:r>
          </w:p>
        </w:tc>
      </w:tr>
      <w:tr w:rsidR="006D3EB7" w:rsidRPr="005535FB" w14:paraId="322ED77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283B039A" w:rsidR="008B4BE6" w:rsidRPr="00AE1625" w:rsidRDefault="00AE1625" w:rsidP="00AE1625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AE16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Opțiuni alternative nu există, deoarece art. 94 alin. (10) din Codul Educației al Republicii Moldova nr. 152/2014 prevede că  planul de înmatriculare la studiile superioare de doctorat cu </w:t>
            </w:r>
            <w:proofErr w:type="spellStart"/>
            <w:r w:rsidRPr="00AE16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finanţare</w:t>
            </w:r>
            <w:proofErr w:type="spellEnd"/>
            <w:r w:rsidRPr="00AE16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de la bugetul de stat se aprobă de Guvern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6D3EB7" w:rsidRPr="005535FB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reglementare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07121640" w14:textId="77777777" w:rsidTr="007836A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public</w:t>
            </w:r>
          </w:p>
        </w:tc>
      </w:tr>
      <w:tr w:rsidR="006F1994" w:rsidRPr="005535FB" w14:paraId="6450523D" w14:textId="77777777" w:rsidTr="007836AC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536C" w14:textId="0478895D" w:rsidR="000D403F" w:rsidRPr="000D403F" w:rsidRDefault="00A52B32" w:rsidP="000D40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Proiectul va asigura pregătirea cadrelor de înaltă calificare pentru o carieră științifică</w:t>
            </w:r>
            <w:r w:rsidR="000D403F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stiinți</w:t>
            </w:r>
            <w:r w:rsidR="007836AC">
              <w:rPr>
                <w:rFonts w:ascii="Times New Roman" w:hAnsi="Times New Roman"/>
                <w:sz w:val="24"/>
                <w:szCs w:val="24"/>
                <w:lang w:val="ro-RO"/>
              </w:rPr>
              <w:t>fico</w:t>
            </w:r>
            <w:proofErr w:type="spellEnd"/>
            <w:r w:rsidR="00783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-didactică în </w:t>
            </w:r>
            <w:proofErr w:type="spellStart"/>
            <w:r w:rsidR="007836AC" w:rsidRPr="00C10618">
              <w:rPr>
                <w:rFonts w:ascii="Times New Roman" w:hAnsi="Times New Roman"/>
                <w:sz w:val="24"/>
                <w:szCs w:val="24"/>
              </w:rPr>
              <w:t>instituțiile</w:t>
            </w:r>
            <w:proofErr w:type="spellEnd"/>
            <w:r w:rsidR="007836AC"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836AC" w:rsidRPr="00C10618">
              <w:rPr>
                <w:rFonts w:ascii="Times New Roman" w:hAnsi="Times New Roman"/>
                <w:sz w:val="24"/>
                <w:szCs w:val="24"/>
              </w:rPr>
              <w:t>învățământ</w:t>
            </w:r>
            <w:proofErr w:type="spellEnd"/>
            <w:r w:rsidR="007836AC" w:rsidRPr="00C10618">
              <w:rPr>
                <w:rFonts w:ascii="Times New Roman" w:hAnsi="Times New Roman"/>
                <w:sz w:val="24"/>
                <w:szCs w:val="24"/>
              </w:rPr>
              <w:t xml:space="preserve"> superior </w:t>
            </w:r>
            <w:proofErr w:type="spellStart"/>
            <w:r w:rsidR="007836AC" w:rsidRPr="00C106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7836AC" w:rsidRPr="00C10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36AC" w:rsidRPr="00C10618">
              <w:rPr>
                <w:rFonts w:ascii="Times New Roman" w:hAnsi="Times New Roman"/>
                <w:sz w:val="24"/>
                <w:szCs w:val="24"/>
              </w:rPr>
              <w:t>institutele</w:t>
            </w:r>
            <w:proofErr w:type="spellEnd"/>
            <w:r w:rsidR="007836AC" w:rsidRPr="00C106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836AC" w:rsidRPr="00C10618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="000D40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3EB7" w:rsidRPr="005535FB" w14:paraId="44F2448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financiar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argumentarea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costurilor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estimative</w:t>
            </w:r>
          </w:p>
        </w:tc>
      </w:tr>
      <w:tr w:rsidR="006F1994" w:rsidRPr="005535FB" w14:paraId="4644BF3F" w14:textId="77777777" w:rsidTr="006F199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1A38" w14:textId="77777777" w:rsidR="001673AC" w:rsidRDefault="006F1994" w:rsidP="001673AC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încadrează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limita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alocațiilor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bugetare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acest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scop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implica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bugetare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suplimentare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3ADAE5E" w14:textId="2085E0E3" w:rsidR="001673AC" w:rsidRPr="006F1994" w:rsidRDefault="001673AC" w:rsidP="001673AC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Grantul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doctoral include bursa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costurile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avansate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creaţie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994">
              <w:rPr>
                <w:rFonts w:ascii="Times New Roman" w:hAnsi="Times New Roman"/>
                <w:sz w:val="24"/>
                <w:szCs w:val="24"/>
              </w:rPr>
              <w:t>artistică</w:t>
            </w:r>
            <w:proofErr w:type="spellEnd"/>
            <w:r w:rsidRPr="006F19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51332F" w14:textId="510BB6CB" w:rsidR="00C8776B" w:rsidRPr="001673AC" w:rsidRDefault="00C8776B" w:rsidP="00C8776B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Totodată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majorarea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cu 3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doctorale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Ministerului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Sănătăț</w:t>
            </w:r>
            <w:r w:rsidRPr="001673AC">
              <w:rPr>
                <w:rFonts w:ascii="Times New Roman" w:hAnsi="Times New Roman"/>
                <w:sz w:val="24"/>
                <w:szCs w:val="24"/>
              </w:rPr>
              <w:t>ii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necesita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redistribuire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Sanatății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sumă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de 16500 lei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finanțarea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celor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noiembrie-decembrie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2024.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Cheltuielile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anuale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pregătirea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student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doctorand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Universității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de Stat de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Medicină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Farmacie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Nicolae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Testemițanu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constituie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32999 lei. </w:t>
            </w:r>
          </w:p>
          <w:p w14:paraId="107792C2" w14:textId="2C15936D" w:rsidR="00986AAC" w:rsidRPr="001673AC" w:rsidRDefault="00AC452D" w:rsidP="00C8776B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asemenea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986AAC" w:rsidRPr="001673AC">
              <w:rPr>
                <w:rFonts w:ascii="Times New Roman" w:hAnsi="Times New Roman"/>
                <w:sz w:val="24"/>
                <w:szCs w:val="24"/>
              </w:rPr>
              <w:t>ajorarea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cu 2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doctorale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Ministerului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Culturii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necesita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redistribuire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Educației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Culturii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sumă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de 10195 lei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finanțarea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celor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granturi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noiembrie-decembrie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2024.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Cheltuielile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anuale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pregătirea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doctorand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Academiei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Muz</w:t>
            </w:r>
            <w:r w:rsidR="001673AC" w:rsidRPr="001673AC">
              <w:rPr>
                <w:rFonts w:ascii="Times New Roman" w:hAnsi="Times New Roman"/>
                <w:sz w:val="24"/>
                <w:szCs w:val="24"/>
              </w:rPr>
              <w:t>ică</w:t>
            </w:r>
            <w:proofErr w:type="spellEnd"/>
            <w:r w:rsidR="001673AC" w:rsidRPr="001673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673AC" w:rsidRPr="001673AC">
              <w:rPr>
                <w:rFonts w:ascii="Times New Roman" w:hAnsi="Times New Roman"/>
                <w:sz w:val="24"/>
                <w:szCs w:val="24"/>
              </w:rPr>
              <w:t>Teatru</w:t>
            </w:r>
            <w:proofErr w:type="spellEnd"/>
            <w:r w:rsidR="001673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AC" w:rsidRPr="001673A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1673AC" w:rsidRPr="001673AC">
              <w:rPr>
                <w:rFonts w:ascii="Times New Roman" w:hAnsi="Times New Roman"/>
                <w:sz w:val="24"/>
                <w:szCs w:val="24"/>
              </w:rPr>
              <w:t xml:space="preserve"> Arte </w:t>
            </w:r>
            <w:proofErr w:type="spellStart"/>
            <w:r w:rsidR="001673AC" w:rsidRPr="001673AC">
              <w:rPr>
                <w:rFonts w:ascii="Times New Roman" w:hAnsi="Times New Roman"/>
                <w:sz w:val="24"/>
                <w:szCs w:val="24"/>
              </w:rPr>
              <w:t>Plastice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AAC" w:rsidRPr="001673AC">
              <w:rPr>
                <w:rFonts w:ascii="Times New Roman" w:hAnsi="Times New Roman"/>
                <w:sz w:val="24"/>
                <w:szCs w:val="24"/>
              </w:rPr>
              <w:t>constituie</w:t>
            </w:r>
            <w:proofErr w:type="spellEnd"/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1673AC" w:rsidRPr="001673AC">
              <w:rPr>
                <w:rFonts w:ascii="Times New Roman" w:hAnsi="Times New Roman"/>
                <w:sz w:val="24"/>
                <w:szCs w:val="24"/>
              </w:rPr>
              <w:t>0585</w:t>
            </w:r>
            <w:r w:rsidR="00986AAC" w:rsidRPr="001673AC">
              <w:rPr>
                <w:rFonts w:ascii="Times New Roman" w:hAnsi="Times New Roman"/>
                <w:sz w:val="24"/>
                <w:szCs w:val="24"/>
              </w:rPr>
              <w:t xml:space="preserve"> lei.</w:t>
            </w:r>
          </w:p>
          <w:p w14:paraId="50EB6E01" w14:textId="77777777" w:rsidR="006F1994" w:rsidRDefault="001673AC" w:rsidP="00AC452D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Majorarea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cu 1 grant doctoral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Ministerului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Afacerilor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Interne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necesita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redistribuire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Apărării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Afacerilor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Interne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sumă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de 6333 lei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finanțarea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acestui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grant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noiembrie-decembrie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2024.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Cheltuielile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anuale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pregătirea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doctorand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Academiei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Ștefan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cel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Mare” a MAI </w:t>
            </w:r>
            <w:proofErr w:type="spellStart"/>
            <w:r w:rsidRPr="001673AC">
              <w:rPr>
                <w:rFonts w:ascii="Times New Roman" w:hAnsi="Times New Roman"/>
                <w:sz w:val="24"/>
                <w:szCs w:val="24"/>
              </w:rPr>
              <w:t>constituie</w:t>
            </w:r>
            <w:proofErr w:type="spellEnd"/>
            <w:r w:rsidRPr="001673AC">
              <w:rPr>
                <w:rFonts w:ascii="Times New Roman" w:hAnsi="Times New Roman"/>
                <w:sz w:val="24"/>
                <w:szCs w:val="24"/>
              </w:rPr>
              <w:t xml:space="preserve"> 38000 lei.</w:t>
            </w:r>
          </w:p>
          <w:p w14:paraId="5E1427B9" w14:textId="5FECCFBA" w:rsidR="002426AC" w:rsidRPr="006F1994" w:rsidRDefault="002426AC" w:rsidP="00032EEA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Mijloacele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menționate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032EEA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03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EEA">
              <w:rPr>
                <w:rFonts w:ascii="Times New Roman" w:hAnsi="Times New Roman"/>
                <w:sz w:val="24"/>
                <w:szCs w:val="24"/>
              </w:rPr>
              <w:t>nr.418/2023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3EB7" w:rsidRPr="005535FB" w14:paraId="02E2B55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4.3.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privat</w:t>
            </w:r>
          </w:p>
        </w:tc>
      </w:tr>
      <w:tr w:rsidR="006F1994" w:rsidRPr="005535FB" w14:paraId="6C4E8AE3" w14:textId="77777777" w:rsidTr="006F199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BAAF" w14:textId="2E040D52" w:rsidR="006F1994" w:rsidRPr="005535FB" w:rsidRDefault="006F1994" w:rsidP="00452C6C">
            <w:pPr>
              <w:rPr>
                <w:sz w:val="24"/>
                <w:szCs w:val="24"/>
                <w:lang w:val="ro-RO"/>
              </w:rPr>
            </w:pPr>
            <w:r w:rsidRPr="006F1994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6D3EB7" w:rsidRPr="005535FB" w14:paraId="7424CF3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 w14:textId="527C94BC" w:rsidR="00CA2822" w:rsidRPr="005535FB" w:rsidRDefault="006933C3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4.4</w:t>
            </w:r>
            <w:r w:rsidR="0036135C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</w:p>
          <w:p w14:paraId="4E529115" w14:textId="457DE778" w:rsidR="008B4BE6" w:rsidRPr="005535FB" w:rsidRDefault="00CA2822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4.4.1.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datelor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caracter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personal</w:t>
            </w:r>
          </w:p>
          <w:p w14:paraId="5094B65C" w14:textId="334E49FF" w:rsidR="008B4BE6" w:rsidRPr="005535FB" w:rsidRDefault="00CA2822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4.4.2.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echită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egalită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gen</w:t>
            </w:r>
          </w:p>
        </w:tc>
      </w:tr>
      <w:tr w:rsidR="006F1994" w:rsidRPr="005535FB" w14:paraId="23C85EE5" w14:textId="77777777" w:rsidTr="006F199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41CE" w14:textId="2521B5CF" w:rsidR="006F1994" w:rsidRPr="00C63B8D" w:rsidRDefault="00C63B8D" w:rsidP="00FE26C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riscuri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de discriminare după criterii de gen, apartenență etnică, etc. La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pot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participa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deţinătorii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diplomei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de master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act de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recunoscut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structura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abilitată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recunoaşterea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echivalarea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actelor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63B8D">
              <w:rPr>
                <w:rFonts w:ascii="Times New Roman" w:hAnsi="Times New Roman"/>
                <w:sz w:val="24"/>
                <w:szCs w:val="24"/>
              </w:rPr>
              <w:t>calificărilor</w:t>
            </w:r>
            <w:proofErr w:type="spellEnd"/>
            <w:r w:rsidRPr="00C63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3EB7" w:rsidRPr="005535FB" w14:paraId="5A26B0A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mediului</w:t>
            </w:r>
          </w:p>
        </w:tc>
      </w:tr>
      <w:tr w:rsidR="006F1994" w:rsidRPr="005535FB" w14:paraId="37D46CB4" w14:textId="77777777" w:rsidTr="006F199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2B00" w14:textId="1BB82666" w:rsidR="006F1994" w:rsidRPr="005535FB" w:rsidRDefault="006F1994" w:rsidP="00452C6C">
            <w:pPr>
              <w:rPr>
                <w:sz w:val="24"/>
                <w:szCs w:val="24"/>
                <w:lang w:val="ro-RO"/>
              </w:rPr>
            </w:pPr>
            <w:r w:rsidRPr="006F1994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6D3EB7" w:rsidRPr="005535FB" w14:paraId="42A0201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Alte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impacturi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informa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relevante</w:t>
            </w:r>
          </w:p>
        </w:tc>
      </w:tr>
      <w:tr w:rsidR="006F1994" w:rsidRPr="005535FB" w14:paraId="70A7B0B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6741D6B2" w:rsidR="006F1994" w:rsidRPr="005535FB" w:rsidRDefault="006F1994" w:rsidP="006F199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F19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6F1994" w:rsidRPr="005535FB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6F1994" w:rsidRPr="005535FB" w:rsidRDefault="006F1994" w:rsidP="006F1994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6F1994" w:rsidRPr="005535FB" w14:paraId="564B5E4C" w14:textId="77777777" w:rsidTr="00784771">
        <w:trPr>
          <w:trHeight w:val="62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6F1994" w:rsidRPr="005535FB" w:rsidRDefault="006F1994" w:rsidP="006F199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29256B" w:rsidRPr="005535FB" w14:paraId="2BD4D381" w14:textId="77777777" w:rsidTr="0078477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C01C" w14:textId="3E2840DD" w:rsidR="0029256B" w:rsidRPr="00784771" w:rsidRDefault="0029256B" w:rsidP="0029256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F1994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29256B" w:rsidRPr="005535FB" w14:paraId="1541F0C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29256B" w:rsidRPr="005535FB" w:rsidRDefault="0029256B" w:rsidP="0029256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29256B" w:rsidRPr="005535FB" w14:paraId="531AA3A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15E3CE08" w:rsidR="0029256B" w:rsidRPr="005535FB" w:rsidRDefault="0029256B" w:rsidP="0029256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F19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29256B" w:rsidRPr="005535FB" w14:paraId="338B3440" w14:textId="77777777" w:rsidTr="007A7510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29256B" w:rsidRPr="005535FB" w:rsidRDefault="0029256B" w:rsidP="0029256B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29256B" w:rsidRPr="005535FB" w14:paraId="4E687F27" w14:textId="77777777" w:rsidTr="007A7510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5F3" w14:textId="51DEFDF0" w:rsidR="0029256B" w:rsidRPr="008A366A" w:rsidRDefault="0029256B" w:rsidP="0029256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 vederea respectării prevederilor Legii nr. 239/2008 privind transparența în procesul decizional, pe pagina web oficială a Ministerului Educației și Cercetării </w:t>
            </w:r>
            <w:hyperlink r:id="rId11" w:history="1">
              <w:r w:rsidRPr="008A366A">
                <w:rPr>
                  <w:rFonts w:ascii="Times New Roman" w:hAnsi="Times New Roman"/>
                  <w:bCs/>
                  <w:sz w:val="24"/>
                  <w:szCs w:val="24"/>
                  <w:lang w:val="ro-RO"/>
                </w:rPr>
                <w:t>www.mec.gov.md</w:t>
              </w:r>
            </w:hyperlink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compartimentul Transparența decizională și pe platforma guvernamentală </w:t>
            </w:r>
            <w:hyperlink r:id="rId12" w:history="1">
              <w:r w:rsidRPr="008A366A">
                <w:rPr>
                  <w:rFonts w:ascii="Times New Roman" w:hAnsi="Times New Roman"/>
                  <w:bCs/>
                  <w:sz w:val="24"/>
                  <w:szCs w:val="24"/>
                  <w:lang w:val="ro-RO"/>
                </w:rPr>
                <w:t>www.particip.md</w:t>
              </w:r>
            </w:hyperlink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a fost asigurată plasarea anunțului privind inițierea elaborării proiectului hotărârii Guvernului </w:t>
            </w: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cu privire la aprobarea Planului de admitere la studii superioare de doctorat, ciclul III, cu finanțare de la bugetul de stat pentru anul academic 2024-2025 (https://particip.gov.md/ro/document/stages/*/12901). </w:t>
            </w:r>
          </w:p>
        </w:tc>
      </w:tr>
      <w:tr w:rsidR="0029256B" w:rsidRPr="005535FB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29256B" w:rsidRPr="005535FB" w:rsidRDefault="0029256B" w:rsidP="0029256B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7. Concluziile expertizelor</w:t>
            </w:r>
          </w:p>
        </w:tc>
      </w:tr>
      <w:tr w:rsidR="0029256B" w:rsidRPr="005535FB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D736282" w:rsidR="0029256B" w:rsidRPr="008A366A" w:rsidRDefault="0029256B" w:rsidP="0029256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Proiectul urmează a fi supus expertiz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ării</w:t>
            </w: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cadrul procesului de avizare/expertizare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Informația referitoare la concluziile expertize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lor</w:t>
            </w: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va fi inclusă în sinteza obiecțiilor și propunerilor/recomandărilor la prezentul proiect de hotărâre.</w:t>
            </w:r>
          </w:p>
        </w:tc>
      </w:tr>
      <w:tr w:rsidR="0029256B" w:rsidRPr="005535FB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29256B" w:rsidRPr="005535FB" w:rsidRDefault="0029256B" w:rsidP="0029256B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29256B" w:rsidRPr="005535FB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32C5C292" w:rsidR="0029256B" w:rsidRPr="008A366A" w:rsidRDefault="0029256B" w:rsidP="0029256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36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se încorporează în cadrul normativ în vigoare și nu necesită modificarea/abrogarea unor acte normative. </w:t>
            </w:r>
          </w:p>
        </w:tc>
      </w:tr>
      <w:tr w:rsidR="0029256B" w:rsidRPr="005535FB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29256B" w:rsidRPr="005535FB" w:rsidRDefault="0029256B" w:rsidP="0029256B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29256B" w:rsidRPr="005535FB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 w14:textId="691E9AF4" w:rsidR="0029256B" w:rsidRPr="005535FB" w:rsidRDefault="00FE26CD" w:rsidP="00FE26CD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Proiectul nu nece</w:t>
            </w:r>
            <w:r w:rsidR="00AE1625">
              <w:rPr>
                <w:rFonts w:ascii="Times New Roman" w:hAnsi="Times New Roman"/>
                <w:sz w:val="24"/>
                <w:szCs w:val="24"/>
                <w:lang w:val="ro-RO"/>
              </w:rPr>
              <w:t>sită măsuri pentru a fi implementat.</w:t>
            </w:r>
          </w:p>
        </w:tc>
      </w:tr>
    </w:tbl>
    <w:p w14:paraId="294D3EDF" w14:textId="77777777" w:rsidR="0029256B" w:rsidRDefault="0029256B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57F45AA6" w14:textId="77777777" w:rsidR="00AC452D" w:rsidRDefault="00AC452D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54466746" w14:textId="77777777" w:rsidR="00AC452D" w:rsidRDefault="00AC452D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174CA484" w14:textId="77777777" w:rsidR="00AC452D" w:rsidRDefault="00AC452D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72501D5D" w14:textId="6B235C53" w:rsidR="00AC452D" w:rsidRDefault="00AC452D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Ministru                                                     Dan PERCIUN</w:t>
      </w:r>
    </w:p>
    <w:sectPr w:rsidR="00AC452D" w:rsidSect="002426AC">
      <w:headerReference w:type="default" r:id="rId13"/>
      <w:headerReference w:type="first" r:id="rId14"/>
      <w:pgSz w:w="11907" w:h="16840"/>
      <w:pgMar w:top="1411" w:right="562" w:bottom="1411" w:left="1987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A5826" w14:textId="77777777" w:rsidR="00DB7DCE" w:rsidRDefault="00DB7DCE">
      <w:r>
        <w:separator/>
      </w:r>
    </w:p>
  </w:endnote>
  <w:endnote w:type="continuationSeparator" w:id="0">
    <w:p w14:paraId="3AC50BDA" w14:textId="77777777" w:rsidR="00DB7DCE" w:rsidRDefault="00DB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08C3" w14:textId="77777777" w:rsidR="00DB7DCE" w:rsidRDefault="00DB7DCE">
      <w:r>
        <w:separator/>
      </w:r>
    </w:p>
  </w:footnote>
  <w:footnote w:type="continuationSeparator" w:id="0">
    <w:p w14:paraId="4FD583F6" w14:textId="77777777" w:rsidR="00DB7DCE" w:rsidRDefault="00DB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8427" w14:textId="5ED4AFB3" w:rsidR="00D07A16" w:rsidRPr="00F37ED4" w:rsidRDefault="00D07A16" w:rsidP="009D4C0F">
    <w:pPr>
      <w:pStyle w:val="Header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24B1" w14:textId="77777777" w:rsidR="00D07A16" w:rsidRPr="00032B46" w:rsidRDefault="00D07A16">
    <w:pPr>
      <w:pStyle w:val="Header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34"/>
  </w:num>
  <w:num w:numId="3">
    <w:abstractNumId w:val="14"/>
  </w:num>
  <w:num w:numId="4">
    <w:abstractNumId w:val="27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24"/>
  </w:num>
  <w:num w:numId="10">
    <w:abstractNumId w:val="3"/>
  </w:num>
  <w:num w:numId="11">
    <w:abstractNumId w:val="23"/>
  </w:num>
  <w:num w:numId="12">
    <w:abstractNumId w:val="2"/>
  </w:num>
  <w:num w:numId="13">
    <w:abstractNumId w:val="36"/>
  </w:num>
  <w:num w:numId="14">
    <w:abstractNumId w:val="17"/>
  </w:num>
  <w:num w:numId="15">
    <w:abstractNumId w:val="18"/>
  </w:num>
  <w:num w:numId="16">
    <w:abstractNumId w:val="31"/>
  </w:num>
  <w:num w:numId="17">
    <w:abstractNumId w:val="28"/>
  </w:num>
  <w:num w:numId="18">
    <w:abstractNumId w:val="22"/>
  </w:num>
  <w:num w:numId="19">
    <w:abstractNumId w:val="19"/>
  </w:num>
  <w:num w:numId="20">
    <w:abstractNumId w:val="8"/>
  </w:num>
  <w:num w:numId="21">
    <w:abstractNumId w:val="30"/>
  </w:num>
  <w:num w:numId="22">
    <w:abstractNumId w:val="4"/>
  </w:num>
  <w:num w:numId="23">
    <w:abstractNumId w:val="13"/>
  </w:num>
  <w:num w:numId="24">
    <w:abstractNumId w:val="10"/>
  </w:num>
  <w:num w:numId="25">
    <w:abstractNumId w:val="20"/>
  </w:num>
  <w:num w:numId="26">
    <w:abstractNumId w:val="33"/>
  </w:num>
  <w:num w:numId="27">
    <w:abstractNumId w:val="25"/>
  </w:num>
  <w:num w:numId="28">
    <w:abstractNumId w:val="38"/>
    <w:lvlOverride w:ilvl="0">
      <w:startOverride w:val="1"/>
    </w:lvlOverride>
  </w:num>
  <w:num w:numId="29">
    <w:abstractNumId w:val="21"/>
  </w:num>
  <w:num w:numId="30">
    <w:abstractNumId w:val="7"/>
  </w:num>
  <w:num w:numId="31">
    <w:abstractNumId w:val="37"/>
  </w:num>
  <w:num w:numId="32">
    <w:abstractNumId w:val="38"/>
  </w:num>
  <w:num w:numId="33">
    <w:abstractNumId w:val="12"/>
  </w:num>
  <w:num w:numId="34">
    <w:abstractNumId w:val="40"/>
  </w:num>
  <w:num w:numId="35">
    <w:abstractNumId w:val="39"/>
  </w:num>
  <w:num w:numId="36">
    <w:abstractNumId w:val="0"/>
  </w:num>
  <w:num w:numId="37">
    <w:abstractNumId w:val="9"/>
  </w:num>
  <w:num w:numId="38">
    <w:abstractNumId w:val="29"/>
  </w:num>
  <w:num w:numId="39">
    <w:abstractNumId w:val="15"/>
  </w:num>
  <w:num w:numId="40">
    <w:abstractNumId w:val="35"/>
  </w:num>
  <w:num w:numId="41">
    <w:abstractNumId w:val="26"/>
  </w:num>
  <w:num w:numId="42">
    <w:abstractNumId w:val="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11C4A"/>
    <w:rsid w:val="00013460"/>
    <w:rsid w:val="00013804"/>
    <w:rsid w:val="00013AC9"/>
    <w:rsid w:val="0001747F"/>
    <w:rsid w:val="0002435C"/>
    <w:rsid w:val="00032B46"/>
    <w:rsid w:val="00032EEA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403F"/>
    <w:rsid w:val="000D5C74"/>
    <w:rsid w:val="000E1D40"/>
    <w:rsid w:val="000E2800"/>
    <w:rsid w:val="000F497A"/>
    <w:rsid w:val="00102AD8"/>
    <w:rsid w:val="00113956"/>
    <w:rsid w:val="00116035"/>
    <w:rsid w:val="001211EA"/>
    <w:rsid w:val="00143389"/>
    <w:rsid w:val="00143CC4"/>
    <w:rsid w:val="0015146D"/>
    <w:rsid w:val="00157D40"/>
    <w:rsid w:val="00162BE7"/>
    <w:rsid w:val="001673AC"/>
    <w:rsid w:val="0017006C"/>
    <w:rsid w:val="00174E20"/>
    <w:rsid w:val="00184334"/>
    <w:rsid w:val="00185AC8"/>
    <w:rsid w:val="00191428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70A5"/>
    <w:rsid w:val="00230761"/>
    <w:rsid w:val="00236E65"/>
    <w:rsid w:val="002372B8"/>
    <w:rsid w:val="00240AC0"/>
    <w:rsid w:val="002426AC"/>
    <w:rsid w:val="002453BD"/>
    <w:rsid w:val="00257353"/>
    <w:rsid w:val="002721D2"/>
    <w:rsid w:val="0027425A"/>
    <w:rsid w:val="0028093A"/>
    <w:rsid w:val="00281C80"/>
    <w:rsid w:val="0029256B"/>
    <w:rsid w:val="002950E0"/>
    <w:rsid w:val="002954C4"/>
    <w:rsid w:val="002A3AAE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3A24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5019"/>
    <w:rsid w:val="00406BA9"/>
    <w:rsid w:val="00410C9A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97F06"/>
    <w:rsid w:val="004A3757"/>
    <w:rsid w:val="004B1283"/>
    <w:rsid w:val="004C6034"/>
    <w:rsid w:val="004D3941"/>
    <w:rsid w:val="004E2421"/>
    <w:rsid w:val="004E6489"/>
    <w:rsid w:val="004E6662"/>
    <w:rsid w:val="004E765B"/>
    <w:rsid w:val="004F568A"/>
    <w:rsid w:val="005020EC"/>
    <w:rsid w:val="00516555"/>
    <w:rsid w:val="005256CF"/>
    <w:rsid w:val="00542C43"/>
    <w:rsid w:val="00551299"/>
    <w:rsid w:val="005535FB"/>
    <w:rsid w:val="00555DF5"/>
    <w:rsid w:val="00572006"/>
    <w:rsid w:val="00573E74"/>
    <w:rsid w:val="0057790F"/>
    <w:rsid w:val="00582470"/>
    <w:rsid w:val="00594DE5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559E3"/>
    <w:rsid w:val="00657577"/>
    <w:rsid w:val="006660B2"/>
    <w:rsid w:val="0067056E"/>
    <w:rsid w:val="00670F78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283E"/>
    <w:rsid w:val="006C40C7"/>
    <w:rsid w:val="006D3EB7"/>
    <w:rsid w:val="006D7B49"/>
    <w:rsid w:val="006E0A2E"/>
    <w:rsid w:val="006E1269"/>
    <w:rsid w:val="006E7D38"/>
    <w:rsid w:val="006F0870"/>
    <w:rsid w:val="006F1994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724CE"/>
    <w:rsid w:val="00780C21"/>
    <w:rsid w:val="007836AC"/>
    <w:rsid w:val="00784771"/>
    <w:rsid w:val="0079167D"/>
    <w:rsid w:val="007A0931"/>
    <w:rsid w:val="007A4309"/>
    <w:rsid w:val="007A7510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374"/>
    <w:rsid w:val="00800EE1"/>
    <w:rsid w:val="00811CAE"/>
    <w:rsid w:val="00825DC9"/>
    <w:rsid w:val="00831DF3"/>
    <w:rsid w:val="008326E7"/>
    <w:rsid w:val="0084241F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366A"/>
    <w:rsid w:val="008A40C0"/>
    <w:rsid w:val="008A5923"/>
    <w:rsid w:val="008B1120"/>
    <w:rsid w:val="008B1AA1"/>
    <w:rsid w:val="008B1BFF"/>
    <w:rsid w:val="008B4BE6"/>
    <w:rsid w:val="008C0271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71561"/>
    <w:rsid w:val="009761DA"/>
    <w:rsid w:val="009858FE"/>
    <w:rsid w:val="009860EA"/>
    <w:rsid w:val="00986AAC"/>
    <w:rsid w:val="00990719"/>
    <w:rsid w:val="0099315C"/>
    <w:rsid w:val="00996DC3"/>
    <w:rsid w:val="009B073D"/>
    <w:rsid w:val="009C02E5"/>
    <w:rsid w:val="009C0E0E"/>
    <w:rsid w:val="009C26E3"/>
    <w:rsid w:val="009C6DD1"/>
    <w:rsid w:val="009C7CD6"/>
    <w:rsid w:val="009D2789"/>
    <w:rsid w:val="009D4C0F"/>
    <w:rsid w:val="009D7C44"/>
    <w:rsid w:val="009E4FC8"/>
    <w:rsid w:val="009E7B86"/>
    <w:rsid w:val="009F366D"/>
    <w:rsid w:val="009F45EC"/>
    <w:rsid w:val="00A06362"/>
    <w:rsid w:val="00A06D11"/>
    <w:rsid w:val="00A13D8B"/>
    <w:rsid w:val="00A2390C"/>
    <w:rsid w:val="00A244A2"/>
    <w:rsid w:val="00A24A81"/>
    <w:rsid w:val="00A314BD"/>
    <w:rsid w:val="00A34443"/>
    <w:rsid w:val="00A345F7"/>
    <w:rsid w:val="00A404F7"/>
    <w:rsid w:val="00A42581"/>
    <w:rsid w:val="00A51447"/>
    <w:rsid w:val="00A52B32"/>
    <w:rsid w:val="00A53F34"/>
    <w:rsid w:val="00A540EB"/>
    <w:rsid w:val="00A5539A"/>
    <w:rsid w:val="00A60B97"/>
    <w:rsid w:val="00A71E51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C452D"/>
    <w:rsid w:val="00AE1625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32239"/>
    <w:rsid w:val="00B42DDB"/>
    <w:rsid w:val="00B472D0"/>
    <w:rsid w:val="00B6145A"/>
    <w:rsid w:val="00B61570"/>
    <w:rsid w:val="00B6585E"/>
    <w:rsid w:val="00B72578"/>
    <w:rsid w:val="00B744FB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0618"/>
    <w:rsid w:val="00C119D6"/>
    <w:rsid w:val="00C141D0"/>
    <w:rsid w:val="00C20F98"/>
    <w:rsid w:val="00C21F77"/>
    <w:rsid w:val="00C249C9"/>
    <w:rsid w:val="00C27BEF"/>
    <w:rsid w:val="00C32A74"/>
    <w:rsid w:val="00C33BEA"/>
    <w:rsid w:val="00C35FE2"/>
    <w:rsid w:val="00C424F1"/>
    <w:rsid w:val="00C4424F"/>
    <w:rsid w:val="00C445CC"/>
    <w:rsid w:val="00C4599F"/>
    <w:rsid w:val="00C45F82"/>
    <w:rsid w:val="00C475F7"/>
    <w:rsid w:val="00C53E01"/>
    <w:rsid w:val="00C63B8D"/>
    <w:rsid w:val="00C81CDA"/>
    <w:rsid w:val="00C83148"/>
    <w:rsid w:val="00C846A9"/>
    <w:rsid w:val="00C8776B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D781C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779C"/>
    <w:rsid w:val="00D37DCA"/>
    <w:rsid w:val="00D54373"/>
    <w:rsid w:val="00D62225"/>
    <w:rsid w:val="00D65D20"/>
    <w:rsid w:val="00D745DA"/>
    <w:rsid w:val="00D77DA5"/>
    <w:rsid w:val="00D84420"/>
    <w:rsid w:val="00D85438"/>
    <w:rsid w:val="00D8732D"/>
    <w:rsid w:val="00D90AB7"/>
    <w:rsid w:val="00D927DB"/>
    <w:rsid w:val="00DA0D76"/>
    <w:rsid w:val="00DA1274"/>
    <w:rsid w:val="00DA133C"/>
    <w:rsid w:val="00DA2B1D"/>
    <w:rsid w:val="00DA30A3"/>
    <w:rsid w:val="00DB7DCE"/>
    <w:rsid w:val="00DB7EE7"/>
    <w:rsid w:val="00DC0474"/>
    <w:rsid w:val="00DC3E82"/>
    <w:rsid w:val="00DC529B"/>
    <w:rsid w:val="00DD563C"/>
    <w:rsid w:val="00DE06EE"/>
    <w:rsid w:val="00DF0141"/>
    <w:rsid w:val="00DF0807"/>
    <w:rsid w:val="00DF0C32"/>
    <w:rsid w:val="00DF513B"/>
    <w:rsid w:val="00DF71E8"/>
    <w:rsid w:val="00E0352C"/>
    <w:rsid w:val="00E06FF9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35425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4140"/>
    <w:rsid w:val="00E93D69"/>
    <w:rsid w:val="00E94FA8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1668A"/>
    <w:rsid w:val="00F269DE"/>
    <w:rsid w:val="00F26A4B"/>
    <w:rsid w:val="00F2753E"/>
    <w:rsid w:val="00F31636"/>
    <w:rsid w:val="00F376E3"/>
    <w:rsid w:val="00F37ED4"/>
    <w:rsid w:val="00F40173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554D"/>
    <w:rsid w:val="00FB4E60"/>
    <w:rsid w:val="00FC4ACC"/>
    <w:rsid w:val="00FD0892"/>
    <w:rsid w:val="00FD6782"/>
    <w:rsid w:val="00FE26CD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ticip.m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c.gov.m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FADCA40D-34FB-4288-9C28-E5F14312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1755</Words>
  <Characters>10007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MEC</cp:lastModifiedBy>
  <cp:revision>4</cp:revision>
  <cp:lastPrinted>2024-08-07T13:21:00Z</cp:lastPrinted>
  <dcterms:created xsi:type="dcterms:W3CDTF">2024-08-08T06:35:00Z</dcterms:created>
  <dcterms:modified xsi:type="dcterms:W3CDTF">2024-08-08T07:07:00Z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