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129" w:rsidRPr="00BF7129" w:rsidRDefault="00BF7129" w:rsidP="00BF7129">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TABEL DE CONCORDANȚĂ</w:t>
      </w:r>
    </w:p>
    <w:p w:rsidR="00BF7129" w:rsidRPr="00BF7129" w:rsidRDefault="00BF7129" w:rsidP="00BF7129">
      <w:pPr>
        <w:spacing w:after="0" w:line="240" w:lineRule="auto"/>
        <w:ind w:firstLine="720"/>
        <w:jc w:val="both"/>
        <w:rPr>
          <w:rFonts w:ascii="Times New Roman" w:eastAsia="Times New Roman" w:hAnsi="Times New Roman" w:cs="Times New Roman"/>
          <w:b/>
          <w:sz w:val="24"/>
          <w:szCs w:val="24"/>
          <w:lang w:val="ro-RO"/>
        </w:rPr>
      </w:pPr>
    </w:p>
    <w:tbl>
      <w:tblPr>
        <w:tblW w:w="52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961"/>
        <w:gridCol w:w="5109"/>
        <w:gridCol w:w="1321"/>
        <w:gridCol w:w="662"/>
        <w:gridCol w:w="1464"/>
        <w:gridCol w:w="1527"/>
        <w:gridCol w:w="15"/>
      </w:tblGrid>
      <w:tr w:rsidR="00C214A2" w:rsidRPr="00BF7129" w:rsidTr="007865FA">
        <w:tc>
          <w:tcPr>
            <w:tcW w:w="286" w:type="pct"/>
            <w:shd w:val="clear" w:color="auto" w:fill="auto"/>
          </w:tcPr>
          <w:p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714" w:type="pct"/>
            <w:gridSpan w:val="7"/>
            <w:shd w:val="clear" w:color="auto" w:fill="auto"/>
          </w:tcPr>
          <w:p w:rsidR="00864B81" w:rsidRDefault="00864B81" w:rsidP="00864B81">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actului Uniunii Europene, inclusiv cele mai recente amendamente incluse</w:t>
            </w:r>
          </w:p>
          <w:p w:rsidR="00864B81" w:rsidRPr="00BF7129" w:rsidRDefault="00864B81" w:rsidP="00864B81">
            <w:pPr>
              <w:spacing w:after="0" w:line="240" w:lineRule="auto"/>
              <w:jc w:val="both"/>
              <w:rPr>
                <w:rFonts w:ascii="Times New Roman" w:eastAsia="Times New Roman" w:hAnsi="Times New Roman" w:cs="Times New Roman"/>
                <w:sz w:val="24"/>
                <w:szCs w:val="24"/>
                <w:lang w:val="ro-RO"/>
              </w:rPr>
            </w:pPr>
            <w:r w:rsidRPr="00CC66F7">
              <w:rPr>
                <w:rFonts w:ascii="Times New Roman" w:eastAsia="Times New Roman" w:hAnsi="Times New Roman" w:cs="Times New Roman"/>
                <w:sz w:val="24"/>
                <w:szCs w:val="24"/>
                <w:lang w:val="ro-RO"/>
              </w:rPr>
              <w:t xml:space="preserve">Regulamentul delegat (UE) 2017/254 al Comisiei din 30 noiembrie 2016 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 </w:t>
            </w:r>
            <w:r w:rsidRPr="004C19FF">
              <w:rPr>
                <w:rFonts w:ascii="Times New Roman" w:eastAsia="Times New Roman" w:hAnsi="Times New Roman" w:cs="Times New Roman"/>
                <w:sz w:val="24"/>
                <w:szCs w:val="24"/>
                <w:lang w:val="ro-RO"/>
              </w:rPr>
              <w:t>CELEX: 3201</w:t>
            </w:r>
            <w:r>
              <w:rPr>
                <w:rFonts w:ascii="Times New Roman" w:eastAsia="Times New Roman" w:hAnsi="Times New Roman" w:cs="Times New Roman"/>
                <w:sz w:val="24"/>
                <w:szCs w:val="24"/>
                <w:lang w:val="ro-RO"/>
              </w:rPr>
              <w:t>7</w:t>
            </w:r>
            <w:r w:rsidRPr="004C19FF">
              <w:rPr>
                <w:rFonts w:ascii="Times New Roman" w:eastAsia="Times New Roman" w:hAnsi="Times New Roman" w:cs="Times New Roman"/>
                <w:sz w:val="24"/>
                <w:szCs w:val="24"/>
                <w:lang w:val="ro-RO"/>
              </w:rPr>
              <w:t>R</w:t>
            </w:r>
            <w:r>
              <w:rPr>
                <w:rFonts w:ascii="Times New Roman" w:eastAsia="Times New Roman" w:hAnsi="Times New Roman" w:cs="Times New Roman"/>
                <w:sz w:val="24"/>
                <w:szCs w:val="24"/>
                <w:lang w:val="ro-RO"/>
              </w:rPr>
              <w:t>0254</w:t>
            </w:r>
            <w:r w:rsidRPr="004C19FF">
              <w:rPr>
                <w:rFonts w:ascii="Times New Roman" w:eastAsia="Times New Roman" w:hAnsi="Times New Roman" w:cs="Times New Roman"/>
                <w:sz w:val="24"/>
                <w:szCs w:val="24"/>
                <w:lang w:val="ro-RO"/>
              </w:rPr>
              <w:t xml:space="preserve">, publicat în Jurnalul Oficial al Uniunii Europene L </w:t>
            </w:r>
            <w:r>
              <w:rPr>
                <w:rFonts w:ascii="Times New Roman" w:eastAsia="Times New Roman" w:hAnsi="Times New Roman" w:cs="Times New Roman"/>
                <w:sz w:val="24"/>
                <w:szCs w:val="24"/>
                <w:lang w:val="ro-RO"/>
              </w:rPr>
              <w:t>38</w:t>
            </w:r>
            <w:r w:rsidRPr="004C19FF">
              <w:rPr>
                <w:rFonts w:ascii="Times New Roman" w:eastAsia="Times New Roman" w:hAnsi="Times New Roman" w:cs="Times New Roman"/>
                <w:sz w:val="24"/>
                <w:szCs w:val="24"/>
                <w:lang w:val="ro-RO"/>
              </w:rPr>
              <w:t xml:space="preserve">/1din </w:t>
            </w:r>
            <w:r>
              <w:rPr>
                <w:rFonts w:ascii="Times New Roman" w:eastAsia="Times New Roman" w:hAnsi="Times New Roman" w:cs="Times New Roman"/>
                <w:sz w:val="24"/>
                <w:szCs w:val="24"/>
                <w:lang w:val="ro-RO"/>
              </w:rPr>
              <w:t>15.02.</w:t>
            </w:r>
            <w:r w:rsidRPr="004C19FF">
              <w:rPr>
                <w:rFonts w:ascii="Times New Roman" w:eastAsia="Times New Roman" w:hAnsi="Times New Roman" w:cs="Times New Roman"/>
                <w:sz w:val="24"/>
                <w:szCs w:val="24"/>
                <w:lang w:val="ro-RO"/>
              </w:rPr>
              <w:t>201</w:t>
            </w:r>
            <w:r>
              <w:rPr>
                <w:rFonts w:ascii="Times New Roman" w:eastAsia="Times New Roman" w:hAnsi="Times New Roman" w:cs="Times New Roman"/>
                <w:sz w:val="24"/>
                <w:szCs w:val="24"/>
                <w:lang w:val="ro-RO"/>
              </w:rPr>
              <w:t>7.</w:t>
            </w:r>
          </w:p>
        </w:tc>
      </w:tr>
      <w:tr w:rsidR="00C214A2" w:rsidRPr="00BF7129" w:rsidTr="007865FA">
        <w:tc>
          <w:tcPr>
            <w:tcW w:w="286" w:type="pct"/>
            <w:shd w:val="clear" w:color="auto" w:fill="auto"/>
          </w:tcPr>
          <w:p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714" w:type="pct"/>
            <w:gridSpan w:val="7"/>
            <w:shd w:val="clear" w:color="auto" w:fill="auto"/>
          </w:tcPr>
          <w:p w:rsidR="00BF7129" w:rsidRDefault="00BF7129" w:rsidP="004C19FF">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sidR="004C19FF">
              <w:rPr>
                <w:rFonts w:ascii="Times New Roman" w:eastAsia="Times New Roman" w:hAnsi="Times New Roman" w:cs="Times New Roman"/>
                <w:b/>
                <w:sz w:val="24"/>
                <w:szCs w:val="24"/>
                <w:lang w:val="ro-RO"/>
              </w:rPr>
              <w:tab/>
            </w:r>
          </w:p>
          <w:p w:rsidR="004C19FF" w:rsidRPr="00BF7129" w:rsidRDefault="004C19FF" w:rsidP="004C19FF">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C214A2" w:rsidRPr="00BF7129" w:rsidTr="007865FA">
        <w:tc>
          <w:tcPr>
            <w:tcW w:w="286" w:type="pct"/>
            <w:shd w:val="clear" w:color="auto" w:fill="auto"/>
          </w:tcPr>
          <w:p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714" w:type="pct"/>
            <w:gridSpan w:val="7"/>
            <w:shd w:val="clear" w:color="auto" w:fill="auto"/>
          </w:tcPr>
          <w:p w:rsid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general de compatibilitate</w:t>
            </w:r>
          </w:p>
          <w:p w:rsidR="004C19FF" w:rsidRPr="00BF7129" w:rsidRDefault="004C19FF" w:rsidP="00BF7129">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color w:val="FF0000"/>
                <w:sz w:val="24"/>
                <w:szCs w:val="24"/>
                <w:lang w:val="ro-RO"/>
              </w:rPr>
              <w:t>Parțial compatibil</w:t>
            </w:r>
          </w:p>
        </w:tc>
      </w:tr>
      <w:tr w:rsidR="0019469F" w:rsidRPr="00BF7129" w:rsidTr="007865FA">
        <w:trPr>
          <w:gridAfter w:val="1"/>
          <w:wAfter w:w="5" w:type="pct"/>
        </w:trPr>
        <w:tc>
          <w:tcPr>
            <w:tcW w:w="1614" w:type="pct"/>
            <w:gridSpan w:val="2"/>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Actul Uniunii Europene</w:t>
            </w:r>
          </w:p>
        </w:tc>
        <w:tc>
          <w:tcPr>
            <w:tcW w:w="1713"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Proiectul de act normativ național</w:t>
            </w:r>
          </w:p>
        </w:tc>
        <w:tc>
          <w:tcPr>
            <w:tcW w:w="443"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de compatibilitate</w:t>
            </w:r>
          </w:p>
        </w:tc>
        <w:tc>
          <w:tcPr>
            <w:tcW w:w="222"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Diferențele</w:t>
            </w:r>
          </w:p>
        </w:tc>
        <w:tc>
          <w:tcPr>
            <w:tcW w:w="491"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Observațiile</w:t>
            </w:r>
          </w:p>
        </w:tc>
        <w:tc>
          <w:tcPr>
            <w:tcW w:w="512"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Autoritatea/</w:t>
            </w:r>
          </w:p>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persoana responsabilă</w:t>
            </w:r>
          </w:p>
        </w:tc>
      </w:tr>
      <w:tr w:rsidR="0019469F" w:rsidRPr="00BF7129" w:rsidTr="007865FA">
        <w:trPr>
          <w:gridAfter w:val="1"/>
          <w:wAfter w:w="5" w:type="pct"/>
        </w:trPr>
        <w:tc>
          <w:tcPr>
            <w:tcW w:w="1614" w:type="pct"/>
            <w:gridSpan w:val="2"/>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713"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443"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222"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491"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512"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19469F" w:rsidRPr="00BF7129" w:rsidTr="007865FA">
        <w:trPr>
          <w:gridAfter w:val="1"/>
          <w:wAfter w:w="5" w:type="pct"/>
        </w:trPr>
        <w:tc>
          <w:tcPr>
            <w:tcW w:w="1614" w:type="pct"/>
            <w:gridSpan w:val="2"/>
            <w:shd w:val="clear" w:color="auto" w:fill="auto"/>
          </w:tcPr>
          <w:p w:rsidR="00A31998" w:rsidRPr="00A64120" w:rsidRDefault="00A31998" w:rsidP="00A31998">
            <w:pPr>
              <w:spacing w:after="0" w:line="240" w:lineRule="auto"/>
              <w:jc w:val="both"/>
              <w:rPr>
                <w:rFonts w:ascii="Times New Roman" w:eastAsia="Times New Roman" w:hAnsi="Times New Roman" w:cs="Times New Roman"/>
                <w:b/>
                <w:sz w:val="24"/>
                <w:szCs w:val="24"/>
                <w:lang w:val="ro-RO"/>
              </w:rPr>
            </w:pPr>
            <w:r w:rsidRPr="00A64120">
              <w:rPr>
                <w:rFonts w:ascii="Times New Roman" w:eastAsia="Times New Roman" w:hAnsi="Times New Roman" w:cs="Times New Roman"/>
                <w:b/>
                <w:sz w:val="24"/>
                <w:szCs w:val="24"/>
                <w:lang w:val="ro-RO"/>
              </w:rPr>
              <w:t>REGULAMENTUL DELEGAT (UE) 2017/254 AL COMISIEI</w:t>
            </w:r>
          </w:p>
          <w:p w:rsidR="00A31998" w:rsidRPr="00A64120" w:rsidRDefault="00A31998" w:rsidP="00A3199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30 noiembrie 2016</w:t>
            </w:r>
          </w:p>
          <w:p w:rsidR="00A31998" w:rsidRDefault="00A31998" w:rsidP="00A31998">
            <w:pPr>
              <w:spacing w:after="0" w:line="240" w:lineRule="auto"/>
              <w:jc w:val="both"/>
              <w:rPr>
                <w:rFonts w:ascii="Times New Roman" w:eastAsia="Times New Roman" w:hAnsi="Times New Roman" w:cs="Times New Roman"/>
                <w:i/>
                <w:sz w:val="24"/>
                <w:szCs w:val="24"/>
                <w:lang w:val="ro-RO"/>
              </w:rPr>
            </w:pPr>
            <w:r w:rsidRPr="00A64120">
              <w:rPr>
                <w:rFonts w:ascii="Times New Roman" w:eastAsia="Times New Roman" w:hAnsi="Times New Roman" w:cs="Times New Roman"/>
                <w:b/>
                <w:sz w:val="24"/>
                <w:szCs w:val="24"/>
                <w:lang w:val="ro-RO"/>
              </w:rPr>
              <w:t>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w:t>
            </w:r>
            <w:r w:rsidRPr="00062BDD">
              <w:rPr>
                <w:rFonts w:ascii="Times New Roman" w:eastAsia="Times New Roman" w:hAnsi="Times New Roman" w:cs="Times New Roman"/>
                <w:i/>
                <w:sz w:val="24"/>
                <w:szCs w:val="24"/>
                <w:lang w:val="ro-RO"/>
              </w:rPr>
              <w:t xml:space="preserve"> </w:t>
            </w:r>
          </w:p>
          <w:p w:rsidR="00062BDD" w:rsidRPr="00062BDD" w:rsidRDefault="00062BDD" w:rsidP="00062BDD">
            <w:pPr>
              <w:spacing w:after="0" w:line="240" w:lineRule="auto"/>
              <w:jc w:val="center"/>
              <w:rPr>
                <w:rFonts w:ascii="Times New Roman" w:eastAsia="Times New Roman" w:hAnsi="Times New Roman" w:cs="Times New Roman"/>
                <w:i/>
                <w:sz w:val="24"/>
                <w:szCs w:val="24"/>
                <w:lang w:val="ro-RO"/>
              </w:rPr>
            </w:pPr>
            <w:r w:rsidRPr="00062BDD">
              <w:rPr>
                <w:rFonts w:ascii="Times New Roman" w:eastAsia="Times New Roman" w:hAnsi="Times New Roman" w:cs="Times New Roman"/>
                <w:i/>
                <w:sz w:val="24"/>
                <w:szCs w:val="24"/>
                <w:lang w:val="ro-RO"/>
              </w:rPr>
              <w:t>Articolul 6</w:t>
            </w:r>
          </w:p>
          <w:p w:rsidR="00062BDD" w:rsidRPr="00062BDD" w:rsidRDefault="00062BDD" w:rsidP="00062BDD">
            <w:pPr>
              <w:spacing w:after="0" w:line="240" w:lineRule="auto"/>
              <w:jc w:val="center"/>
              <w:rPr>
                <w:rFonts w:ascii="Times New Roman" w:eastAsia="Times New Roman" w:hAnsi="Times New Roman" w:cs="Times New Roman"/>
                <w:b/>
                <w:sz w:val="24"/>
                <w:szCs w:val="24"/>
                <w:lang w:val="ro-RO"/>
              </w:rPr>
            </w:pPr>
          </w:p>
          <w:p w:rsidR="00062BDD" w:rsidRPr="00062BDD" w:rsidRDefault="00062BDD" w:rsidP="00062BDD">
            <w:pPr>
              <w:spacing w:after="0" w:line="240" w:lineRule="auto"/>
              <w:jc w:val="center"/>
              <w:rPr>
                <w:rFonts w:ascii="Times New Roman" w:eastAsia="Times New Roman" w:hAnsi="Times New Roman" w:cs="Times New Roman"/>
                <w:b/>
                <w:sz w:val="24"/>
                <w:szCs w:val="24"/>
                <w:lang w:val="ro-RO"/>
              </w:rPr>
            </w:pPr>
            <w:r w:rsidRPr="00062BDD">
              <w:rPr>
                <w:rFonts w:ascii="Times New Roman" w:eastAsia="Times New Roman" w:hAnsi="Times New Roman" w:cs="Times New Roman"/>
                <w:b/>
                <w:sz w:val="24"/>
                <w:szCs w:val="24"/>
                <w:lang w:val="ro-RO"/>
              </w:rPr>
              <w:t>Modificări aduse Regulamentului delegat (UE) nr. 392/2012</w:t>
            </w:r>
          </w:p>
          <w:p w:rsidR="00062BDD" w:rsidRPr="00062BDD" w:rsidRDefault="00062BDD" w:rsidP="00062BDD">
            <w:pPr>
              <w:spacing w:after="0" w:line="240" w:lineRule="auto"/>
              <w:jc w:val="center"/>
              <w:rPr>
                <w:rFonts w:ascii="Times New Roman" w:eastAsia="Times New Roman" w:hAnsi="Times New Roman" w:cs="Times New Roman"/>
                <w:b/>
                <w:sz w:val="24"/>
                <w:szCs w:val="24"/>
                <w:lang w:val="ro-RO"/>
              </w:rPr>
            </w:pPr>
          </w:p>
          <w:p w:rsidR="00B50513" w:rsidRPr="00BF7129" w:rsidRDefault="00062BDD" w:rsidP="00062BDD">
            <w:pPr>
              <w:spacing w:after="0" w:line="240" w:lineRule="auto"/>
              <w:jc w:val="both"/>
              <w:rPr>
                <w:rFonts w:ascii="Times New Roman" w:eastAsia="Times New Roman" w:hAnsi="Times New Roman" w:cs="Times New Roman"/>
                <w:b/>
                <w:sz w:val="24"/>
                <w:szCs w:val="24"/>
                <w:lang w:val="ro-RO"/>
              </w:rPr>
            </w:pPr>
            <w:r w:rsidRPr="00062BDD">
              <w:rPr>
                <w:rFonts w:ascii="Times New Roman" w:eastAsia="Times New Roman" w:hAnsi="Times New Roman" w:cs="Times New Roman"/>
                <w:sz w:val="24"/>
                <w:szCs w:val="24"/>
                <w:lang w:val="ro-RO"/>
              </w:rPr>
              <w:lastRenderedPageBreak/>
              <w:t>Anexa V la Regulamentul delegat (UE) nr. 392/2012 se modifică în conformitate cu anexa VI la prezentul regulament delegat.</w:t>
            </w:r>
          </w:p>
        </w:tc>
        <w:tc>
          <w:tcPr>
            <w:tcW w:w="1713" w:type="pct"/>
            <w:shd w:val="clear" w:color="auto" w:fill="auto"/>
          </w:tcPr>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804F20" w:rsidRDefault="00804F20" w:rsidP="00062BDD">
            <w:pPr>
              <w:spacing w:after="0" w:line="240" w:lineRule="auto"/>
              <w:jc w:val="both"/>
              <w:rPr>
                <w:rFonts w:ascii="Times New Roman" w:eastAsia="Times New Roman" w:hAnsi="Times New Roman" w:cs="Times New Roman"/>
                <w:b/>
                <w:sz w:val="24"/>
                <w:szCs w:val="24"/>
                <w:lang w:val="ro-RO"/>
              </w:rPr>
            </w:pPr>
          </w:p>
          <w:p w:rsidR="00062BDD" w:rsidRPr="004C19FF" w:rsidRDefault="00062BDD" w:rsidP="00062BDD">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R</w:t>
            </w:r>
            <w:r w:rsidRPr="004C19FF">
              <w:rPr>
                <w:rFonts w:ascii="Times New Roman" w:eastAsia="Times New Roman" w:hAnsi="Times New Roman" w:cs="Times New Roman"/>
                <w:b/>
                <w:sz w:val="24"/>
                <w:szCs w:val="24"/>
                <w:lang w:val="ro-RO"/>
              </w:rPr>
              <w:t>EGULAMENT</w:t>
            </w:r>
          </w:p>
          <w:p w:rsidR="00B50513" w:rsidRPr="00BF7129" w:rsidRDefault="00062BDD" w:rsidP="00062BDD">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sz w:val="24"/>
                <w:szCs w:val="24"/>
                <w:lang w:val="ro-RO"/>
              </w:rPr>
              <w:t xml:space="preserve">cu privire la etichetarea energetică a </w:t>
            </w:r>
            <w:r w:rsidRPr="0009768F">
              <w:rPr>
                <w:rFonts w:ascii="Times New Roman" w:eastAsia="Times New Roman" w:hAnsi="Times New Roman" w:cs="Times New Roman"/>
                <w:b/>
                <w:sz w:val="24"/>
                <w:szCs w:val="24"/>
                <w:lang w:val="ro-RO"/>
              </w:rPr>
              <w:t>uscătoarelor de rufe de uz casnic cu tambur</w:t>
            </w:r>
          </w:p>
        </w:tc>
        <w:tc>
          <w:tcPr>
            <w:tcW w:w="443" w:type="pct"/>
            <w:shd w:val="clear" w:color="auto" w:fill="auto"/>
          </w:tcPr>
          <w:p w:rsidR="004C19FF" w:rsidRDefault="004C19FF"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190592" w:rsidRDefault="00190592" w:rsidP="00B50513">
            <w:pPr>
              <w:spacing w:after="0" w:line="240" w:lineRule="auto"/>
              <w:jc w:val="center"/>
              <w:rPr>
                <w:rFonts w:ascii="Times New Roman" w:eastAsia="Times New Roman" w:hAnsi="Times New Roman" w:cs="Times New Roman"/>
                <w:b/>
                <w:sz w:val="24"/>
                <w:szCs w:val="24"/>
                <w:lang w:val="ro-RO"/>
              </w:rPr>
            </w:pPr>
          </w:p>
          <w:p w:rsidR="00190592" w:rsidRDefault="00190592" w:rsidP="00B50513">
            <w:pPr>
              <w:spacing w:after="0" w:line="240" w:lineRule="auto"/>
              <w:jc w:val="center"/>
              <w:rPr>
                <w:rFonts w:ascii="Times New Roman" w:eastAsia="Times New Roman" w:hAnsi="Times New Roman" w:cs="Times New Roman"/>
                <w:b/>
                <w:sz w:val="24"/>
                <w:szCs w:val="24"/>
                <w:lang w:val="ro-RO"/>
              </w:rPr>
            </w:pPr>
          </w:p>
          <w:p w:rsidR="00190592" w:rsidRDefault="00190592" w:rsidP="00B50513">
            <w:pPr>
              <w:spacing w:after="0" w:line="240" w:lineRule="auto"/>
              <w:jc w:val="center"/>
              <w:rPr>
                <w:rFonts w:ascii="Times New Roman" w:eastAsia="Times New Roman" w:hAnsi="Times New Roman" w:cs="Times New Roman"/>
                <w:b/>
                <w:sz w:val="24"/>
                <w:szCs w:val="24"/>
                <w:lang w:val="ro-RO"/>
              </w:rPr>
            </w:pPr>
          </w:p>
          <w:p w:rsidR="009A5B4B" w:rsidRDefault="009A5B4B" w:rsidP="00B50513">
            <w:pPr>
              <w:spacing w:after="0" w:line="240" w:lineRule="auto"/>
              <w:jc w:val="center"/>
              <w:rPr>
                <w:rFonts w:ascii="Times New Roman" w:eastAsia="Times New Roman" w:hAnsi="Times New Roman" w:cs="Times New Roman"/>
                <w:b/>
                <w:sz w:val="24"/>
                <w:szCs w:val="24"/>
                <w:lang w:val="ro-RO"/>
              </w:rPr>
            </w:pPr>
          </w:p>
          <w:p w:rsidR="00B50513" w:rsidRPr="004C19FF" w:rsidRDefault="004C19FF" w:rsidP="004C19FF">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22"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rsidR="00B50513" w:rsidRPr="00C70D7F" w:rsidRDefault="0094302A" w:rsidP="00322553">
            <w:pPr>
              <w:spacing w:after="0" w:line="240" w:lineRule="auto"/>
              <w:jc w:val="both"/>
              <w:rPr>
                <w:rFonts w:ascii="Times New Roman" w:eastAsia="Times New Roman" w:hAnsi="Times New Roman" w:cs="Times New Roman"/>
                <w:sz w:val="20"/>
                <w:szCs w:val="20"/>
                <w:lang w:val="ro-RO"/>
              </w:rPr>
            </w:pPr>
            <w:r w:rsidRPr="00C70D7F">
              <w:rPr>
                <w:rFonts w:ascii="Times New Roman" w:eastAsia="Times New Roman" w:hAnsi="Times New Roman" w:cs="Times New Roman"/>
                <w:sz w:val="20"/>
                <w:szCs w:val="20"/>
                <w:lang w:val="ro-RO"/>
              </w:rPr>
              <w:t xml:space="preserve">Se </w:t>
            </w:r>
            <w:r w:rsidR="00C70D7F">
              <w:rPr>
                <w:rFonts w:ascii="Times New Roman" w:eastAsia="Times New Roman" w:hAnsi="Times New Roman" w:cs="Times New Roman"/>
                <w:sz w:val="20"/>
                <w:szCs w:val="20"/>
                <w:lang w:val="ro-RO"/>
              </w:rPr>
              <w:t xml:space="preserve">transpune doar anexa nr. VI </w:t>
            </w:r>
            <w:r w:rsidRPr="00C70D7F">
              <w:rPr>
                <w:rFonts w:ascii="Times New Roman" w:eastAsia="Times New Roman" w:hAnsi="Times New Roman" w:cs="Times New Roman"/>
                <w:sz w:val="20"/>
                <w:szCs w:val="20"/>
                <w:lang w:val="ro-RO"/>
              </w:rPr>
              <w:t>din Regulamentul UE, dat fiin</w:t>
            </w:r>
            <w:r w:rsidR="00C70D7F">
              <w:rPr>
                <w:rFonts w:ascii="Times New Roman" w:eastAsia="Times New Roman" w:hAnsi="Times New Roman" w:cs="Times New Roman"/>
                <w:sz w:val="20"/>
                <w:szCs w:val="20"/>
                <w:lang w:val="ro-RO"/>
              </w:rPr>
              <w:t>d</w:t>
            </w:r>
            <w:r w:rsidRPr="00C70D7F">
              <w:rPr>
                <w:rFonts w:ascii="Times New Roman" w:eastAsia="Times New Roman" w:hAnsi="Times New Roman" w:cs="Times New Roman"/>
                <w:sz w:val="20"/>
                <w:szCs w:val="20"/>
                <w:lang w:val="ro-RO"/>
              </w:rPr>
              <w:t xml:space="preserve"> faptul c</w:t>
            </w:r>
            <w:r w:rsidR="00962482" w:rsidRPr="00C70D7F">
              <w:rPr>
                <w:rFonts w:ascii="Times New Roman" w:eastAsia="Times New Roman" w:hAnsi="Times New Roman" w:cs="Times New Roman"/>
                <w:sz w:val="20"/>
                <w:szCs w:val="20"/>
                <w:lang w:val="ro-RO"/>
              </w:rPr>
              <w:t>a este regulamentul de modificare a mai multor Regulamente UE.</w:t>
            </w:r>
          </w:p>
        </w:tc>
        <w:tc>
          <w:tcPr>
            <w:tcW w:w="512" w:type="pct"/>
            <w:shd w:val="clear" w:color="auto" w:fill="auto"/>
          </w:tcPr>
          <w:p w:rsidR="00B50513" w:rsidRDefault="00B50513"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Default="00EF7340" w:rsidP="00B50513">
            <w:pPr>
              <w:spacing w:after="0" w:line="240" w:lineRule="auto"/>
              <w:jc w:val="center"/>
              <w:rPr>
                <w:rFonts w:ascii="Times New Roman" w:eastAsia="Times New Roman" w:hAnsi="Times New Roman" w:cs="Times New Roman"/>
                <w:b/>
                <w:sz w:val="24"/>
                <w:szCs w:val="24"/>
                <w:lang w:val="ro-RO"/>
              </w:rPr>
            </w:pPr>
          </w:p>
          <w:p w:rsidR="00EF7340" w:rsidRPr="00BF7129" w:rsidRDefault="00EF7340" w:rsidP="00EF7340">
            <w:pPr>
              <w:spacing w:after="0" w:line="240" w:lineRule="auto"/>
              <w:rPr>
                <w:rFonts w:ascii="Times New Roman" w:eastAsia="Times New Roman" w:hAnsi="Times New Roman" w:cs="Times New Roman"/>
                <w:b/>
                <w:sz w:val="24"/>
                <w:szCs w:val="24"/>
                <w:lang w:val="ro-RO"/>
              </w:rPr>
            </w:pPr>
          </w:p>
        </w:tc>
      </w:tr>
      <w:tr w:rsidR="00962482" w:rsidRPr="00BF7129" w:rsidTr="007865FA">
        <w:trPr>
          <w:gridAfter w:val="1"/>
          <w:wAfter w:w="5" w:type="pct"/>
        </w:trPr>
        <w:tc>
          <w:tcPr>
            <w:tcW w:w="1614" w:type="pct"/>
            <w:gridSpan w:val="2"/>
            <w:shd w:val="clear" w:color="auto" w:fill="auto"/>
          </w:tcPr>
          <w:p w:rsidR="00962482" w:rsidRPr="00125399" w:rsidRDefault="00962482" w:rsidP="00962482">
            <w:pPr>
              <w:spacing w:after="0" w:line="240" w:lineRule="auto"/>
              <w:jc w:val="both"/>
              <w:rPr>
                <w:rFonts w:ascii="Times New Roman" w:eastAsia="Times New Roman" w:hAnsi="Times New Roman" w:cs="Times New Roman"/>
                <w:i/>
                <w:sz w:val="24"/>
                <w:szCs w:val="24"/>
                <w:lang w:val="ro-RO"/>
              </w:rPr>
            </w:pPr>
            <w:r w:rsidRPr="00125399">
              <w:rPr>
                <w:rFonts w:ascii="Times New Roman" w:eastAsia="Times New Roman" w:hAnsi="Times New Roman" w:cs="Times New Roman"/>
                <w:i/>
                <w:sz w:val="24"/>
                <w:szCs w:val="24"/>
                <w:lang w:val="ro-RO"/>
              </w:rPr>
              <w:lastRenderedPageBreak/>
              <w:t>ANEXA VI</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125399" w:rsidRDefault="00962482" w:rsidP="00962482">
            <w:pPr>
              <w:spacing w:after="0" w:line="240" w:lineRule="auto"/>
              <w:jc w:val="both"/>
              <w:rPr>
                <w:rFonts w:ascii="Times New Roman" w:eastAsia="Times New Roman" w:hAnsi="Times New Roman" w:cs="Times New Roman"/>
                <w:b/>
                <w:sz w:val="24"/>
                <w:szCs w:val="24"/>
                <w:lang w:val="ro-RO"/>
              </w:rPr>
            </w:pPr>
            <w:r w:rsidRPr="00125399">
              <w:rPr>
                <w:rFonts w:ascii="Times New Roman" w:eastAsia="Times New Roman" w:hAnsi="Times New Roman" w:cs="Times New Roman"/>
                <w:b/>
                <w:sz w:val="24"/>
                <w:szCs w:val="24"/>
                <w:lang w:val="ro-RO"/>
              </w:rPr>
              <w:t>Modificări aduse anexei V la Regulamentul delegat (UE) nr. 392/2012</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Anexa V se înlocuiește cu următorul text:</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„ANEXA V</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Verificarea conformității produselor de către autoritățile de supraveghere a pieței</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Toleranțele de verificare prevăzute în prezenta anexă se referă numai la verificarea parametrilor măsurați de autoritățile statelor membre și nu trebuie utilizate de furnizor ca toleranță permisă pentru a stabili valorile din documentația tehnică. Valorile și clasele de pe etichetă sau din fișa produsului nu trebuie să fie mai avantajoase pentru furnizor decât valorile raportate în documentația tehnică.</w:t>
            </w: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La verificarea conformității unui model de produs cu cerințele prevăzute în prezentul regulament delegat, pentru cerințele menționate în prezenta anexă, autoritățile statelor membre aplică următoarea procedură:</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lastRenderedPageBreak/>
              <w:t>(1)</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Autoritățile statelor membre verifică o singură unitate di</w:t>
            </w:r>
            <w:r>
              <w:rPr>
                <w:rFonts w:ascii="Times New Roman" w:eastAsia="Times New Roman" w:hAnsi="Times New Roman" w:cs="Times New Roman"/>
                <w:sz w:val="24"/>
                <w:szCs w:val="24"/>
                <w:lang w:val="ro-RO"/>
              </w:rPr>
              <w:t>n model.</w:t>
            </w: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Pr="009C3870">
              <w:rPr>
                <w:rFonts w:ascii="Times New Roman" w:eastAsia="Times New Roman" w:hAnsi="Times New Roman" w:cs="Times New Roman"/>
                <w:sz w:val="24"/>
                <w:szCs w:val="24"/>
                <w:lang w:val="ro-RO"/>
              </w:rPr>
              <w:t>valorile indicate în documentația tehnică în temeiul articolului 5 litera (b) din Directiva 2010/30/UE (valorile declarate) și, după caz, valorile utilizate pentru a calcula aceste valori nu sunt mai avantajoase pentru furnizor decât valorile corespunzătoare indicate în rapoartele de testare în temeiul punctului (iii) de la articolul menționat mai sus; și</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Pr="009C3870">
              <w:rPr>
                <w:rFonts w:ascii="Times New Roman" w:eastAsia="Times New Roman" w:hAnsi="Times New Roman" w:cs="Times New Roman"/>
                <w:sz w:val="24"/>
                <w:szCs w:val="24"/>
                <w:lang w:val="ro-RO"/>
              </w:rPr>
              <w:t>valorile publicate pe etichetă și în fișa produsului nu sunt mai avantajoase pentru furnizor decât valorile declarate și clasa de eficiență energetică indicată nu este mai avantajoasă pentru furnizor decât clasa determinată pe baza valorilor declarate; și</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Pr="009C3870">
              <w:rPr>
                <w:rFonts w:ascii="Times New Roman" w:eastAsia="Times New Roman" w:hAnsi="Times New Roman" w:cs="Times New Roman"/>
                <w:sz w:val="24"/>
                <w:szCs w:val="24"/>
                <w:lang w:val="ro-RO"/>
              </w:rPr>
              <w:t>atunci când autoritățile statelor membre testează unitatea din model, valorile obținute (valorile parametrilor relevanți, astfel cum au fost măsurați în cadrul testării, și valorile calculate pe baza acestor măsurători) sunt conforme cu toleranțele de verificare respective, astfel cum se indică în tabelul 1.</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rezultatele menționate la punctul 2 litera (a) sau (b) nu sunt atinse, modelul și toate modelele enumerate ca modele de uscătoare de </w:t>
            </w:r>
            <w:r w:rsidRPr="009C3870">
              <w:rPr>
                <w:rFonts w:ascii="Times New Roman" w:eastAsia="Times New Roman" w:hAnsi="Times New Roman" w:cs="Times New Roman"/>
                <w:sz w:val="24"/>
                <w:szCs w:val="24"/>
                <w:lang w:val="ro-RO"/>
              </w:rPr>
              <w:lastRenderedPageBreak/>
              <w:t>rufe de uz casnic cu tambur echivalente în documentația tehnică a furnizorului sunt considerate neconforme cu prezentul regulament delegat.</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Dacă rezultatul menționat la punctul 2 litera (c) nu este atins, autoritățile statelor membre aleg pentru testare trei unități suplimentare din același model. Ca alternativă, cele trei unități suplimentare pot fi selectate dintr-unul sau mai multe modele diferite enumerate ca modele echivalente în documentația tehnică a furnizorului.</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 pentru aceste trei unități, media aritmetică a valorilor obținute este conformă cu toleranțele respective, indicate în tabelul 1.</w:t>
            </w: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(6)</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Dacă rezultatul menționat la punctul 5 nu este atins, modelul și toate modelele enumerate ca modele de uscătoare de rufe de uz casnic cu tambur echivalente în documentația tehnică a furnizorului sunt considerate neconforme cu prezentul regulament delegat.</w:t>
            </w: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Fără întârziere după luarea deciziei privind neconformitatea modelului conform punctelor 3 și 6, autoritățile statului membru relevant furnizează autorităților celorlalte state membre și Comisiei toate informațiile relevante.</w:t>
            </w: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C93DE8" w:rsidRDefault="00C93DE8" w:rsidP="00962482">
            <w:pPr>
              <w:spacing w:after="0" w:line="240" w:lineRule="auto"/>
              <w:jc w:val="both"/>
              <w:rPr>
                <w:rFonts w:ascii="Times New Roman" w:eastAsia="Times New Roman" w:hAnsi="Times New Roman" w:cs="Times New Roman"/>
                <w:sz w:val="24"/>
                <w:szCs w:val="24"/>
                <w:lang w:val="ro-RO"/>
              </w:rPr>
            </w:pPr>
          </w:p>
          <w:p w:rsidR="00C93DE8" w:rsidRDefault="00C93DE8" w:rsidP="00962482">
            <w:pPr>
              <w:spacing w:after="0" w:line="240" w:lineRule="auto"/>
              <w:jc w:val="both"/>
              <w:rPr>
                <w:rFonts w:ascii="Times New Roman" w:eastAsia="Times New Roman" w:hAnsi="Times New Roman" w:cs="Times New Roman"/>
                <w:sz w:val="24"/>
                <w:szCs w:val="24"/>
                <w:lang w:val="ro-RO"/>
              </w:rPr>
            </w:pPr>
          </w:p>
          <w:p w:rsidR="00C93DE8" w:rsidRPr="009C3870" w:rsidRDefault="00C93DE8"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Autoritățile statelor membre utilizează proceduri de măsurare care iau în considerare metodele de măsurare general recunoscute de ultimă generație, fiabile, exacte și reproductibile, inclusiv metodele prevăzute în documente ale căror numere de referință au fost publicate în acest scop în Jurnalul Oficial al Uniunii Europene. Autoritățile statelor membre utilizează metodele de măsurare și de calcul stabilite în anexa VII.</w:t>
            </w: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Pr="009C3870" w:rsidRDefault="00962482" w:rsidP="00962482">
            <w:pPr>
              <w:spacing w:after="0" w:line="240" w:lineRule="auto"/>
              <w:jc w:val="both"/>
              <w:rPr>
                <w:rFonts w:ascii="Times New Roman" w:eastAsia="Times New Roman" w:hAnsi="Times New Roman" w:cs="Times New Roman"/>
                <w:sz w:val="24"/>
                <w:szCs w:val="24"/>
                <w:lang w:val="ro-RO"/>
              </w:rPr>
            </w:pPr>
          </w:p>
          <w:p w:rsidR="00962482" w:rsidRPr="00062BDD" w:rsidRDefault="00962482" w:rsidP="00962482">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Autoritățile statelor membre aplică numai toleranțele de verificare stabilite în tabelul 1 și utilizează doar procedura descrisă la punctele 1-7 pentru cerințele menționate în prezenta anexă. Nu se aplică alte toleranțe, cum ar fi cele stabilite în standardele armonizate sau în orice altă metodă de măsurare.</w:t>
            </w:r>
          </w:p>
        </w:tc>
        <w:tc>
          <w:tcPr>
            <w:tcW w:w="1713" w:type="pct"/>
            <w:shd w:val="clear" w:color="auto" w:fill="auto"/>
          </w:tcPr>
          <w:p w:rsidR="00962482" w:rsidRPr="00BF7129" w:rsidRDefault="00962482" w:rsidP="00962482">
            <w:pPr>
              <w:spacing w:after="0" w:line="240" w:lineRule="auto"/>
              <w:jc w:val="both"/>
              <w:rPr>
                <w:rFonts w:ascii="Times New Roman" w:eastAsia="Times New Roman" w:hAnsi="Times New Roman" w:cs="Times New Roman"/>
                <w:b/>
                <w:sz w:val="24"/>
                <w:szCs w:val="24"/>
                <w:lang w:val="ro-RO"/>
              </w:rPr>
            </w:pPr>
          </w:p>
          <w:p w:rsidR="00962482" w:rsidRDefault="00962482" w:rsidP="00962482">
            <w:pPr>
              <w:spacing w:after="0" w:line="240" w:lineRule="auto"/>
              <w:jc w:val="both"/>
              <w:rPr>
                <w:rFonts w:ascii="Times New Roman" w:eastAsia="Times New Roman" w:hAnsi="Times New Roman" w:cs="Times New Roman"/>
                <w:b/>
                <w:sz w:val="24"/>
                <w:szCs w:val="24"/>
                <w:lang w:val="ro-RO"/>
              </w:rPr>
            </w:pPr>
          </w:p>
          <w:p w:rsidR="00962482" w:rsidRDefault="00962482" w:rsidP="00962482">
            <w:pPr>
              <w:spacing w:after="0" w:line="240" w:lineRule="auto"/>
              <w:jc w:val="both"/>
              <w:rPr>
                <w:rFonts w:ascii="Times New Roman" w:eastAsia="Times New Roman" w:hAnsi="Times New Roman" w:cs="Times New Roman"/>
                <w:b/>
                <w:sz w:val="24"/>
                <w:szCs w:val="24"/>
                <w:lang w:val="ro-RO"/>
              </w:rPr>
            </w:pPr>
          </w:p>
          <w:p w:rsidR="00962482" w:rsidRPr="0019469F" w:rsidRDefault="00962482" w:rsidP="00962482">
            <w:pPr>
              <w:spacing w:after="0" w:line="240" w:lineRule="auto"/>
              <w:jc w:val="right"/>
              <w:rPr>
                <w:rFonts w:ascii="Times New Roman" w:eastAsia="Times New Roman" w:hAnsi="Times New Roman" w:cs="Times New Roman"/>
                <w:i/>
                <w:sz w:val="24"/>
                <w:szCs w:val="24"/>
                <w:lang w:val="ro-RO"/>
              </w:rPr>
            </w:pPr>
            <w:r w:rsidRPr="0019469F">
              <w:rPr>
                <w:rFonts w:ascii="Times New Roman" w:eastAsia="Times New Roman" w:hAnsi="Times New Roman" w:cs="Times New Roman"/>
                <w:i/>
                <w:sz w:val="24"/>
                <w:szCs w:val="24"/>
                <w:lang w:val="ro-RO"/>
              </w:rPr>
              <w:t xml:space="preserve">Anexa nr. 5 </w:t>
            </w:r>
          </w:p>
          <w:p w:rsidR="00962482" w:rsidRPr="0019469F" w:rsidRDefault="00962482" w:rsidP="00962482">
            <w:pPr>
              <w:spacing w:after="0" w:line="240" w:lineRule="auto"/>
              <w:jc w:val="right"/>
              <w:rPr>
                <w:rFonts w:ascii="Times New Roman" w:eastAsia="Times New Roman" w:hAnsi="Times New Roman" w:cs="Times New Roman"/>
                <w:i/>
                <w:sz w:val="24"/>
                <w:szCs w:val="24"/>
                <w:lang w:val="ro-RO"/>
              </w:rPr>
            </w:pPr>
            <w:r w:rsidRPr="0019469F">
              <w:rPr>
                <w:rFonts w:ascii="Times New Roman" w:eastAsia="Times New Roman" w:hAnsi="Times New Roman" w:cs="Times New Roman"/>
                <w:i/>
                <w:sz w:val="24"/>
                <w:szCs w:val="24"/>
                <w:lang w:val="ro-RO"/>
              </w:rPr>
              <w:t xml:space="preserve">la Regulamentul cu privire la </w:t>
            </w:r>
          </w:p>
          <w:p w:rsidR="00962482" w:rsidRPr="0019469F" w:rsidRDefault="00962482" w:rsidP="00962482">
            <w:pPr>
              <w:spacing w:after="0" w:line="240" w:lineRule="auto"/>
              <w:jc w:val="right"/>
              <w:rPr>
                <w:rFonts w:ascii="Times New Roman" w:eastAsia="Times New Roman" w:hAnsi="Times New Roman" w:cs="Times New Roman"/>
                <w:i/>
                <w:sz w:val="24"/>
                <w:szCs w:val="24"/>
                <w:lang w:val="ro-RO"/>
              </w:rPr>
            </w:pPr>
            <w:r w:rsidRPr="0019469F">
              <w:rPr>
                <w:rFonts w:ascii="Times New Roman" w:eastAsia="Times New Roman" w:hAnsi="Times New Roman" w:cs="Times New Roman"/>
                <w:i/>
                <w:sz w:val="24"/>
                <w:szCs w:val="24"/>
                <w:lang w:val="ro-RO"/>
              </w:rPr>
              <w:t>cerințele de etichetare energetică</w:t>
            </w:r>
          </w:p>
          <w:p w:rsidR="00962482" w:rsidRPr="0019469F" w:rsidRDefault="00962482" w:rsidP="00962482">
            <w:pPr>
              <w:spacing w:after="0" w:line="240" w:lineRule="auto"/>
              <w:jc w:val="right"/>
              <w:rPr>
                <w:rFonts w:ascii="Times New Roman" w:eastAsia="Times New Roman" w:hAnsi="Times New Roman" w:cs="Times New Roman"/>
                <w:i/>
                <w:sz w:val="24"/>
                <w:szCs w:val="24"/>
                <w:lang w:val="ro-RO"/>
              </w:rPr>
            </w:pPr>
            <w:r w:rsidRPr="0019469F">
              <w:rPr>
                <w:rFonts w:ascii="Times New Roman" w:eastAsia="Times New Roman" w:hAnsi="Times New Roman" w:cs="Times New Roman"/>
                <w:i/>
                <w:sz w:val="24"/>
                <w:szCs w:val="24"/>
                <w:lang w:val="ro-RO"/>
              </w:rPr>
              <w:t xml:space="preserve"> a uscătoarelor de rufe de uz casnic </w:t>
            </w:r>
          </w:p>
          <w:p w:rsidR="00962482" w:rsidRPr="0019469F" w:rsidRDefault="00962482" w:rsidP="00962482">
            <w:pPr>
              <w:spacing w:after="0" w:line="240" w:lineRule="auto"/>
              <w:jc w:val="right"/>
              <w:rPr>
                <w:rFonts w:ascii="Times New Roman" w:eastAsia="Times New Roman" w:hAnsi="Times New Roman" w:cs="Times New Roman"/>
                <w:i/>
                <w:sz w:val="24"/>
                <w:szCs w:val="24"/>
                <w:lang w:val="ro-RO"/>
              </w:rPr>
            </w:pPr>
            <w:r w:rsidRPr="0019469F">
              <w:rPr>
                <w:rFonts w:ascii="Times New Roman" w:eastAsia="Times New Roman" w:hAnsi="Times New Roman" w:cs="Times New Roman"/>
                <w:i/>
                <w:sz w:val="24"/>
                <w:szCs w:val="24"/>
                <w:lang w:val="ro-RO"/>
              </w:rPr>
              <w:t>cu tambur</w:t>
            </w:r>
          </w:p>
          <w:p w:rsidR="00962482" w:rsidRPr="0019469F" w:rsidRDefault="00962482" w:rsidP="00962482">
            <w:pPr>
              <w:spacing w:after="0" w:line="240" w:lineRule="auto"/>
              <w:jc w:val="both"/>
              <w:rPr>
                <w:rFonts w:ascii="Times New Roman" w:eastAsia="Times New Roman" w:hAnsi="Times New Roman" w:cs="Times New Roman"/>
                <w:b/>
                <w:sz w:val="24"/>
                <w:szCs w:val="24"/>
                <w:lang w:val="ro-RO"/>
              </w:rPr>
            </w:pPr>
            <w:r w:rsidRPr="0019469F">
              <w:rPr>
                <w:rFonts w:ascii="Times New Roman" w:eastAsia="Times New Roman" w:hAnsi="Times New Roman" w:cs="Times New Roman"/>
                <w:b/>
                <w:sz w:val="24"/>
                <w:szCs w:val="24"/>
                <w:lang w:val="ro-RO"/>
              </w:rPr>
              <w:t>Verificarea conformității produselor de către autoritățile de supraveghere a pieței</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1. 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lastRenderedPageBreak/>
              <w:t>1) Inspectoratul de Stat pentru Supravegherea Produselor Nealimentare și Protecția Consumatorilor verifică o singură unitate a modelului.</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Modelul este considerat conform cu cerințele aplicabile dacă:</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a)</w:t>
            </w:r>
            <w:r w:rsidRPr="00612086">
              <w:rPr>
                <w:rFonts w:ascii="Times New Roman" w:eastAsia="Times New Roman" w:hAnsi="Times New Roman" w:cs="Times New Roman"/>
                <w:sz w:val="24"/>
                <w:szCs w:val="24"/>
                <w:lang w:val="ro-RO"/>
              </w:rPr>
              <w:tab/>
              <w:t>valorile indicate în documentația tehnică de furnizori în contextul obligației de a asigura exactitatea etichetelor și a fișelor cu informații despre produs pe care le furnizează și de a elabora o documentație tehnică suficientă pentru a permite evaluarea exactității și, după caz, valorile utilizate pentru calculul acestor valori, nu sunt mai avantajoase pentru producător sau importator decât valorile corespunzătoare menționate în rapoartele de încercare; și</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b)</w:t>
            </w:r>
            <w:r w:rsidRPr="00612086">
              <w:rPr>
                <w:rFonts w:ascii="Times New Roman" w:eastAsia="Times New Roman" w:hAnsi="Times New Roman" w:cs="Times New Roman"/>
                <w:sz w:val="24"/>
                <w:szCs w:val="24"/>
                <w:lang w:val="ro-RO"/>
              </w:rPr>
              <w:tab/>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c)</w:t>
            </w:r>
            <w:r w:rsidRPr="00612086">
              <w:rPr>
                <w:rFonts w:ascii="Times New Roman" w:eastAsia="Times New Roman" w:hAnsi="Times New Roman" w:cs="Times New Roman"/>
                <w:sz w:val="24"/>
                <w:szCs w:val="24"/>
                <w:lang w:val="ro-RO"/>
              </w:rPr>
              <w:tab/>
              <w:t>atunci când Inspectoratul de Stat pentru Supravegherea Produselor Nealimentare și Protecția Consumatorilor supune încercării unitatea din modelul respectiv, valorile obținute (și anume, valorile parametrilor relevanți, măsurate în cadrul încercării, și valorile calculate pe baza acestor măsurători) respectă toleranțele de verificare respective, astfel cum figurează în tabelul 1.</w:t>
            </w: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3) Dacă nu se obțin rezultatele menționate la subpct. 2) lit. a) și b) din prezenta anexă, </w:t>
            </w:r>
            <w:r w:rsidR="00E45F99" w:rsidRPr="00E45F99">
              <w:rPr>
                <w:rFonts w:ascii="Times New Roman" w:eastAsia="Times New Roman" w:hAnsi="Times New Roman" w:cs="Times New Roman"/>
                <w:sz w:val="24"/>
                <w:szCs w:val="24"/>
                <w:lang w:val="ro-RO"/>
              </w:rPr>
              <w:t xml:space="preserve">modelul și toate modelele enumerate ca modele de uscătoare </w:t>
            </w:r>
            <w:r w:rsidR="00E45F99" w:rsidRPr="00E45F99">
              <w:rPr>
                <w:rFonts w:ascii="Times New Roman" w:eastAsia="Times New Roman" w:hAnsi="Times New Roman" w:cs="Times New Roman"/>
                <w:sz w:val="24"/>
                <w:szCs w:val="24"/>
                <w:lang w:val="ro-RO"/>
              </w:rPr>
              <w:lastRenderedPageBreak/>
              <w:t>de rufe de uz casnic cu tambur echivalente în documentația tehnică a furnizorului sunt considerate neconforme cu prezentul regulament</w:t>
            </w:r>
            <w:r w:rsidRPr="00612086">
              <w:rPr>
                <w:rFonts w:ascii="Times New Roman" w:eastAsia="Times New Roman" w:hAnsi="Times New Roman" w:cs="Times New Roman"/>
                <w:sz w:val="24"/>
                <w:szCs w:val="24"/>
                <w:lang w:val="ro-RO"/>
              </w:rPr>
              <w:t>.</w:t>
            </w:r>
          </w:p>
          <w:p w:rsidR="00962482" w:rsidRDefault="00962482" w:rsidP="00962482">
            <w:pPr>
              <w:spacing w:after="0" w:line="240" w:lineRule="auto"/>
              <w:jc w:val="both"/>
              <w:rPr>
                <w:rFonts w:ascii="Times New Roman" w:eastAsia="Times New Roman" w:hAnsi="Times New Roman" w:cs="Times New Roman"/>
                <w:sz w:val="24"/>
                <w:szCs w:val="24"/>
                <w:lang w:val="ro-RO"/>
              </w:rPr>
            </w:pP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4) Dacă nu se obține rezultatul menționat la subpct. 2) lit. c) din prezenta anexă, Inspectoratul de Stat pentru Supravegherea Produselor Nealimentare și Protecția Consumatorilor selectează pentru încercare trei unități suplimentare din același model. Ca alternativă, cele trei unități suplimentare selectate pot fi dintr-unul sau din mai multe modele echivalente.</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1 din prezenta anexă.</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6) Dacă nu se obține rezultatul menționat la subpct.5) din prezenta anexă, </w:t>
            </w:r>
            <w:r w:rsidR="00665227" w:rsidRPr="00665227">
              <w:rPr>
                <w:rFonts w:ascii="Times New Roman" w:eastAsia="Times New Roman" w:hAnsi="Times New Roman" w:cs="Times New Roman"/>
                <w:sz w:val="24"/>
                <w:szCs w:val="24"/>
                <w:lang w:val="ro-RO"/>
              </w:rPr>
              <w:t>modelul și toate modelele enumerate ca modele de uscătoare de rufe de uz casnic cu tambur echivalente în documentația tehnică a furnizorului sunt considerate neconforme cu prezentul regulament</w:t>
            </w:r>
            <w:r w:rsidRPr="00612086">
              <w:rPr>
                <w:rFonts w:ascii="Times New Roman" w:eastAsia="Times New Roman" w:hAnsi="Times New Roman" w:cs="Times New Roman"/>
                <w:sz w:val="24"/>
                <w:szCs w:val="24"/>
                <w:lang w:val="ro-RO"/>
              </w:rPr>
              <w:t>.</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7) Fără întârziere după luarea deciziei privind nerespectarea de către model a prevederilor de la subpct. 3) și 6) din prezenta anexă, Inspectoratul de Stat pentru Supravegherea Produselor Nealimentare și Protecția Consumatorilor furnizează autorităților celorlalte Părți Contractante </w:t>
            </w:r>
            <w:r w:rsidRPr="00612086">
              <w:rPr>
                <w:rFonts w:ascii="Times New Roman" w:eastAsia="Times New Roman" w:hAnsi="Times New Roman" w:cs="Times New Roman"/>
                <w:sz w:val="24"/>
                <w:szCs w:val="24"/>
                <w:lang w:val="ro-RO"/>
              </w:rPr>
              <w:lastRenderedPageBreak/>
              <w:t>și Secretariatului Comunității Energetice toate informațiile relevante.</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8) Inspectoratul de Stat pentru Supravegherea Produselor Nealimentare și Protecția Consumatorilor utilizează proceduri de măsurare care iau în considerare metodele de măsurare general recunoscute de ultimă generație, fiabile, exacte și reproductibile, inclusiv metodele prevăzute în documente ale căror numere de referință au fost publicate în acest scop în Jurnalul Oficial al Uniunii Europene. </w:t>
            </w:r>
            <w:r w:rsidR="00DF2C03" w:rsidRPr="00612086">
              <w:rPr>
                <w:rFonts w:ascii="Times New Roman" w:eastAsia="Times New Roman" w:hAnsi="Times New Roman" w:cs="Times New Roman"/>
                <w:sz w:val="24"/>
                <w:szCs w:val="24"/>
                <w:lang w:val="ro-RO"/>
              </w:rPr>
              <w:t>Inspectoratul de Stat pentru Supravegherea Produselor Nealimentare și Protecția Consumatorilor</w:t>
            </w:r>
            <w:r w:rsidRPr="00612086">
              <w:rPr>
                <w:rFonts w:ascii="Times New Roman" w:eastAsia="Times New Roman" w:hAnsi="Times New Roman" w:cs="Times New Roman"/>
                <w:sz w:val="24"/>
                <w:szCs w:val="24"/>
                <w:lang w:val="ro-RO"/>
              </w:rPr>
              <w:t xml:space="preserve"> utilizează metodele de măsurare și de calcul stabilite în anexa nr.7.</w:t>
            </w:r>
          </w:p>
          <w:p w:rsidR="00962482" w:rsidRPr="00612086" w:rsidRDefault="00962482" w:rsidP="00962482">
            <w:pPr>
              <w:spacing w:after="0" w:line="240" w:lineRule="auto"/>
              <w:jc w:val="both"/>
              <w:rPr>
                <w:rFonts w:ascii="Times New Roman" w:eastAsia="Times New Roman" w:hAnsi="Times New Roman" w:cs="Times New Roman"/>
                <w:sz w:val="24"/>
                <w:szCs w:val="24"/>
                <w:lang w:val="ro-RO"/>
              </w:rPr>
            </w:pPr>
          </w:p>
          <w:p w:rsidR="00962482" w:rsidRPr="00C214A2" w:rsidRDefault="00962482" w:rsidP="00962482">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9) Inspectoratul de Stat pentru Supravegherea Produselor Nealimentare și Protecția Consumatorilor aplică numai toleranțele de verificare prevăzute în tabelul 1 și utilizează doar procedura descrisă la subpct.1)-7) din prezenta anexă pentru cerințele menționate în prezenta anexă. Pentru parametrii din tabelul 1, nu se aplică alte toleranțe, cum ar fi cele stabilite în standardele armonizate sau în</w:t>
            </w:r>
            <w:r>
              <w:rPr>
                <w:rFonts w:ascii="Times New Roman" w:eastAsia="Times New Roman" w:hAnsi="Times New Roman" w:cs="Times New Roman"/>
                <w:sz w:val="24"/>
                <w:szCs w:val="24"/>
                <w:lang w:val="ro-RO"/>
              </w:rPr>
              <w:t xml:space="preserve"> orice altă metodă de măsurare.</w:t>
            </w:r>
          </w:p>
          <w:p w:rsidR="00962482" w:rsidRPr="00BF7129" w:rsidRDefault="00962482" w:rsidP="00962482">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22" w:type="pct"/>
            <w:shd w:val="clear" w:color="auto" w:fill="auto"/>
          </w:tcPr>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rsidR="00962482" w:rsidRDefault="00962482" w:rsidP="00962482">
            <w:pPr>
              <w:spacing w:after="0" w:line="240" w:lineRule="auto"/>
              <w:jc w:val="center"/>
              <w:rPr>
                <w:rFonts w:ascii="Times New Roman" w:eastAsia="Times New Roman" w:hAnsi="Times New Roman" w:cs="Times New Roman"/>
                <w:b/>
                <w:sz w:val="24"/>
                <w:szCs w:val="24"/>
                <w:lang w:val="ro-RO"/>
              </w:rPr>
            </w:pPr>
          </w:p>
          <w:p w:rsidR="00EF7340" w:rsidRDefault="00EF7340" w:rsidP="00962482">
            <w:pPr>
              <w:spacing w:after="0" w:line="240" w:lineRule="auto"/>
              <w:jc w:val="center"/>
              <w:rPr>
                <w:rFonts w:ascii="Times New Roman" w:eastAsia="Times New Roman" w:hAnsi="Times New Roman" w:cs="Times New Roman"/>
                <w:b/>
                <w:sz w:val="24"/>
                <w:szCs w:val="24"/>
                <w:lang w:val="ro-RO"/>
              </w:rPr>
            </w:pPr>
          </w:p>
          <w:p w:rsidR="00EF7340" w:rsidRDefault="00EF7340" w:rsidP="00962482">
            <w:pPr>
              <w:spacing w:after="0" w:line="240" w:lineRule="auto"/>
              <w:jc w:val="center"/>
              <w:rPr>
                <w:rFonts w:ascii="Times New Roman" w:eastAsia="Times New Roman" w:hAnsi="Times New Roman" w:cs="Times New Roman"/>
                <w:b/>
                <w:sz w:val="24"/>
                <w:szCs w:val="24"/>
                <w:lang w:val="ro-RO"/>
              </w:rPr>
            </w:pPr>
          </w:p>
          <w:p w:rsidR="00EF7340" w:rsidRPr="00C70D7F" w:rsidRDefault="00EF7340" w:rsidP="00962482">
            <w:pPr>
              <w:spacing w:after="0" w:line="240" w:lineRule="auto"/>
              <w:jc w:val="center"/>
              <w:rPr>
                <w:rFonts w:ascii="Times New Roman" w:eastAsia="Times New Roman" w:hAnsi="Times New Roman" w:cs="Times New Roman"/>
                <w:b/>
                <w:lang w:val="ro-RO"/>
              </w:rPr>
            </w:pPr>
            <w:r w:rsidRPr="00C70D7F">
              <w:rPr>
                <w:rFonts w:ascii="Times New Roman" w:eastAsia="Times New Roman" w:hAnsi="Times New Roman" w:cs="Times New Roman"/>
                <w:lang w:val="ro-RO"/>
              </w:rPr>
              <w:t>Inspectoratul de Stat pentru Supravegherea Produselor Nealimentare și Protecția Consumatorilor</w:t>
            </w:r>
          </w:p>
        </w:tc>
      </w:tr>
      <w:tr w:rsidR="00962482" w:rsidRPr="00BF7129" w:rsidTr="00AA1E2B">
        <w:trPr>
          <w:gridAfter w:val="1"/>
          <w:wAfter w:w="5" w:type="pct"/>
          <w:trHeight w:val="5235"/>
        </w:trPr>
        <w:tc>
          <w:tcPr>
            <w:tcW w:w="1614" w:type="pct"/>
            <w:gridSpan w:val="2"/>
            <w:shd w:val="clear" w:color="auto" w:fill="auto"/>
          </w:tcPr>
          <w:p w:rsidR="00962482" w:rsidRDefault="00962482" w:rsidP="00962482">
            <w:pPr>
              <w:pStyle w:val="ti-tbl"/>
              <w:shd w:val="clear" w:color="auto" w:fill="FFFFFF"/>
              <w:spacing w:before="120" w:beforeAutospacing="0" w:after="120" w:afterAutospacing="0" w:line="312" w:lineRule="atLeast"/>
              <w:jc w:val="center"/>
              <w:rPr>
                <w:color w:val="333333"/>
                <w:sz w:val="27"/>
                <w:szCs w:val="27"/>
              </w:rPr>
            </w:pPr>
            <w:proofErr w:type="spellStart"/>
            <w:r>
              <w:rPr>
                <w:rStyle w:val="italic"/>
                <w:i/>
                <w:iCs/>
                <w:color w:val="333333"/>
                <w:sz w:val="27"/>
                <w:szCs w:val="27"/>
              </w:rPr>
              <w:lastRenderedPageBreak/>
              <w:t>Tabelul</w:t>
            </w:r>
            <w:proofErr w:type="spellEnd"/>
            <w:r>
              <w:rPr>
                <w:rStyle w:val="italic"/>
                <w:i/>
                <w:iCs/>
                <w:color w:val="333333"/>
                <w:sz w:val="27"/>
                <w:szCs w:val="27"/>
              </w:rPr>
              <w:t xml:space="preserve"> 1</w:t>
            </w:r>
          </w:p>
          <w:p w:rsidR="00962482" w:rsidRDefault="00962482" w:rsidP="00962482">
            <w:pPr>
              <w:pStyle w:val="ti-tbl"/>
              <w:shd w:val="clear" w:color="auto" w:fill="FFFFFF"/>
              <w:spacing w:before="120" w:beforeAutospacing="0" w:after="120" w:afterAutospacing="0" w:line="312" w:lineRule="atLeast"/>
              <w:jc w:val="center"/>
              <w:rPr>
                <w:rStyle w:val="bold"/>
                <w:b/>
                <w:bCs/>
                <w:color w:val="333333"/>
                <w:sz w:val="27"/>
                <w:szCs w:val="27"/>
              </w:rPr>
            </w:pPr>
            <w:proofErr w:type="spellStart"/>
            <w:r>
              <w:rPr>
                <w:rStyle w:val="bold"/>
                <w:b/>
                <w:bCs/>
                <w:color w:val="333333"/>
                <w:sz w:val="27"/>
                <w:szCs w:val="27"/>
              </w:rPr>
              <w:t>Toleranțe</w:t>
            </w:r>
            <w:proofErr w:type="spellEnd"/>
            <w:r>
              <w:rPr>
                <w:rStyle w:val="bold"/>
                <w:b/>
                <w:bCs/>
                <w:color w:val="333333"/>
                <w:sz w:val="27"/>
                <w:szCs w:val="27"/>
              </w:rPr>
              <w:t xml:space="preserve"> de </w:t>
            </w:r>
            <w:proofErr w:type="spellStart"/>
            <w:r>
              <w:rPr>
                <w:rStyle w:val="bold"/>
                <w:b/>
                <w:bCs/>
                <w:color w:val="333333"/>
                <w:sz w:val="27"/>
                <w:szCs w:val="27"/>
              </w:rPr>
              <w:t>verificare</w:t>
            </w:r>
            <w:proofErr w:type="spellEnd"/>
          </w:p>
          <w:tbl>
            <w:tblPr>
              <w:tblStyle w:val="TableGrid"/>
              <w:tblW w:w="4658" w:type="dxa"/>
              <w:tblInd w:w="20" w:type="dxa"/>
              <w:tblLayout w:type="fixed"/>
              <w:tblLook w:val="04A0" w:firstRow="1" w:lastRow="0" w:firstColumn="1" w:lastColumn="0" w:noHBand="0" w:noVBand="1"/>
            </w:tblPr>
            <w:tblGrid>
              <w:gridCol w:w="1286"/>
              <w:gridCol w:w="3372"/>
            </w:tblGrid>
            <w:tr w:rsidR="00962482" w:rsidRPr="00A724BC" w:rsidTr="00FF08E5">
              <w:trPr>
                <w:trHeight w:val="321"/>
              </w:trPr>
              <w:tc>
                <w:tcPr>
                  <w:tcW w:w="1286" w:type="dxa"/>
                </w:tcPr>
                <w:p w:rsidR="00962482" w:rsidRPr="00A724BC" w:rsidRDefault="00962482" w:rsidP="00962482">
                  <w:pPr>
                    <w:tabs>
                      <w:tab w:val="left" w:pos="5580"/>
                    </w:tabs>
                    <w:ind w:left="140" w:hanging="106"/>
                    <w:jc w:val="both"/>
                    <w:rPr>
                      <w:sz w:val="16"/>
                      <w:szCs w:val="16"/>
                      <w:lang w:val="ro-RO"/>
                    </w:rPr>
                  </w:pPr>
                  <w:r w:rsidRPr="00A724BC">
                    <w:rPr>
                      <w:sz w:val="16"/>
                      <w:szCs w:val="16"/>
                      <w:lang w:val="ro-RO"/>
                    </w:rPr>
                    <w:t>Parametri</w:t>
                  </w:r>
                </w:p>
              </w:tc>
              <w:tc>
                <w:tcPr>
                  <w:tcW w:w="3372" w:type="dxa"/>
                </w:tcPr>
                <w:p w:rsidR="00962482" w:rsidRPr="00A724BC" w:rsidRDefault="00962482" w:rsidP="00962482">
                  <w:pPr>
                    <w:tabs>
                      <w:tab w:val="left" w:pos="5580"/>
                    </w:tabs>
                    <w:ind w:left="140" w:hanging="98"/>
                    <w:jc w:val="both"/>
                    <w:rPr>
                      <w:sz w:val="16"/>
                      <w:szCs w:val="16"/>
                      <w:lang w:val="ro-RO"/>
                    </w:rPr>
                  </w:pPr>
                  <w:r w:rsidRPr="00A724BC">
                    <w:rPr>
                      <w:sz w:val="16"/>
                      <w:szCs w:val="16"/>
                      <w:lang w:val="ro-RO"/>
                    </w:rPr>
                    <w:t>Toleranțe de verificare</w:t>
                  </w:r>
                </w:p>
              </w:tc>
            </w:tr>
            <w:tr w:rsidR="00962482" w:rsidRPr="00A724BC" w:rsidTr="00FF08E5">
              <w:trPr>
                <w:trHeight w:val="543"/>
              </w:trPr>
              <w:tc>
                <w:tcPr>
                  <w:tcW w:w="1286"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Consumul anual ponderat de energie (</w:t>
                  </w:r>
                  <w:r w:rsidRPr="00A724BC">
                    <w:rPr>
                      <w:rStyle w:val="italics"/>
                      <w:iCs/>
                      <w:color w:val="333333"/>
                      <w:sz w:val="16"/>
                      <w:szCs w:val="16"/>
                      <w:lang w:val="ro-RO"/>
                    </w:rPr>
                    <w:t>AE</w:t>
                  </w:r>
                  <w:r w:rsidRPr="00A724BC">
                    <w:rPr>
                      <w:rStyle w:val="subscript"/>
                      <w:iCs/>
                      <w:color w:val="333333"/>
                      <w:sz w:val="16"/>
                      <w:szCs w:val="16"/>
                      <w:vertAlign w:val="subscript"/>
                      <w:lang w:val="ro-RO"/>
                    </w:rPr>
                    <w:t>C</w:t>
                  </w:r>
                  <w:r w:rsidRPr="00A724BC">
                    <w:rPr>
                      <w:rStyle w:val="italics"/>
                      <w:iCs/>
                      <w:color w:val="333333"/>
                      <w:sz w:val="16"/>
                      <w:szCs w:val="16"/>
                      <w:lang w:val="ro-RO"/>
                    </w:rPr>
                    <w:t> </w:t>
                  </w:r>
                  <w:r w:rsidRPr="00A724BC">
                    <w:rPr>
                      <w:color w:val="333333"/>
                      <w:sz w:val="16"/>
                      <w:szCs w:val="16"/>
                      <w:lang w:val="ro-RO"/>
                    </w:rPr>
                    <w:t>)</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AE</w:t>
                  </w:r>
                  <w:r w:rsidRPr="00A724BC">
                    <w:rPr>
                      <w:rStyle w:val="subscript"/>
                      <w:iCs/>
                      <w:color w:val="333333"/>
                      <w:sz w:val="16"/>
                      <w:szCs w:val="16"/>
                      <w:vertAlign w:val="subscript"/>
                      <w:lang w:val="ro-RO"/>
                    </w:rPr>
                    <w:t>C</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685"/>
              </w:trPr>
              <w:tc>
                <w:tcPr>
                  <w:tcW w:w="1286"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Consumul ponderat de energie (</w:t>
                  </w:r>
                  <w:r w:rsidRPr="00A724BC">
                    <w:rPr>
                      <w:rStyle w:val="italics"/>
                      <w:iCs/>
                      <w:color w:val="333333"/>
                      <w:sz w:val="16"/>
                      <w:szCs w:val="16"/>
                      <w:lang w:val="ro-RO"/>
                    </w:rPr>
                    <w:t>E</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E</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427"/>
              </w:trPr>
              <w:tc>
                <w:tcPr>
                  <w:tcW w:w="1286"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Eficiența ponderată a condensării (</w:t>
                  </w:r>
                  <w:r w:rsidRPr="00A724BC">
                    <w:rPr>
                      <w:rStyle w:val="italics"/>
                      <w:iCs/>
                      <w:color w:val="333333"/>
                      <w:sz w:val="16"/>
                      <w:szCs w:val="16"/>
                      <w:lang w:val="ro-RO"/>
                    </w:rPr>
                    <w:t>C</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fie inferioară valorii declarate pentru </w:t>
                  </w:r>
                  <w:r w:rsidRPr="00A724BC">
                    <w:rPr>
                      <w:rStyle w:val="italics"/>
                      <w:iCs/>
                      <w:color w:val="333333"/>
                      <w:sz w:val="16"/>
                      <w:szCs w:val="16"/>
                      <w:lang w:val="ro-RO"/>
                    </w:rPr>
                    <w:t>C</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829"/>
              </w:trPr>
              <w:tc>
                <w:tcPr>
                  <w:tcW w:w="1286"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Durata ponderată a programului (</w:t>
                  </w:r>
                  <w:r w:rsidRPr="00A724BC">
                    <w:rPr>
                      <w:rStyle w:val="italics"/>
                      <w:iCs/>
                      <w:color w:val="333333"/>
                      <w:sz w:val="16"/>
                      <w:szCs w:val="16"/>
                      <w:lang w:val="ro-RO"/>
                    </w:rPr>
                    <w:t>T</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T</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1411"/>
              </w:trPr>
              <w:tc>
                <w:tcPr>
                  <w:tcW w:w="1286"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Consumul de putere în modul oprit și în modul inactiv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Valorile obținute pentru consumul de putere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 în cazul în care acestea sunt mai mari de 1,00 W, nu trebuie să depășească valorile declarate pentru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cu mai mult de 6 %. Valoarea obținută pentru consumul de putere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 în cazul în care aceasta este de cel mult 1,00 W, nu trebuie să depășească valorile declarate pentru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cu mai mult de 0,10 W.</w:t>
                  </w:r>
                </w:p>
              </w:tc>
            </w:tr>
            <w:tr w:rsidR="00962482" w:rsidRPr="00A724BC" w:rsidTr="00FF08E5">
              <w:trPr>
                <w:trHeight w:val="472"/>
              </w:trPr>
              <w:tc>
                <w:tcPr>
                  <w:tcW w:w="1286" w:type="dxa"/>
                </w:tcPr>
                <w:p w:rsidR="00962482" w:rsidRPr="00A724BC" w:rsidRDefault="00962482" w:rsidP="00962482">
                  <w:pPr>
                    <w:pStyle w:val="tbl-norm"/>
                    <w:spacing w:before="60" w:beforeAutospacing="0" w:after="60" w:afterAutospacing="0"/>
                    <w:ind w:left="140"/>
                    <w:jc w:val="both"/>
                    <w:rPr>
                      <w:color w:val="333333"/>
                      <w:sz w:val="16"/>
                      <w:szCs w:val="16"/>
                      <w:lang w:val="ro-RO"/>
                    </w:rPr>
                  </w:pPr>
                  <w:r w:rsidRPr="00A724BC">
                    <w:rPr>
                      <w:color w:val="333333"/>
                      <w:sz w:val="16"/>
                      <w:szCs w:val="16"/>
                      <w:lang w:val="ro-RO"/>
                    </w:rPr>
                    <w:t>Durata modului inactiv (</w:t>
                  </w:r>
                  <w:r w:rsidRPr="00A724BC">
                    <w:rPr>
                      <w:rStyle w:val="italics"/>
                      <w:iCs/>
                      <w:color w:val="333333"/>
                      <w:sz w:val="16"/>
                      <w:szCs w:val="16"/>
                      <w:lang w:val="ro-RO"/>
                    </w:rPr>
                    <w:t>T</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T</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414"/>
              </w:trPr>
              <w:tc>
                <w:tcPr>
                  <w:tcW w:w="1286" w:type="dxa"/>
                </w:tcPr>
                <w:p w:rsidR="00962482" w:rsidRPr="00A724BC" w:rsidRDefault="00962482" w:rsidP="00962482">
                  <w:pPr>
                    <w:pStyle w:val="tbl-norm"/>
                    <w:spacing w:before="60" w:beforeAutospacing="0" w:after="60" w:afterAutospacing="0"/>
                    <w:ind w:left="140"/>
                    <w:jc w:val="both"/>
                    <w:rPr>
                      <w:color w:val="333333"/>
                      <w:sz w:val="16"/>
                      <w:szCs w:val="16"/>
                      <w:lang w:val="ro-RO"/>
                    </w:rPr>
                  </w:pPr>
                  <w:r w:rsidRPr="00A724BC">
                    <w:rPr>
                      <w:color w:val="333333"/>
                      <w:sz w:val="16"/>
                      <w:szCs w:val="16"/>
                      <w:lang w:val="ro-RO"/>
                    </w:rPr>
                    <w:t>Nivelul de putere acustică, </w:t>
                  </w:r>
                  <w:r w:rsidRPr="00A724BC">
                    <w:rPr>
                      <w:rStyle w:val="italics"/>
                      <w:iCs/>
                      <w:color w:val="333333"/>
                      <w:sz w:val="16"/>
                      <w:szCs w:val="16"/>
                      <w:lang w:val="ro-RO"/>
                    </w:rPr>
                    <w:t>L</w:t>
                  </w:r>
                  <w:r w:rsidRPr="00A724BC">
                    <w:rPr>
                      <w:rStyle w:val="subscript"/>
                      <w:iCs/>
                      <w:color w:val="333333"/>
                      <w:sz w:val="16"/>
                      <w:szCs w:val="16"/>
                      <w:vertAlign w:val="subscript"/>
                      <w:lang w:val="ro-RO"/>
                    </w:rPr>
                    <w:t>WA</w:t>
                  </w:r>
                </w:p>
              </w:tc>
              <w:tc>
                <w:tcPr>
                  <w:tcW w:w="337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L</w:t>
                  </w:r>
                  <w:r w:rsidRPr="00A724BC">
                    <w:rPr>
                      <w:rStyle w:val="subscript"/>
                      <w:iCs/>
                      <w:color w:val="333333"/>
                      <w:sz w:val="16"/>
                      <w:szCs w:val="16"/>
                      <w:vertAlign w:val="subscript"/>
                      <w:lang w:val="ro-RO"/>
                    </w:rPr>
                    <w:t>WA</w:t>
                  </w:r>
                  <w:r w:rsidRPr="00A724BC">
                    <w:rPr>
                      <w:rStyle w:val="italics"/>
                      <w:iCs/>
                      <w:color w:val="333333"/>
                      <w:sz w:val="16"/>
                      <w:szCs w:val="16"/>
                      <w:lang w:val="ro-RO"/>
                    </w:rPr>
                    <w:t> </w:t>
                  </w:r>
                  <w:r w:rsidRPr="00A724BC">
                    <w:rPr>
                      <w:color w:val="333333"/>
                      <w:sz w:val="16"/>
                      <w:szCs w:val="16"/>
                      <w:lang w:val="ro-RO"/>
                    </w:rPr>
                    <w:t>.</w:t>
                  </w:r>
                </w:p>
              </w:tc>
            </w:tr>
          </w:tbl>
          <w:p w:rsidR="00962482" w:rsidRDefault="00962482" w:rsidP="00AA1E2B">
            <w:pPr>
              <w:pStyle w:val="ti-tbl"/>
              <w:shd w:val="clear" w:color="auto" w:fill="FFFFFF"/>
              <w:spacing w:before="120" w:beforeAutospacing="0" w:after="120" w:afterAutospacing="0" w:line="312" w:lineRule="atLeast"/>
              <w:rPr>
                <w:color w:val="333333"/>
                <w:sz w:val="27"/>
                <w:szCs w:val="27"/>
              </w:rPr>
            </w:pPr>
          </w:p>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c>
          <w:tcPr>
            <w:tcW w:w="1713" w:type="pct"/>
            <w:shd w:val="clear" w:color="auto" w:fill="auto"/>
          </w:tcPr>
          <w:p w:rsidR="00962482" w:rsidRPr="00C214A2" w:rsidRDefault="00962482" w:rsidP="00962482">
            <w:pPr>
              <w:spacing w:after="0" w:line="240" w:lineRule="auto"/>
              <w:jc w:val="right"/>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i/>
                <w:sz w:val="24"/>
                <w:szCs w:val="24"/>
                <w:lang w:val="ro-RO"/>
              </w:rPr>
              <w:t>Tabelul 1</w:t>
            </w:r>
          </w:p>
          <w:p w:rsidR="00962482" w:rsidRPr="00C214A2" w:rsidRDefault="00962482" w:rsidP="00962482">
            <w:pPr>
              <w:spacing w:after="0" w:line="240" w:lineRule="auto"/>
              <w:jc w:val="center"/>
              <w:rPr>
                <w:rFonts w:ascii="Times New Roman" w:eastAsia="Times New Roman" w:hAnsi="Times New Roman" w:cs="Times New Roman"/>
                <w:b/>
                <w:sz w:val="24"/>
                <w:szCs w:val="24"/>
                <w:lang w:val="ro-RO"/>
              </w:rPr>
            </w:pPr>
            <w:r w:rsidRPr="00C214A2">
              <w:rPr>
                <w:rFonts w:ascii="Times New Roman" w:eastAsia="Times New Roman" w:hAnsi="Times New Roman" w:cs="Times New Roman"/>
                <w:b/>
                <w:sz w:val="24"/>
                <w:szCs w:val="24"/>
                <w:lang w:val="ro-RO"/>
              </w:rPr>
              <w:t>Toleranțe de verificare</w:t>
            </w:r>
          </w:p>
          <w:tbl>
            <w:tblPr>
              <w:tblStyle w:val="TableGrid"/>
              <w:tblW w:w="4847" w:type="dxa"/>
              <w:tblLayout w:type="fixed"/>
              <w:tblLook w:val="04A0" w:firstRow="1" w:lastRow="0" w:firstColumn="1" w:lastColumn="0" w:noHBand="0" w:noVBand="1"/>
            </w:tblPr>
            <w:tblGrid>
              <w:gridCol w:w="1445"/>
              <w:gridCol w:w="3402"/>
            </w:tblGrid>
            <w:tr w:rsidR="00962482" w:rsidRPr="00A724BC" w:rsidTr="00674371">
              <w:trPr>
                <w:trHeight w:val="317"/>
              </w:trPr>
              <w:tc>
                <w:tcPr>
                  <w:tcW w:w="1445" w:type="dxa"/>
                </w:tcPr>
                <w:p w:rsidR="00962482" w:rsidRPr="00A724BC" w:rsidRDefault="00962482" w:rsidP="00962482">
                  <w:pPr>
                    <w:tabs>
                      <w:tab w:val="left" w:pos="5580"/>
                    </w:tabs>
                    <w:ind w:left="140" w:hanging="106"/>
                    <w:jc w:val="both"/>
                    <w:rPr>
                      <w:sz w:val="16"/>
                      <w:szCs w:val="16"/>
                      <w:lang w:val="ro-RO"/>
                    </w:rPr>
                  </w:pPr>
                  <w:r w:rsidRPr="00A724BC">
                    <w:rPr>
                      <w:sz w:val="16"/>
                      <w:szCs w:val="16"/>
                      <w:lang w:val="ro-RO"/>
                    </w:rPr>
                    <w:t>Parametri</w:t>
                  </w:r>
                </w:p>
              </w:tc>
              <w:tc>
                <w:tcPr>
                  <w:tcW w:w="3402" w:type="dxa"/>
                </w:tcPr>
                <w:p w:rsidR="00962482" w:rsidRPr="00A724BC" w:rsidRDefault="00962482" w:rsidP="00962482">
                  <w:pPr>
                    <w:tabs>
                      <w:tab w:val="left" w:pos="5580"/>
                    </w:tabs>
                    <w:ind w:left="140" w:hanging="98"/>
                    <w:jc w:val="both"/>
                    <w:rPr>
                      <w:sz w:val="16"/>
                      <w:szCs w:val="16"/>
                      <w:lang w:val="ro-RO"/>
                    </w:rPr>
                  </w:pPr>
                  <w:r w:rsidRPr="00A724BC">
                    <w:rPr>
                      <w:sz w:val="16"/>
                      <w:szCs w:val="16"/>
                      <w:lang w:val="ro-RO"/>
                    </w:rPr>
                    <w:t>Toleranțe de verificare</w:t>
                  </w:r>
                </w:p>
              </w:tc>
            </w:tr>
            <w:tr w:rsidR="00962482" w:rsidRPr="00A724BC" w:rsidTr="00674371">
              <w:trPr>
                <w:trHeight w:val="947"/>
              </w:trPr>
              <w:tc>
                <w:tcPr>
                  <w:tcW w:w="1445"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Consumul anual ponderat de energie (</w:t>
                  </w:r>
                  <w:r w:rsidRPr="00A724BC">
                    <w:rPr>
                      <w:rStyle w:val="italics"/>
                      <w:iCs/>
                      <w:color w:val="333333"/>
                      <w:sz w:val="16"/>
                      <w:szCs w:val="16"/>
                      <w:lang w:val="ro-RO"/>
                    </w:rPr>
                    <w:t>AE</w:t>
                  </w:r>
                  <w:r w:rsidRPr="00A724BC">
                    <w:rPr>
                      <w:rStyle w:val="subscript"/>
                      <w:iCs/>
                      <w:color w:val="333333"/>
                      <w:sz w:val="16"/>
                      <w:szCs w:val="16"/>
                      <w:vertAlign w:val="subscript"/>
                      <w:lang w:val="ro-RO"/>
                    </w:rPr>
                    <w:t>C</w:t>
                  </w:r>
                  <w:r w:rsidRPr="00A724BC">
                    <w:rPr>
                      <w:rStyle w:val="italics"/>
                      <w:iCs/>
                      <w:color w:val="333333"/>
                      <w:sz w:val="16"/>
                      <w:szCs w:val="16"/>
                      <w:lang w:val="ro-RO"/>
                    </w:rPr>
                    <w:t> </w:t>
                  </w:r>
                  <w:r w:rsidRPr="00A724BC">
                    <w:rPr>
                      <w:color w:val="333333"/>
                      <w:sz w:val="16"/>
                      <w:szCs w:val="16"/>
                      <w:lang w:val="ro-RO"/>
                    </w:rPr>
                    <w:t>)</w:t>
                  </w:r>
                </w:p>
              </w:tc>
              <w:tc>
                <w:tcPr>
                  <w:tcW w:w="340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AE</w:t>
                  </w:r>
                  <w:r w:rsidRPr="00A724BC">
                    <w:rPr>
                      <w:rStyle w:val="subscript"/>
                      <w:iCs/>
                      <w:color w:val="333333"/>
                      <w:sz w:val="16"/>
                      <w:szCs w:val="16"/>
                      <w:vertAlign w:val="subscript"/>
                      <w:lang w:val="ro-RO"/>
                    </w:rPr>
                    <w:t>C</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674371">
              <w:trPr>
                <w:trHeight w:val="801"/>
              </w:trPr>
              <w:tc>
                <w:tcPr>
                  <w:tcW w:w="1445"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Consumul ponderat de energie (</w:t>
                  </w:r>
                  <w:r w:rsidRPr="00A724BC">
                    <w:rPr>
                      <w:rStyle w:val="italics"/>
                      <w:iCs/>
                      <w:color w:val="333333"/>
                      <w:sz w:val="16"/>
                      <w:szCs w:val="16"/>
                      <w:lang w:val="ro-RO"/>
                    </w:rPr>
                    <w:t>E</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w:t>
                  </w:r>
                </w:p>
              </w:tc>
              <w:tc>
                <w:tcPr>
                  <w:tcW w:w="340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E</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674371">
              <w:trPr>
                <w:trHeight w:val="827"/>
              </w:trPr>
              <w:tc>
                <w:tcPr>
                  <w:tcW w:w="1445"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Eficiența ponderată a condensării (</w:t>
                  </w:r>
                  <w:r w:rsidRPr="00A724BC">
                    <w:rPr>
                      <w:rStyle w:val="italics"/>
                      <w:iCs/>
                      <w:color w:val="333333"/>
                      <w:sz w:val="16"/>
                      <w:szCs w:val="16"/>
                      <w:lang w:val="ro-RO"/>
                    </w:rPr>
                    <w:t>C</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w:t>
                  </w:r>
                </w:p>
              </w:tc>
              <w:tc>
                <w:tcPr>
                  <w:tcW w:w="340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fie inferioară valorii declarate pentru </w:t>
                  </w:r>
                  <w:r w:rsidRPr="00A724BC">
                    <w:rPr>
                      <w:rStyle w:val="italics"/>
                      <w:iCs/>
                      <w:color w:val="333333"/>
                      <w:sz w:val="16"/>
                      <w:szCs w:val="16"/>
                      <w:lang w:val="ro-RO"/>
                    </w:rPr>
                    <w:t>C</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453"/>
              </w:trPr>
              <w:tc>
                <w:tcPr>
                  <w:tcW w:w="1445"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Durata ponderată a programului (</w:t>
                  </w:r>
                  <w:r w:rsidRPr="00A724BC">
                    <w:rPr>
                      <w:rStyle w:val="italics"/>
                      <w:iCs/>
                      <w:color w:val="333333"/>
                      <w:sz w:val="16"/>
                      <w:szCs w:val="16"/>
                      <w:lang w:val="ro-RO"/>
                    </w:rPr>
                    <w:t>T</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w:t>
                  </w:r>
                </w:p>
              </w:tc>
              <w:tc>
                <w:tcPr>
                  <w:tcW w:w="340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T</w:t>
                  </w:r>
                  <w:r w:rsidRPr="00A724BC">
                    <w:rPr>
                      <w:rStyle w:val="subscript"/>
                      <w:iCs/>
                      <w:color w:val="333333"/>
                      <w:sz w:val="16"/>
                      <w:szCs w:val="16"/>
                      <w:vertAlign w:val="subscript"/>
                      <w:lang w:val="ro-RO"/>
                    </w:rPr>
                    <w:t>t</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1471"/>
              </w:trPr>
              <w:tc>
                <w:tcPr>
                  <w:tcW w:w="1445"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Consumul de putere în modul oprit și în modul inactiv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w:t>
                  </w:r>
                </w:p>
              </w:tc>
              <w:tc>
                <w:tcPr>
                  <w:tcW w:w="3402" w:type="dxa"/>
                </w:tcPr>
                <w:p w:rsidR="00962482" w:rsidRPr="00A724BC" w:rsidRDefault="00962482" w:rsidP="00962482">
                  <w:pPr>
                    <w:pStyle w:val="tbl-norm"/>
                    <w:spacing w:before="60" w:beforeAutospacing="0" w:after="60" w:afterAutospacing="0"/>
                    <w:jc w:val="both"/>
                    <w:rPr>
                      <w:color w:val="333333"/>
                      <w:sz w:val="16"/>
                      <w:szCs w:val="16"/>
                      <w:lang w:val="ro-RO"/>
                    </w:rPr>
                  </w:pPr>
                  <w:r w:rsidRPr="00A724BC">
                    <w:rPr>
                      <w:color w:val="333333"/>
                      <w:sz w:val="16"/>
                      <w:szCs w:val="16"/>
                      <w:lang w:val="ro-RO"/>
                    </w:rPr>
                    <w:t>Valorile obținute pentru consumul de putere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 în cazul în care acestea sunt mai mari de 1,00 W, nu trebuie să depășească valorile declarate pentru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cu mai mult de 6 %. Valoarea obținută pentru consumul de putere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 în cazul în care aceasta este de cel mult 1,00 W, nu trebuie să depășească valorile declarate pentru </w:t>
                  </w:r>
                  <w:r w:rsidRPr="00A724BC">
                    <w:rPr>
                      <w:rStyle w:val="italics"/>
                      <w:iCs/>
                      <w:color w:val="333333"/>
                      <w:sz w:val="16"/>
                      <w:szCs w:val="16"/>
                      <w:lang w:val="ro-RO"/>
                    </w:rPr>
                    <w:t>P</w:t>
                  </w:r>
                  <w:r w:rsidRPr="00A724BC">
                    <w:rPr>
                      <w:rStyle w:val="subscript"/>
                      <w:iCs/>
                      <w:color w:val="333333"/>
                      <w:sz w:val="16"/>
                      <w:szCs w:val="16"/>
                      <w:vertAlign w:val="subscript"/>
                      <w:lang w:val="ro-RO"/>
                    </w:rPr>
                    <w:t>o</w:t>
                  </w:r>
                  <w:r w:rsidRPr="00A724BC">
                    <w:rPr>
                      <w:rStyle w:val="italics"/>
                      <w:iCs/>
                      <w:color w:val="333333"/>
                      <w:sz w:val="16"/>
                      <w:szCs w:val="16"/>
                      <w:lang w:val="ro-RO"/>
                    </w:rPr>
                    <w:t> </w:t>
                  </w:r>
                  <w:r w:rsidRPr="00A724BC">
                    <w:rPr>
                      <w:color w:val="333333"/>
                      <w:sz w:val="16"/>
                      <w:szCs w:val="16"/>
                      <w:lang w:val="ro-RO"/>
                    </w:rPr>
                    <w:t>și </w:t>
                  </w:r>
                  <w:r w:rsidRPr="00A724BC">
                    <w:rPr>
                      <w:rStyle w:val="italics"/>
                      <w:iCs/>
                      <w:color w:val="333333"/>
                      <w:sz w:val="16"/>
                      <w:szCs w:val="16"/>
                      <w:lang w:val="ro-RO"/>
                    </w:rPr>
                    <w:t>P</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cu mai mult de 0,10 W.</w:t>
                  </w:r>
                </w:p>
              </w:tc>
            </w:tr>
            <w:tr w:rsidR="00962482" w:rsidRPr="00A724BC" w:rsidTr="00674371">
              <w:trPr>
                <w:trHeight w:val="466"/>
              </w:trPr>
              <w:tc>
                <w:tcPr>
                  <w:tcW w:w="1445" w:type="dxa"/>
                </w:tcPr>
                <w:p w:rsidR="00962482" w:rsidRPr="00A724BC" w:rsidRDefault="00962482" w:rsidP="00962482">
                  <w:pPr>
                    <w:pStyle w:val="tbl-norm"/>
                    <w:spacing w:before="60" w:beforeAutospacing="0" w:after="60" w:afterAutospacing="0"/>
                    <w:ind w:left="140"/>
                    <w:jc w:val="both"/>
                    <w:rPr>
                      <w:color w:val="333333"/>
                      <w:sz w:val="16"/>
                      <w:szCs w:val="16"/>
                      <w:lang w:val="ro-RO"/>
                    </w:rPr>
                  </w:pPr>
                  <w:r w:rsidRPr="00A724BC">
                    <w:rPr>
                      <w:color w:val="333333"/>
                      <w:sz w:val="16"/>
                      <w:szCs w:val="16"/>
                      <w:lang w:val="ro-RO"/>
                    </w:rPr>
                    <w:t>Durata modului inactiv (</w:t>
                  </w:r>
                  <w:r w:rsidRPr="00A724BC">
                    <w:rPr>
                      <w:rStyle w:val="italics"/>
                      <w:iCs/>
                      <w:color w:val="333333"/>
                      <w:sz w:val="16"/>
                      <w:szCs w:val="16"/>
                      <w:lang w:val="ro-RO"/>
                    </w:rPr>
                    <w:t>T</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w:t>
                  </w:r>
                </w:p>
              </w:tc>
              <w:tc>
                <w:tcPr>
                  <w:tcW w:w="3402" w:type="dxa"/>
                </w:tcPr>
                <w:p w:rsidR="00962482" w:rsidRPr="00A724BC" w:rsidRDefault="00962482" w:rsidP="00962482">
                  <w:pPr>
                    <w:pStyle w:val="tbl-norm"/>
                    <w:spacing w:before="60" w:beforeAutospacing="0" w:after="60" w:afterAutospacing="0"/>
                    <w:ind w:left="14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T</w:t>
                  </w:r>
                  <w:r w:rsidRPr="00A724BC">
                    <w:rPr>
                      <w:rStyle w:val="subscript"/>
                      <w:iCs/>
                      <w:color w:val="333333"/>
                      <w:sz w:val="16"/>
                      <w:szCs w:val="16"/>
                      <w:vertAlign w:val="subscript"/>
                      <w:lang w:val="ro-RO"/>
                    </w:rPr>
                    <w:t>l</w:t>
                  </w:r>
                  <w:r w:rsidRPr="00A724BC">
                    <w:rPr>
                      <w:rStyle w:val="italics"/>
                      <w:iCs/>
                      <w:color w:val="333333"/>
                      <w:sz w:val="16"/>
                      <w:szCs w:val="16"/>
                      <w:lang w:val="ro-RO"/>
                    </w:rPr>
                    <w:t> </w:t>
                  </w:r>
                  <w:r w:rsidRPr="00A724BC">
                    <w:rPr>
                      <w:color w:val="333333"/>
                      <w:sz w:val="16"/>
                      <w:szCs w:val="16"/>
                      <w:lang w:val="ro-RO"/>
                    </w:rPr>
                    <w:t>cu mai mult de 6 %.</w:t>
                  </w:r>
                </w:p>
              </w:tc>
            </w:tr>
            <w:tr w:rsidR="00962482" w:rsidRPr="00A724BC" w:rsidTr="00FF08E5">
              <w:trPr>
                <w:trHeight w:val="367"/>
              </w:trPr>
              <w:tc>
                <w:tcPr>
                  <w:tcW w:w="1445" w:type="dxa"/>
                </w:tcPr>
                <w:p w:rsidR="00962482" w:rsidRPr="00A724BC" w:rsidRDefault="00962482" w:rsidP="00962482">
                  <w:pPr>
                    <w:pStyle w:val="tbl-norm"/>
                    <w:spacing w:before="60" w:beforeAutospacing="0" w:after="60" w:afterAutospacing="0"/>
                    <w:ind w:left="140"/>
                    <w:jc w:val="both"/>
                    <w:rPr>
                      <w:color w:val="333333"/>
                      <w:sz w:val="16"/>
                      <w:szCs w:val="16"/>
                      <w:lang w:val="ro-RO"/>
                    </w:rPr>
                  </w:pPr>
                  <w:r w:rsidRPr="00A724BC">
                    <w:rPr>
                      <w:color w:val="333333"/>
                      <w:sz w:val="16"/>
                      <w:szCs w:val="16"/>
                      <w:lang w:val="ro-RO"/>
                    </w:rPr>
                    <w:t>Nivelul de putere acustică, </w:t>
                  </w:r>
                  <w:r w:rsidRPr="00A724BC">
                    <w:rPr>
                      <w:rStyle w:val="italics"/>
                      <w:iCs/>
                      <w:color w:val="333333"/>
                      <w:sz w:val="16"/>
                      <w:szCs w:val="16"/>
                      <w:lang w:val="ro-RO"/>
                    </w:rPr>
                    <w:t>L</w:t>
                  </w:r>
                  <w:r w:rsidRPr="00A724BC">
                    <w:rPr>
                      <w:rStyle w:val="subscript"/>
                      <w:iCs/>
                      <w:color w:val="333333"/>
                      <w:sz w:val="16"/>
                      <w:szCs w:val="16"/>
                      <w:vertAlign w:val="subscript"/>
                      <w:lang w:val="ro-RO"/>
                    </w:rPr>
                    <w:t>WA</w:t>
                  </w:r>
                </w:p>
              </w:tc>
              <w:tc>
                <w:tcPr>
                  <w:tcW w:w="3402" w:type="dxa"/>
                </w:tcPr>
                <w:p w:rsidR="00962482" w:rsidRPr="00A724BC" w:rsidRDefault="00962482" w:rsidP="00962482">
                  <w:pPr>
                    <w:pStyle w:val="tbl-norm"/>
                    <w:spacing w:before="60" w:beforeAutospacing="0" w:after="60" w:afterAutospacing="0"/>
                    <w:ind w:left="140"/>
                    <w:jc w:val="both"/>
                    <w:rPr>
                      <w:color w:val="333333"/>
                      <w:sz w:val="16"/>
                      <w:szCs w:val="16"/>
                      <w:lang w:val="ro-RO"/>
                    </w:rPr>
                  </w:pPr>
                  <w:r w:rsidRPr="00A724BC">
                    <w:rPr>
                      <w:color w:val="333333"/>
                      <w:sz w:val="16"/>
                      <w:szCs w:val="16"/>
                      <w:lang w:val="ro-RO"/>
                    </w:rPr>
                    <w:t>Valoarea obținută nu trebuie să depășească valoarea declarată pentru </w:t>
                  </w:r>
                  <w:r w:rsidRPr="00A724BC">
                    <w:rPr>
                      <w:rStyle w:val="italics"/>
                      <w:iCs/>
                      <w:color w:val="333333"/>
                      <w:sz w:val="16"/>
                      <w:szCs w:val="16"/>
                      <w:lang w:val="ro-RO"/>
                    </w:rPr>
                    <w:t>L</w:t>
                  </w:r>
                  <w:r w:rsidRPr="00A724BC">
                    <w:rPr>
                      <w:rStyle w:val="subscript"/>
                      <w:iCs/>
                      <w:color w:val="333333"/>
                      <w:sz w:val="16"/>
                      <w:szCs w:val="16"/>
                      <w:vertAlign w:val="subscript"/>
                      <w:lang w:val="ro-RO"/>
                    </w:rPr>
                    <w:t>WA</w:t>
                  </w:r>
                  <w:r w:rsidRPr="00A724BC">
                    <w:rPr>
                      <w:rStyle w:val="italics"/>
                      <w:iCs/>
                      <w:color w:val="333333"/>
                      <w:sz w:val="16"/>
                      <w:szCs w:val="16"/>
                      <w:lang w:val="ro-RO"/>
                    </w:rPr>
                    <w:t> </w:t>
                  </w:r>
                  <w:r w:rsidRPr="00A724BC">
                    <w:rPr>
                      <w:color w:val="333333"/>
                      <w:sz w:val="16"/>
                      <w:szCs w:val="16"/>
                      <w:lang w:val="ro-RO"/>
                    </w:rPr>
                    <w:t>.</w:t>
                  </w:r>
                </w:p>
              </w:tc>
            </w:tr>
          </w:tbl>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c>
          <w:tcPr>
            <w:tcW w:w="443" w:type="pct"/>
            <w:shd w:val="clear" w:color="auto" w:fill="auto"/>
          </w:tcPr>
          <w:p w:rsidR="00AA1E2B" w:rsidRDefault="00AA1E2B" w:rsidP="00962482">
            <w:pPr>
              <w:spacing w:after="0" w:line="240" w:lineRule="auto"/>
              <w:jc w:val="center"/>
              <w:rPr>
                <w:rFonts w:ascii="Times New Roman" w:eastAsia="Times New Roman" w:hAnsi="Times New Roman" w:cs="Times New Roman"/>
                <w:sz w:val="24"/>
                <w:szCs w:val="24"/>
                <w:lang w:val="ro-RO"/>
              </w:rPr>
            </w:pPr>
          </w:p>
          <w:p w:rsidR="00AA1E2B" w:rsidRDefault="00AA1E2B" w:rsidP="00962482">
            <w:pPr>
              <w:spacing w:after="0" w:line="240" w:lineRule="auto"/>
              <w:jc w:val="center"/>
              <w:rPr>
                <w:rFonts w:ascii="Times New Roman" w:eastAsia="Times New Roman" w:hAnsi="Times New Roman" w:cs="Times New Roman"/>
                <w:sz w:val="24"/>
                <w:szCs w:val="24"/>
                <w:lang w:val="ro-RO"/>
              </w:rPr>
            </w:pPr>
          </w:p>
          <w:p w:rsidR="00962482" w:rsidRDefault="00962482" w:rsidP="00962482">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Default="00037389" w:rsidP="00962482">
            <w:pPr>
              <w:spacing w:after="0" w:line="240" w:lineRule="auto"/>
              <w:jc w:val="center"/>
              <w:rPr>
                <w:rFonts w:ascii="Times New Roman" w:eastAsia="Times New Roman" w:hAnsi="Times New Roman" w:cs="Times New Roman"/>
                <w:sz w:val="24"/>
                <w:szCs w:val="24"/>
                <w:lang w:val="ro-RO"/>
              </w:rPr>
            </w:pPr>
          </w:p>
          <w:p w:rsidR="00037389" w:rsidRPr="00BF7129" w:rsidRDefault="00037389" w:rsidP="00962482">
            <w:pPr>
              <w:spacing w:after="0" w:line="240" w:lineRule="auto"/>
              <w:jc w:val="center"/>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22" w:type="pct"/>
            <w:shd w:val="clear" w:color="auto" w:fill="auto"/>
          </w:tcPr>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rsidR="00962482" w:rsidRPr="00BF7129" w:rsidRDefault="00962482" w:rsidP="00962482">
            <w:pPr>
              <w:spacing w:after="0" w:line="240" w:lineRule="auto"/>
              <w:jc w:val="center"/>
              <w:rPr>
                <w:rFonts w:ascii="Times New Roman" w:eastAsia="Times New Roman" w:hAnsi="Times New Roman" w:cs="Times New Roman"/>
                <w:b/>
                <w:sz w:val="24"/>
                <w:szCs w:val="24"/>
                <w:lang w:val="ro-RO"/>
              </w:rPr>
            </w:pPr>
          </w:p>
        </w:tc>
      </w:tr>
    </w:tbl>
    <w:p w:rsidR="002C4598" w:rsidRDefault="002C4598"/>
    <w:p w:rsidR="002C4598" w:rsidRDefault="002C4598">
      <w:r>
        <w:br w:type="page"/>
      </w:r>
    </w:p>
    <w:p w:rsidR="002C4598" w:rsidRPr="00BF7129" w:rsidRDefault="002C4598" w:rsidP="002C4598">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lastRenderedPageBreak/>
        <w:t>TABEL DE CONCORDANȚĂ</w:t>
      </w:r>
    </w:p>
    <w:p w:rsidR="002C4598" w:rsidRPr="00BF7129" w:rsidRDefault="002C4598" w:rsidP="002C4598">
      <w:pPr>
        <w:spacing w:after="0" w:line="240" w:lineRule="auto"/>
        <w:ind w:firstLine="720"/>
        <w:jc w:val="both"/>
        <w:rPr>
          <w:rFonts w:ascii="Times New Roman" w:eastAsia="Times New Roman" w:hAnsi="Times New Roman" w:cs="Times New Roman"/>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427"/>
        <w:gridCol w:w="3938"/>
        <w:gridCol w:w="1763"/>
        <w:gridCol w:w="1349"/>
        <w:gridCol w:w="1470"/>
        <w:gridCol w:w="1598"/>
      </w:tblGrid>
      <w:tr w:rsidR="002C4598" w:rsidRPr="00BF7129" w:rsidTr="00A640E5">
        <w:tc>
          <w:tcPr>
            <w:tcW w:w="229" w:type="pct"/>
            <w:shd w:val="clear" w:color="auto" w:fill="auto"/>
          </w:tcPr>
          <w:p w:rsidR="002C4598" w:rsidRPr="00BF7129" w:rsidRDefault="002C4598" w:rsidP="00A640E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771" w:type="pct"/>
            <w:gridSpan w:val="6"/>
            <w:shd w:val="clear" w:color="auto" w:fill="auto"/>
          </w:tcPr>
          <w:p w:rsidR="00864B81" w:rsidRDefault="00864B81" w:rsidP="00864B81">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actului Uniunii Europene, inclusiv cele mai recente amendamente incluse</w:t>
            </w:r>
          </w:p>
          <w:p w:rsidR="002C4598" w:rsidRPr="00BF7129" w:rsidRDefault="00864B81" w:rsidP="00A640E5">
            <w:pPr>
              <w:spacing w:after="0" w:line="240" w:lineRule="auto"/>
              <w:jc w:val="both"/>
              <w:rPr>
                <w:rFonts w:ascii="Times New Roman" w:eastAsia="Times New Roman" w:hAnsi="Times New Roman" w:cs="Times New Roman"/>
                <w:sz w:val="24"/>
                <w:szCs w:val="24"/>
                <w:lang w:val="ro-RO"/>
              </w:rPr>
            </w:pPr>
            <w:r w:rsidRPr="007B21D6">
              <w:rPr>
                <w:rFonts w:ascii="Times New Roman" w:eastAsia="Times New Roman" w:hAnsi="Times New Roman" w:cs="Times New Roman"/>
                <w:sz w:val="24"/>
                <w:szCs w:val="24"/>
                <w:lang w:val="ro-RO"/>
              </w:rPr>
              <w:t xml:space="preserve">Regulamentul delegat (UE) 2020/1059 al Comisiei din 27 aprilie 2020 de rectificare a anumitor versiuni lingvistice ale Regulamentelor delegate (UE) nr. 1059/2010, (UE) nr. 1060/2010, (UE) nr. 1061/2010, (UE) nr. 1062/2010, (UE) nr. 626/2011, (UE) nr. 392/2012 și (UE) nr. 874/2012 în ceea ce privește etichetarea anumitor produse cu impact energetic </w:t>
            </w:r>
            <w:r w:rsidRPr="004C19FF">
              <w:rPr>
                <w:rFonts w:ascii="Times New Roman" w:eastAsia="Times New Roman" w:hAnsi="Times New Roman" w:cs="Times New Roman"/>
                <w:sz w:val="24"/>
                <w:szCs w:val="24"/>
                <w:lang w:val="ro-RO"/>
              </w:rPr>
              <w:t>CELEX: 320</w:t>
            </w:r>
            <w:r>
              <w:rPr>
                <w:rFonts w:ascii="Times New Roman" w:eastAsia="Times New Roman" w:hAnsi="Times New Roman" w:cs="Times New Roman"/>
                <w:sz w:val="24"/>
                <w:szCs w:val="24"/>
                <w:lang w:val="ro-RO"/>
              </w:rPr>
              <w:t>20</w:t>
            </w:r>
            <w:r w:rsidRPr="004C19FF">
              <w:rPr>
                <w:rFonts w:ascii="Times New Roman" w:eastAsia="Times New Roman" w:hAnsi="Times New Roman" w:cs="Times New Roman"/>
                <w:sz w:val="24"/>
                <w:szCs w:val="24"/>
                <w:lang w:val="ro-RO"/>
              </w:rPr>
              <w:t>R</w:t>
            </w:r>
            <w:r>
              <w:rPr>
                <w:rFonts w:ascii="Times New Roman" w:eastAsia="Times New Roman" w:hAnsi="Times New Roman" w:cs="Times New Roman"/>
                <w:sz w:val="24"/>
                <w:szCs w:val="24"/>
                <w:lang w:val="ro-RO"/>
              </w:rPr>
              <w:t>1059</w:t>
            </w:r>
            <w:r w:rsidRPr="004C19FF">
              <w:rPr>
                <w:rFonts w:ascii="Times New Roman" w:eastAsia="Times New Roman" w:hAnsi="Times New Roman" w:cs="Times New Roman"/>
                <w:sz w:val="24"/>
                <w:szCs w:val="24"/>
                <w:lang w:val="ro-RO"/>
              </w:rPr>
              <w:t xml:space="preserve">, publicat în Jurnalul Oficial al Uniunii Europene L </w:t>
            </w:r>
            <w:r>
              <w:rPr>
                <w:rFonts w:ascii="Times New Roman" w:eastAsia="Times New Roman" w:hAnsi="Times New Roman" w:cs="Times New Roman"/>
                <w:sz w:val="24"/>
                <w:szCs w:val="24"/>
                <w:lang w:val="ro-RO"/>
              </w:rPr>
              <w:t xml:space="preserve">232/28 </w:t>
            </w:r>
            <w:r w:rsidRPr="004C19FF">
              <w:rPr>
                <w:rFonts w:ascii="Times New Roman" w:eastAsia="Times New Roman" w:hAnsi="Times New Roman" w:cs="Times New Roman"/>
                <w:sz w:val="24"/>
                <w:szCs w:val="24"/>
                <w:lang w:val="ro-RO"/>
              </w:rPr>
              <w:t xml:space="preserve">din </w:t>
            </w:r>
            <w:r>
              <w:rPr>
                <w:rFonts w:ascii="Times New Roman" w:eastAsia="Times New Roman" w:hAnsi="Times New Roman" w:cs="Times New Roman"/>
                <w:sz w:val="24"/>
                <w:szCs w:val="24"/>
                <w:lang w:val="ro-RO"/>
              </w:rPr>
              <w:t>20.07.2020.</w:t>
            </w:r>
          </w:p>
        </w:tc>
      </w:tr>
      <w:tr w:rsidR="002C4598" w:rsidRPr="00BF7129" w:rsidTr="00A640E5">
        <w:tc>
          <w:tcPr>
            <w:tcW w:w="229" w:type="pct"/>
            <w:shd w:val="clear" w:color="auto" w:fill="auto"/>
          </w:tcPr>
          <w:p w:rsidR="002C4598" w:rsidRPr="00BF7129" w:rsidRDefault="002C4598" w:rsidP="00A640E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771" w:type="pct"/>
            <w:gridSpan w:val="6"/>
            <w:shd w:val="clear" w:color="auto" w:fill="auto"/>
          </w:tcPr>
          <w:p w:rsidR="002C4598" w:rsidRDefault="002C4598" w:rsidP="00A640E5">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Pr>
                <w:rFonts w:ascii="Times New Roman" w:eastAsia="Times New Roman" w:hAnsi="Times New Roman" w:cs="Times New Roman"/>
                <w:b/>
                <w:sz w:val="24"/>
                <w:szCs w:val="24"/>
                <w:lang w:val="ro-RO"/>
              </w:rPr>
              <w:tab/>
            </w:r>
          </w:p>
          <w:p w:rsidR="002C4598" w:rsidRPr="00BF7129" w:rsidRDefault="002C4598" w:rsidP="00A640E5">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2C4598" w:rsidRPr="00BF7129" w:rsidTr="00A640E5">
        <w:tc>
          <w:tcPr>
            <w:tcW w:w="229" w:type="pct"/>
            <w:shd w:val="clear" w:color="auto" w:fill="auto"/>
          </w:tcPr>
          <w:p w:rsidR="002C4598" w:rsidRPr="00BF7129" w:rsidRDefault="002C4598" w:rsidP="00A640E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771" w:type="pct"/>
            <w:gridSpan w:val="6"/>
            <w:shd w:val="clear" w:color="auto" w:fill="auto"/>
          </w:tcPr>
          <w:p w:rsidR="002C4598" w:rsidRDefault="002C4598" w:rsidP="00A640E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general de compatibilitate</w:t>
            </w:r>
          </w:p>
          <w:p w:rsidR="002C4598" w:rsidRPr="00BF7129" w:rsidRDefault="002C4598" w:rsidP="00A640E5">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color w:val="FF0000"/>
                <w:sz w:val="24"/>
                <w:szCs w:val="24"/>
                <w:lang w:val="ro-RO"/>
              </w:rPr>
              <w:t>Parțial compatibil</w:t>
            </w:r>
          </w:p>
        </w:tc>
      </w:tr>
      <w:tr w:rsidR="002C4598" w:rsidRPr="00BF7129" w:rsidTr="00A640E5">
        <w:tc>
          <w:tcPr>
            <w:tcW w:w="1449" w:type="pct"/>
            <w:gridSpan w:val="2"/>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Actul Uniunii Europene</w:t>
            </w:r>
          </w:p>
        </w:tc>
        <w:tc>
          <w:tcPr>
            <w:tcW w:w="1400"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Proiectul de act normativ național</w:t>
            </w:r>
          </w:p>
        </w:tc>
        <w:tc>
          <w:tcPr>
            <w:tcW w:w="622"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de compatibilitate</w:t>
            </w:r>
          </w:p>
        </w:tc>
        <w:tc>
          <w:tcPr>
            <w:tcW w:w="476"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Diferențele</w:t>
            </w:r>
          </w:p>
        </w:tc>
        <w:tc>
          <w:tcPr>
            <w:tcW w:w="519"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Observațiile</w:t>
            </w:r>
          </w:p>
        </w:tc>
        <w:tc>
          <w:tcPr>
            <w:tcW w:w="533"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Autoritatea/</w:t>
            </w:r>
          </w:p>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persoana responsabilă</w:t>
            </w:r>
          </w:p>
        </w:tc>
      </w:tr>
      <w:tr w:rsidR="002C4598" w:rsidRPr="00BF7129" w:rsidTr="00A640E5">
        <w:tc>
          <w:tcPr>
            <w:tcW w:w="1449" w:type="pct"/>
            <w:gridSpan w:val="2"/>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400"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622"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476"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519"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533"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2C4598" w:rsidRPr="00BF7129" w:rsidTr="00A640E5">
        <w:tc>
          <w:tcPr>
            <w:tcW w:w="1449" w:type="pct"/>
            <w:gridSpan w:val="2"/>
            <w:shd w:val="clear" w:color="auto" w:fill="auto"/>
          </w:tcPr>
          <w:p w:rsidR="00A31998" w:rsidRDefault="00A31998" w:rsidP="00A31998">
            <w:pPr>
              <w:spacing w:after="0" w:line="240" w:lineRule="auto"/>
              <w:jc w:val="both"/>
              <w:rPr>
                <w:rFonts w:ascii="Times New Roman" w:eastAsia="Times New Roman" w:hAnsi="Times New Roman" w:cs="Times New Roman"/>
                <w:i/>
                <w:sz w:val="24"/>
                <w:szCs w:val="24"/>
                <w:lang w:val="ro-RO"/>
              </w:rPr>
            </w:pPr>
            <w:r w:rsidRPr="007B21D6">
              <w:rPr>
                <w:rFonts w:ascii="Times New Roman" w:eastAsia="Times New Roman" w:hAnsi="Times New Roman" w:cs="Times New Roman"/>
                <w:b/>
                <w:sz w:val="24"/>
                <w:szCs w:val="24"/>
                <w:lang w:val="ro-RO"/>
              </w:rPr>
              <w:t xml:space="preserve">Regulamentul delegat (UE) 2020/1059 al Comisiei din 27 aprilie 2020 de rectificare a anumitor versiuni lingvistice ale Regulamentelor delegate (UE) nr. 1059/2010, (UE) nr. 1060/2010, (UE) nr. 1061/2010, (UE) nr. 1062/2010, (UE) nr. 626/2011, (UE) nr. 392/2012 și (UE) nr. 874/2012 în ceea ce privește etichetarea anumitor produse cu impact energetic </w:t>
            </w:r>
          </w:p>
          <w:p w:rsidR="00A31998" w:rsidRDefault="00A31998" w:rsidP="00A640E5">
            <w:pPr>
              <w:spacing w:after="0" w:line="240" w:lineRule="auto"/>
              <w:jc w:val="both"/>
              <w:rPr>
                <w:rFonts w:ascii="Times New Roman" w:eastAsia="Times New Roman" w:hAnsi="Times New Roman" w:cs="Times New Roman"/>
                <w:i/>
                <w:sz w:val="24"/>
                <w:szCs w:val="24"/>
                <w:lang w:val="ro-RO"/>
              </w:rPr>
            </w:pPr>
          </w:p>
          <w:p w:rsidR="002C4598" w:rsidRDefault="002C4598" w:rsidP="00A640E5">
            <w:pPr>
              <w:spacing w:after="0" w:line="240" w:lineRule="auto"/>
              <w:jc w:val="both"/>
              <w:rPr>
                <w:rFonts w:ascii="Times New Roman" w:eastAsia="Times New Roman" w:hAnsi="Times New Roman" w:cs="Times New Roman"/>
                <w:i/>
                <w:sz w:val="24"/>
                <w:szCs w:val="24"/>
                <w:lang w:val="ro-RO"/>
              </w:rPr>
            </w:pPr>
          </w:p>
          <w:p w:rsidR="002C4598" w:rsidRPr="00062BDD" w:rsidRDefault="002C4598" w:rsidP="00A640E5">
            <w:pPr>
              <w:spacing w:after="0" w:line="240" w:lineRule="auto"/>
              <w:jc w:val="center"/>
              <w:rPr>
                <w:rFonts w:ascii="Times New Roman" w:eastAsia="Times New Roman" w:hAnsi="Times New Roman" w:cs="Times New Roman"/>
                <w:i/>
                <w:sz w:val="24"/>
                <w:szCs w:val="24"/>
                <w:lang w:val="ro-RO"/>
              </w:rPr>
            </w:pPr>
            <w:r w:rsidRPr="00062BDD">
              <w:rPr>
                <w:rFonts w:ascii="Times New Roman" w:eastAsia="Times New Roman" w:hAnsi="Times New Roman" w:cs="Times New Roman"/>
                <w:i/>
                <w:sz w:val="24"/>
                <w:szCs w:val="24"/>
                <w:lang w:val="ro-RO"/>
              </w:rPr>
              <w:t>Articolul 6</w:t>
            </w:r>
          </w:p>
          <w:p w:rsidR="002C4598" w:rsidRPr="00062BDD" w:rsidRDefault="002C4598" w:rsidP="00A640E5">
            <w:pPr>
              <w:spacing w:after="0" w:line="240" w:lineRule="auto"/>
              <w:jc w:val="center"/>
              <w:rPr>
                <w:rFonts w:ascii="Times New Roman" w:eastAsia="Times New Roman" w:hAnsi="Times New Roman" w:cs="Times New Roman"/>
                <w:b/>
                <w:sz w:val="24"/>
                <w:szCs w:val="24"/>
                <w:lang w:val="ro-RO"/>
              </w:rPr>
            </w:pPr>
          </w:p>
          <w:p w:rsidR="002C4598" w:rsidRPr="00062BDD" w:rsidRDefault="002C4598" w:rsidP="00A640E5">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Rectifi</w:t>
            </w:r>
            <w:r w:rsidRPr="00062BDD">
              <w:rPr>
                <w:rFonts w:ascii="Times New Roman" w:eastAsia="Times New Roman" w:hAnsi="Times New Roman" w:cs="Times New Roman"/>
                <w:b/>
                <w:sz w:val="24"/>
                <w:szCs w:val="24"/>
                <w:lang w:val="ro-RO"/>
              </w:rPr>
              <w:t>cări aduse Regulamentului delegat (UE) nr. 392/2012</w:t>
            </w:r>
          </w:p>
          <w:p w:rsidR="002C4598" w:rsidRPr="00062BDD" w:rsidRDefault="002C4598" w:rsidP="00A640E5">
            <w:pPr>
              <w:spacing w:after="0" w:line="240" w:lineRule="auto"/>
              <w:jc w:val="center"/>
              <w:rPr>
                <w:rFonts w:ascii="Times New Roman" w:eastAsia="Times New Roman" w:hAnsi="Times New Roman" w:cs="Times New Roman"/>
                <w:b/>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lastRenderedPageBreak/>
              <w:t>Regulamentul delegat (UE) nr. 392/2012 se rectifică după cum urmează:</w:t>
            </w:r>
          </w:p>
          <w:p w:rsidR="002C4598" w:rsidRDefault="002C4598" w:rsidP="002C4598">
            <w:pPr>
              <w:spacing w:after="0" w:line="240" w:lineRule="auto"/>
              <w:jc w:val="both"/>
              <w:rPr>
                <w:rFonts w:ascii="Times New Roman" w:eastAsia="Times New Roman" w:hAnsi="Times New Roman" w:cs="Times New Roman"/>
                <w:sz w:val="24"/>
                <w:szCs w:val="24"/>
                <w:lang w:val="ro-RO"/>
              </w:rPr>
            </w:pPr>
          </w:p>
          <w:p w:rsidR="00322553" w:rsidRPr="002C4598" w:rsidRDefault="00322553"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1.</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În anexa I, la punctul 1.1, subpunctul IV se înlocuiește cu următorul text:</w:t>
            </w:r>
          </w:p>
          <w:p w:rsidR="002C4598" w:rsidRDefault="002C4598" w:rsidP="002C4598">
            <w:pPr>
              <w:spacing w:after="0" w:line="240" w:lineRule="auto"/>
              <w:jc w:val="both"/>
              <w:rPr>
                <w:rFonts w:ascii="Times New Roman" w:eastAsia="Times New Roman" w:hAnsi="Times New Roman" w:cs="Times New Roman"/>
                <w:sz w:val="24"/>
                <w:szCs w:val="24"/>
                <w:lang w:val="ro-RO"/>
              </w:rPr>
            </w:pPr>
          </w:p>
          <w:p w:rsidR="00526C4A" w:rsidRPr="002C4598" w:rsidRDefault="00526C4A"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„IV.</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consumul anual ponderat de energie (AEC ) în kWh/an, rotunjit în sus la cel mai apropiat număr întreg și calculat în conformitate cu anexa VII;”.</w:t>
            </w:r>
          </w:p>
          <w:p w:rsidR="002C4598" w:rsidRDefault="002C4598" w:rsidP="002C4598">
            <w:pPr>
              <w:spacing w:after="0" w:line="240" w:lineRule="auto"/>
              <w:jc w:val="both"/>
              <w:rPr>
                <w:rFonts w:ascii="Times New Roman" w:eastAsia="Times New Roman" w:hAnsi="Times New Roman" w:cs="Times New Roman"/>
                <w:sz w:val="24"/>
                <w:szCs w:val="24"/>
                <w:lang w:val="ro-RO"/>
              </w:rPr>
            </w:pPr>
          </w:p>
          <w:p w:rsidR="00526C4A" w:rsidRDefault="00526C4A" w:rsidP="002C4598">
            <w:pPr>
              <w:spacing w:after="0" w:line="240" w:lineRule="auto"/>
              <w:jc w:val="both"/>
              <w:rPr>
                <w:rFonts w:ascii="Times New Roman" w:eastAsia="Times New Roman" w:hAnsi="Times New Roman" w:cs="Times New Roman"/>
                <w:sz w:val="24"/>
                <w:szCs w:val="24"/>
                <w:lang w:val="ro-RO"/>
              </w:rPr>
            </w:pPr>
          </w:p>
          <w:p w:rsidR="00526C4A" w:rsidRPr="002C4598" w:rsidRDefault="00526C4A"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2.</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În anexa II, la punctul 1, litera (f) se înlocuiește cu următorul text:</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„(f)</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pentru uscătoare de rufe de uz casnic cu tambur alimentate de la rețeaua electrică:</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consumul anual ponderat de energie (AEC ),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526C4A" w:rsidRDefault="00526C4A"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pentru uscătoare de rufe de uz casnic cu tambur alimentate cu gaz:</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consumul anua</w:t>
            </w:r>
            <w:r w:rsidR="0050756F">
              <w:rPr>
                <w:rFonts w:ascii="Times New Roman" w:eastAsia="Times New Roman" w:hAnsi="Times New Roman" w:cs="Times New Roman"/>
                <w:sz w:val="24"/>
                <w:szCs w:val="24"/>
                <w:lang w:val="ro-RO"/>
              </w:rPr>
              <w:t>l ponderat de energie [AEC(GAS)</w:t>
            </w:r>
            <w:r w:rsidRPr="002C4598">
              <w:rPr>
                <w:rFonts w:ascii="Times New Roman" w:eastAsia="Times New Roman" w:hAnsi="Times New Roman" w:cs="Times New Roman"/>
                <w:sz w:val="24"/>
                <w:szCs w:val="24"/>
                <w:lang w:val="ro-RO"/>
              </w:rPr>
              <w:t>], rotunjit în sus la o zecimală; acesta este descris drept: «Consum de energie „X” kWh-Gaz pe an, bazat pe 160 de cicluri de uscare efectuate cu programul standard pentru bumbac, cu încărcătură completă și parțială.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și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 xml:space="preserve">consumul anual </w:t>
            </w:r>
            <w:r w:rsidR="0050756F">
              <w:rPr>
                <w:rFonts w:ascii="Times New Roman" w:eastAsia="Times New Roman" w:hAnsi="Times New Roman" w:cs="Times New Roman"/>
                <w:sz w:val="24"/>
                <w:szCs w:val="24"/>
                <w:lang w:val="ro-RO"/>
              </w:rPr>
              <w:t>ponderat de energie [AEC(GAS)el</w:t>
            </w:r>
            <w:r w:rsidRPr="002C4598">
              <w:rPr>
                <w:rFonts w:ascii="Times New Roman" w:eastAsia="Times New Roman" w:hAnsi="Times New Roman" w:cs="Times New Roman"/>
                <w:sz w:val="24"/>
                <w:szCs w:val="24"/>
                <w:lang w:val="ro-RO"/>
              </w:rPr>
              <w:t>],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3.</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În anexa III, la punctul 1 litera (f), subpunctul (i) se înlocuiește cu următorul text:</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lastRenderedPageBreak/>
              <w:t>„(i)</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pentru uscătoare de rufe de uz casnic cu tambur alimentate de la rețeaua electrică:</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 xml:space="preserve">consumul de </w:t>
            </w:r>
            <w:r w:rsidRPr="00992E27">
              <w:rPr>
                <w:rFonts w:ascii="Times New Roman" w:eastAsia="Times New Roman" w:hAnsi="Times New Roman" w:cs="Times New Roman"/>
                <w:sz w:val="24"/>
                <w:szCs w:val="24"/>
                <w:lang w:val="ro-RO"/>
              </w:rPr>
              <w:t xml:space="preserve">energie </w:t>
            </w:r>
            <w:r w:rsidR="00992E27" w:rsidRPr="00992E27">
              <w:rPr>
                <w:rFonts w:ascii="Times New Roman" w:eastAsia="Times New Roman" w:hAnsi="Times New Roman" w:cs="Times New Roman"/>
                <w:sz w:val="24"/>
                <w:szCs w:val="24"/>
                <w:lang w:val="ro-RO"/>
              </w:rPr>
              <w:t>(Edry, Edry1/2, Egdry, Egdry1/2, Egdry,a Egdry1/2,a)</w:t>
            </w:r>
            <w:r w:rsidR="00992E27">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al programului standard pentru bumbac cu încărcătură completă și parțială;</w:t>
            </w:r>
          </w:p>
          <w:p w:rsidR="002C4598" w:rsidRDefault="002C4598" w:rsidP="002C4598">
            <w:pPr>
              <w:spacing w:after="0" w:line="240" w:lineRule="auto"/>
              <w:jc w:val="both"/>
              <w:rPr>
                <w:rFonts w:ascii="Times New Roman" w:eastAsia="Times New Roman" w:hAnsi="Times New Roman" w:cs="Times New Roman"/>
                <w:sz w:val="24"/>
                <w:szCs w:val="24"/>
                <w:lang w:val="ro-RO"/>
              </w:rPr>
            </w:pPr>
          </w:p>
          <w:p w:rsidR="00526C4A" w:rsidRPr="002C4598" w:rsidRDefault="00526C4A"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pentru uscătoare de rufe de uz casnic cu tambur alimentate cu gaz:</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consumul anua</w:t>
            </w:r>
            <w:r w:rsidR="0050756F">
              <w:rPr>
                <w:rFonts w:ascii="Times New Roman" w:eastAsia="Times New Roman" w:hAnsi="Times New Roman" w:cs="Times New Roman"/>
                <w:sz w:val="24"/>
                <w:szCs w:val="24"/>
                <w:lang w:val="ro-RO"/>
              </w:rPr>
              <w:t>l ponderat de energie [AEC(GAS)</w:t>
            </w:r>
            <w:r w:rsidRPr="002C4598">
              <w:rPr>
                <w:rFonts w:ascii="Times New Roman" w:eastAsia="Times New Roman" w:hAnsi="Times New Roman" w:cs="Times New Roman"/>
                <w:sz w:val="24"/>
                <w:szCs w:val="24"/>
                <w:lang w:val="ro-RO"/>
              </w:rPr>
              <w:t>], rotunjit în sus la o zecimală; acesta este descris drept: «Consum de energie „X” kWh-Gaz pe an, bazat pe 160 de cicluri de uscare efectuate cu programul standard pentru bumbac, cu încărcătură completă și parțială.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și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 xml:space="preserve">consumul anual </w:t>
            </w:r>
            <w:r w:rsidR="0050756F">
              <w:rPr>
                <w:rFonts w:ascii="Times New Roman" w:eastAsia="Times New Roman" w:hAnsi="Times New Roman" w:cs="Times New Roman"/>
                <w:sz w:val="24"/>
                <w:szCs w:val="24"/>
                <w:lang w:val="ro-RO"/>
              </w:rPr>
              <w:t>ponderat de energie [AEC(GAS)el</w:t>
            </w:r>
            <w:r w:rsidRPr="002C4598">
              <w:rPr>
                <w:rFonts w:ascii="Times New Roman" w:eastAsia="Times New Roman" w:hAnsi="Times New Roman" w:cs="Times New Roman"/>
                <w:sz w:val="24"/>
                <w:szCs w:val="24"/>
                <w:lang w:val="ro-RO"/>
              </w:rPr>
              <w:t xml:space="preserve">], rotunjit în sus la o zecimală; acesta este descris drept: «Consum de energie „X” kWh pe an, bazat pe 160 de cicluri de uscare efectuate cu programul standard pentru bumbac, cu încărcătură completă și parțială și pe consumul în modurile cu </w:t>
            </w:r>
            <w:r w:rsidRPr="002C4598">
              <w:rPr>
                <w:rFonts w:ascii="Times New Roman" w:eastAsia="Times New Roman" w:hAnsi="Times New Roman" w:cs="Times New Roman"/>
                <w:sz w:val="24"/>
                <w:szCs w:val="24"/>
                <w:lang w:val="ro-RO"/>
              </w:rPr>
              <w:lastRenderedPageBreak/>
              <w:t>consum redus de putere.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4.</w:t>
            </w:r>
            <w:r w:rsidR="0050756F">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Anexa IV se rectifică după cum urmează:</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50756F" w:rsidP="002C459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002C4598" w:rsidRPr="002C4598">
              <w:rPr>
                <w:rFonts w:ascii="Times New Roman" w:eastAsia="Times New Roman" w:hAnsi="Times New Roman" w:cs="Times New Roman"/>
                <w:sz w:val="24"/>
                <w:szCs w:val="24"/>
                <w:lang w:val="ro-RO"/>
              </w:rPr>
              <w:t>la punctul 1, litera (d) se înlocuiește cu următorul text:</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50756F" w:rsidP="002C459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 </w:t>
            </w:r>
            <w:r w:rsidR="002C4598" w:rsidRPr="002C4598">
              <w:rPr>
                <w:rFonts w:ascii="Times New Roman" w:eastAsia="Times New Roman" w:hAnsi="Times New Roman" w:cs="Times New Roman"/>
                <w:sz w:val="24"/>
                <w:szCs w:val="24"/>
                <w:lang w:val="ro-RO"/>
              </w:rPr>
              <w:t>pentru uscătoare de rufe de uz casnic cu tambur alimentate de la rețeaua electrică:</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consumul anual ponderat de energie (AEC ), rotunjit în sus la cel mai apropiat număr întreg, care trebuie exprimat după cum urmează: «Consum de energie „X” kWh pe an, bazat pe 160 de cicluri standard de uscare efectuate cu programele standard pentru bumbac, cu încărcătură completă și parțială, și pe consumul în modurile cu consum redus de putere.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pentru uscătoare de rufe de uz casnic cu tambur alimentate cu gaz:</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consumul anual ponde</w:t>
            </w:r>
            <w:r w:rsidR="0050756F">
              <w:rPr>
                <w:rFonts w:ascii="Times New Roman" w:eastAsia="Times New Roman" w:hAnsi="Times New Roman" w:cs="Times New Roman"/>
                <w:sz w:val="24"/>
                <w:szCs w:val="24"/>
                <w:lang w:val="ro-RO"/>
              </w:rPr>
              <w:t>rat de energie [AEC(GAS)</w:t>
            </w:r>
            <w:r w:rsidRPr="002C4598">
              <w:rPr>
                <w:rFonts w:ascii="Times New Roman" w:eastAsia="Times New Roman" w:hAnsi="Times New Roman" w:cs="Times New Roman"/>
                <w:sz w:val="24"/>
                <w:szCs w:val="24"/>
                <w:lang w:val="ro-RO"/>
              </w:rPr>
              <w:t xml:space="preserve">], rotunjit în sus la o zecimală; acesta este descris drept: «Consum de energie „X” kWh-Gaz pe </w:t>
            </w:r>
            <w:r w:rsidRPr="002C4598">
              <w:rPr>
                <w:rFonts w:ascii="Times New Roman" w:eastAsia="Times New Roman" w:hAnsi="Times New Roman" w:cs="Times New Roman"/>
                <w:sz w:val="24"/>
                <w:szCs w:val="24"/>
                <w:lang w:val="ro-RO"/>
              </w:rPr>
              <w:lastRenderedPageBreak/>
              <w:t>an, bazat pe 160 de cicluri de uscare efectuate cu programul standard pentru bumbac, cu încărcătură completă și parțială.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și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 xml:space="preserve">consumul anual </w:t>
            </w:r>
            <w:r w:rsidR="0050756F">
              <w:rPr>
                <w:rFonts w:ascii="Times New Roman" w:eastAsia="Times New Roman" w:hAnsi="Times New Roman" w:cs="Times New Roman"/>
                <w:sz w:val="24"/>
                <w:szCs w:val="24"/>
                <w:lang w:val="ro-RO"/>
              </w:rPr>
              <w:t>ponderat de energie [AEC(GAS)el</w:t>
            </w:r>
            <w:r w:rsidRPr="002C4598">
              <w:rPr>
                <w:rFonts w:ascii="Times New Roman" w:eastAsia="Times New Roman" w:hAnsi="Times New Roman" w:cs="Times New Roman"/>
                <w:sz w:val="24"/>
                <w:szCs w:val="24"/>
                <w:lang w:val="ro-RO"/>
              </w:rPr>
              <w:t>],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(b)</w:t>
            </w:r>
            <w:r>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la punctul 1, litera (f) se înlocuiește cu următorul text:</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sidRPr="002C4598">
              <w:rPr>
                <w:rFonts w:ascii="Times New Roman" w:eastAsia="Times New Roman" w:hAnsi="Times New Roman" w:cs="Times New Roman"/>
                <w:sz w:val="24"/>
                <w:szCs w:val="24"/>
                <w:lang w:val="ro-RO"/>
              </w:rPr>
              <w:t>„(f)</w:t>
            </w:r>
            <w:r>
              <w:rPr>
                <w:rFonts w:ascii="Times New Roman" w:eastAsia="Times New Roman" w:hAnsi="Times New Roman" w:cs="Times New Roman"/>
                <w:sz w:val="24"/>
                <w:szCs w:val="24"/>
                <w:lang w:val="ro-RO"/>
              </w:rPr>
              <w:t xml:space="preserve"> </w:t>
            </w:r>
            <w:r w:rsidRPr="002C4598">
              <w:rPr>
                <w:rFonts w:ascii="Times New Roman" w:eastAsia="Times New Roman" w:hAnsi="Times New Roman" w:cs="Times New Roman"/>
                <w:sz w:val="24"/>
                <w:szCs w:val="24"/>
                <w:lang w:val="ro-RO"/>
              </w:rPr>
              <w:t xml:space="preserve">consumul de </w:t>
            </w:r>
            <w:r w:rsidR="00992E27">
              <w:rPr>
                <w:rFonts w:ascii="Times New Roman" w:eastAsia="Times New Roman" w:hAnsi="Times New Roman" w:cs="Times New Roman"/>
                <w:sz w:val="24"/>
                <w:szCs w:val="24"/>
                <w:lang w:val="ro-RO"/>
              </w:rPr>
              <w:t xml:space="preserve">energie </w:t>
            </w:r>
            <w:r w:rsidR="00992E27" w:rsidRPr="00992E27">
              <w:rPr>
                <w:rFonts w:ascii="Times New Roman" w:eastAsia="Times New Roman" w:hAnsi="Times New Roman" w:cs="Times New Roman"/>
                <w:sz w:val="24"/>
                <w:szCs w:val="24"/>
                <w:lang w:val="ro-RO"/>
              </w:rPr>
              <w:t>(Edry, Edry1/2, Egdry, Egdry1/2, Egdry,a Egdry1/2,a)</w:t>
            </w:r>
            <w:r w:rsidRPr="002C4598">
              <w:rPr>
                <w:rFonts w:ascii="Times New Roman" w:eastAsia="Times New Roman" w:hAnsi="Times New Roman" w:cs="Times New Roman"/>
                <w:sz w:val="24"/>
                <w:szCs w:val="24"/>
                <w:lang w:val="ro-RO"/>
              </w:rPr>
              <w:t xml:space="preserve"> al programului standard pentru bumbac cu încărcătură completă și parțială, rotunjit în sus la două zecimale și calculat în conformitate cu anexa VII;”.</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5. </w:t>
            </w:r>
            <w:r w:rsidRPr="002C4598">
              <w:rPr>
                <w:rFonts w:ascii="Times New Roman" w:eastAsia="Times New Roman" w:hAnsi="Times New Roman" w:cs="Times New Roman"/>
                <w:sz w:val="24"/>
                <w:szCs w:val="24"/>
                <w:lang w:val="ro-RO"/>
              </w:rPr>
              <w:t>În anexa VI, la punctul 2, al doilea paragraf se înlocuiește cu următorul text:</w:t>
            </w:r>
          </w:p>
          <w:p w:rsidR="002C4598" w:rsidRPr="002C4598" w:rsidRDefault="002C4598" w:rsidP="002C4598">
            <w:pPr>
              <w:spacing w:after="0" w:line="240" w:lineRule="auto"/>
              <w:jc w:val="both"/>
              <w:rPr>
                <w:rFonts w:ascii="Times New Roman" w:eastAsia="Times New Roman" w:hAnsi="Times New Roman" w:cs="Times New Roman"/>
                <w:sz w:val="24"/>
                <w:szCs w:val="24"/>
                <w:lang w:val="ro-RO"/>
              </w:rPr>
            </w:pPr>
          </w:p>
          <w:p w:rsidR="002C4598" w:rsidRPr="00BF7129" w:rsidRDefault="002C4598" w:rsidP="002C4598">
            <w:pPr>
              <w:spacing w:after="0" w:line="240" w:lineRule="auto"/>
              <w:jc w:val="both"/>
              <w:rPr>
                <w:rFonts w:ascii="Times New Roman" w:eastAsia="Times New Roman" w:hAnsi="Times New Roman" w:cs="Times New Roman"/>
                <w:b/>
                <w:sz w:val="24"/>
                <w:szCs w:val="24"/>
                <w:lang w:val="ro-RO"/>
              </w:rPr>
            </w:pPr>
            <w:r w:rsidRPr="002C4598">
              <w:rPr>
                <w:rFonts w:ascii="Times New Roman" w:eastAsia="Times New Roman" w:hAnsi="Times New Roman" w:cs="Times New Roman"/>
                <w:sz w:val="24"/>
                <w:szCs w:val="24"/>
                <w:lang w:val="ro-RO"/>
              </w:rPr>
              <w:t>„Eficiența ponderată a condensării (Ct ) a unui uscător de rufe de uz casnic cu tambur cu acțiune de condensare se determină în conformitate cu anexa VII punctul 3”.</w:t>
            </w:r>
          </w:p>
        </w:tc>
        <w:tc>
          <w:tcPr>
            <w:tcW w:w="1400" w:type="pct"/>
            <w:shd w:val="clear" w:color="auto" w:fill="auto"/>
          </w:tcPr>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992E27" w:rsidRDefault="00992E27" w:rsidP="00A640E5">
            <w:pPr>
              <w:spacing w:after="0" w:line="240" w:lineRule="auto"/>
              <w:jc w:val="both"/>
              <w:rPr>
                <w:rFonts w:ascii="Times New Roman" w:eastAsia="Times New Roman" w:hAnsi="Times New Roman" w:cs="Times New Roman"/>
                <w:b/>
                <w:sz w:val="24"/>
                <w:szCs w:val="24"/>
                <w:lang w:val="ro-RO"/>
              </w:rPr>
            </w:pPr>
          </w:p>
          <w:p w:rsidR="002C4598" w:rsidRPr="004C19FF" w:rsidRDefault="002C4598" w:rsidP="00A640E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R</w:t>
            </w:r>
            <w:r w:rsidRPr="004C19FF">
              <w:rPr>
                <w:rFonts w:ascii="Times New Roman" w:eastAsia="Times New Roman" w:hAnsi="Times New Roman" w:cs="Times New Roman"/>
                <w:b/>
                <w:sz w:val="24"/>
                <w:szCs w:val="24"/>
                <w:lang w:val="ro-RO"/>
              </w:rPr>
              <w:t>EGULAMENT</w:t>
            </w:r>
          </w:p>
          <w:p w:rsidR="002C4598" w:rsidRDefault="002C4598" w:rsidP="00A640E5">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sz w:val="24"/>
                <w:szCs w:val="24"/>
                <w:lang w:val="ro-RO"/>
              </w:rPr>
              <w:lastRenderedPageBreak/>
              <w:t xml:space="preserve">cu privire la etichetarea energetică a </w:t>
            </w:r>
            <w:r w:rsidRPr="0009768F">
              <w:rPr>
                <w:rFonts w:ascii="Times New Roman" w:eastAsia="Times New Roman" w:hAnsi="Times New Roman" w:cs="Times New Roman"/>
                <w:b/>
                <w:sz w:val="24"/>
                <w:szCs w:val="24"/>
                <w:lang w:val="ro-RO"/>
              </w:rPr>
              <w:t>uscătoarelor de rufe de uz casnic cu tambur</w:t>
            </w:r>
          </w:p>
          <w:p w:rsidR="00322553" w:rsidRPr="00322553" w:rsidRDefault="00322553" w:rsidP="00A640E5">
            <w:pPr>
              <w:spacing w:after="0" w:line="240" w:lineRule="auto"/>
              <w:jc w:val="both"/>
              <w:rPr>
                <w:rFonts w:ascii="Times New Roman" w:eastAsia="Times New Roman" w:hAnsi="Times New Roman" w:cs="Times New Roman"/>
                <w:sz w:val="24"/>
                <w:szCs w:val="24"/>
                <w:lang w:val="ro-RO"/>
              </w:rPr>
            </w:pPr>
          </w:p>
          <w:p w:rsidR="00322553" w:rsidRPr="00322553" w:rsidRDefault="00322553" w:rsidP="00A640E5">
            <w:pPr>
              <w:spacing w:after="0" w:line="240" w:lineRule="auto"/>
              <w:jc w:val="both"/>
              <w:rPr>
                <w:rFonts w:ascii="Times New Roman" w:eastAsia="Times New Roman" w:hAnsi="Times New Roman" w:cs="Times New Roman"/>
                <w:sz w:val="24"/>
                <w:szCs w:val="24"/>
                <w:lang w:val="ro-RO"/>
              </w:rPr>
            </w:pPr>
          </w:p>
          <w:p w:rsid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2) În anexa nr.1, la punctul 1.1, subpunctul IV se înlocuiește cu următorul text:</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„IV.consumul anual ponderat de energie (AEC ) în kWh/an, rotunjit în sus la cel mai apropiat număr întreg și calculat în conformitate cu anexa VII;”.</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3) În anexa nr.2, la punctul 1, litera f) se înlocuiește cu următorul text:</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„(f) pentru uscătoare de rufe de uz casnic cu tambur alimentate de la rețeaua electrică:</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consumul anual ponderat de energie (AEC),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pentru uscătoare de rufe de uz casnic cu tambur alimentate cu gaz:</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consumul anual ponderat de energie [AEC(GAS)], rotunjit în sus la o zecimală; acesta este descris drept: «Consum de energie „X” kWh-Gaz pe an, bazat pe 160 de cicluri de uscare efectuate cu programul standard pentru bumbac, cu încărcătură completă și parțială. Consumul efectiv de energie depinde de modul de utilizare a aparatului.»;</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Default="00526C4A"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Ș</w:t>
            </w:r>
            <w:r w:rsidR="00322553" w:rsidRPr="00322553">
              <w:rPr>
                <w:rFonts w:ascii="Times New Roman" w:eastAsia="Times New Roman" w:hAnsi="Times New Roman" w:cs="Times New Roman"/>
                <w:sz w:val="24"/>
                <w:szCs w:val="24"/>
                <w:lang w:val="ro-RO"/>
              </w:rPr>
              <w:t>i</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consumul anual ponderat de energie [AEC(GAS)el],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4) În anexa nr.3, la punctul 1 litera f), subpunctul (i) se înlocuiește cu următorul text:</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lastRenderedPageBreak/>
              <w:t>„(i) pentru uscătoare de rufe de uz casnic cu tambur alimentate de la rețeaua electrică:</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consumul de energie (Edry, Edry1/2, Egdry, Egdry1/2, Egdry,a Egdry1/2,a) al programului standard pentru bumbac cu încărcătură completă și parțială;</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pentru uscătoare de rufe de uz casnic cu tambur alimentate cu gaz:</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consumul anual ponderat de energie [AEC(GAS) ], rotunjit în sus la o zecimală; acesta este descris drept: «Consum de energie „X” kWh-Gaz pe an, bazat pe 160 de cicluri de uscare efectuate cu programul standard pentru bumbac, cu încărcătură completă și parțială. Consumul efectiv de energie depinde de modul de utilizare a aparatului.»;</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și</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xml:space="preserve">consumul anual ponderat de energie [AEC(GAS)el ], rotunjit în sus la o zecimală; acesta este descris drept: «Consum de energie „X” kWh pe an, bazat pe 160 de cicluri de uscare efectuate cu programul standard pentru bumbac, cu încărcătură completă și parțială și pe consumul în modurile cu </w:t>
            </w:r>
            <w:r w:rsidRPr="00322553">
              <w:rPr>
                <w:rFonts w:ascii="Times New Roman" w:eastAsia="Times New Roman" w:hAnsi="Times New Roman" w:cs="Times New Roman"/>
                <w:sz w:val="24"/>
                <w:szCs w:val="24"/>
                <w:lang w:val="ro-RO"/>
              </w:rPr>
              <w:lastRenderedPageBreak/>
              <w:t>consum redus de putere. Consumul efectiv de energie depinde de modul de utilizare a aparatului.»;”.</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5) Anexa nr.4 se rectifică după cum urmează:</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a) la punctul 1, litera d) se înlocuiește cu următorul text:</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«d) pentru uscătoare de rufe de uz casnic cu tambur alimentate de la rețeaua electrică:</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consumul anual ponderat de energie (AEC ), rotunjit în sus la cel mai apropiat număr întreg, care trebuie exprimat după cum urmează: «Consum de energie „X” kWh pe an, bazat pe 160 de cicluri standard de uscare efectuate cu programele standard pentru bumbac, cu încărcătură completă și parțială, și pe consumul în modurile cu consum redus de putere. Consumul efectiv de energie depinde de modul de utilizare a aparatului.»;</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pentru uscătoare de rufe de uz casnic cu tambur alimentate cu gaz:</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xml:space="preserve">- consumul anual ponderat de energie [AEC(GAS) ], rotunjit în sus la o zecimală; acesta este descris drept: «Consum de energie „X” kWh-Gaz pe </w:t>
            </w:r>
            <w:r w:rsidRPr="00322553">
              <w:rPr>
                <w:rFonts w:ascii="Times New Roman" w:eastAsia="Times New Roman" w:hAnsi="Times New Roman" w:cs="Times New Roman"/>
                <w:sz w:val="24"/>
                <w:szCs w:val="24"/>
                <w:lang w:val="ro-RO"/>
              </w:rPr>
              <w:lastRenderedPageBreak/>
              <w:t>an, bazat pe 160 de cicluri de uscare efectuate cu programul standard pentru bumbac, cu încărcătură completă și parțială. Consumul efectiv de energie depinde de modul de utilizare a aparatului.»;</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Default="00526C4A"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Ș</w:t>
            </w:r>
            <w:r w:rsidR="00322553" w:rsidRPr="00322553">
              <w:rPr>
                <w:rFonts w:ascii="Times New Roman" w:eastAsia="Times New Roman" w:hAnsi="Times New Roman" w:cs="Times New Roman"/>
                <w:sz w:val="24"/>
                <w:szCs w:val="24"/>
                <w:lang w:val="ro-RO"/>
              </w:rPr>
              <w:t>i</w:t>
            </w:r>
          </w:p>
          <w:p w:rsidR="00526C4A" w:rsidRPr="00322553" w:rsidRDefault="00526C4A"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consumul anual ponderat de energie [AEC(GAS)el ], rotunjit în sus la o zecimală; acesta este descris drept: «Consum de energie „X” kWh pe an, bazat pe 160 de cicluri de uscare efectuate cu programul standard pentru bumbac, cu încărcătură completă și parțială și pe consumul în modurile cu consum redus de putere. Consumul efectiv de energie depinde de modul de utilizare a aparatului.»;»;</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b) la punctul 1, litera f) se înlocuiește cu următorul text:</w:t>
            </w:r>
          </w:p>
          <w:p w:rsidR="00322553" w:rsidRPr="00322553" w:rsidRDefault="00322553" w:rsidP="00322553">
            <w:pPr>
              <w:spacing w:after="0" w:line="240" w:lineRule="auto"/>
              <w:jc w:val="both"/>
              <w:rPr>
                <w:rFonts w:ascii="Times New Roman" w:eastAsia="Times New Roman" w:hAnsi="Times New Roman" w:cs="Times New Roman"/>
                <w:sz w:val="24"/>
                <w:szCs w:val="24"/>
                <w:lang w:val="ro-RO"/>
              </w:rPr>
            </w:pPr>
          </w:p>
          <w:p w:rsidR="00322553" w:rsidRDefault="00322553" w:rsidP="00322553">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„f) consumul de energie (Edry, Edry1/2, Egdry, Egdry1/2, Egdry,a Egdry1/2,a) al programului standard pentru bumbac cu încărcătură completă și parțială, rotunjit în sus la două zecimale</w:t>
            </w:r>
            <w:r w:rsidRPr="00322553">
              <w:rPr>
                <w:rFonts w:ascii="Times New Roman" w:eastAsia="Times New Roman" w:hAnsi="Times New Roman" w:cs="Times New Roman"/>
                <w:b/>
                <w:sz w:val="24"/>
                <w:szCs w:val="24"/>
                <w:lang w:val="ro-RO"/>
              </w:rPr>
              <w:t xml:space="preserve"> </w:t>
            </w:r>
            <w:r w:rsidRPr="00526C4A">
              <w:rPr>
                <w:rFonts w:ascii="Times New Roman" w:eastAsia="Times New Roman" w:hAnsi="Times New Roman" w:cs="Times New Roman"/>
                <w:sz w:val="24"/>
                <w:szCs w:val="24"/>
                <w:lang w:val="ro-RO"/>
              </w:rPr>
              <w:t>și calculat în conformitate cu anexa nr.7 la prezentul Regulament;”.</w:t>
            </w:r>
          </w:p>
          <w:p w:rsidR="00526C4A" w:rsidRDefault="00526C4A" w:rsidP="00322553">
            <w:pPr>
              <w:spacing w:after="0" w:line="240" w:lineRule="auto"/>
              <w:jc w:val="both"/>
              <w:rPr>
                <w:rFonts w:ascii="Times New Roman" w:eastAsia="Times New Roman" w:hAnsi="Times New Roman" w:cs="Times New Roman"/>
                <w:sz w:val="24"/>
                <w:szCs w:val="24"/>
                <w:lang w:val="ro-RO"/>
              </w:rPr>
            </w:pPr>
          </w:p>
          <w:p w:rsidR="00526C4A" w:rsidRPr="00D721F5" w:rsidRDefault="00526C4A" w:rsidP="00526C4A">
            <w:pPr>
              <w:spacing w:after="0" w:line="240" w:lineRule="auto"/>
              <w:jc w:val="both"/>
              <w:rPr>
                <w:rFonts w:ascii="Times New Roman" w:eastAsia="Times New Roman" w:hAnsi="Times New Roman" w:cs="Times New Roman"/>
                <w:sz w:val="24"/>
                <w:szCs w:val="24"/>
                <w:lang w:val="ro-RO"/>
              </w:rPr>
            </w:pPr>
            <w:r w:rsidRPr="00D721F5">
              <w:rPr>
                <w:rFonts w:ascii="Times New Roman" w:eastAsia="Times New Roman" w:hAnsi="Times New Roman" w:cs="Times New Roman"/>
                <w:sz w:val="24"/>
                <w:szCs w:val="24"/>
                <w:lang w:val="ro-RO"/>
              </w:rPr>
              <w:lastRenderedPageBreak/>
              <w:t>7) În anexa nr.6, la punctul 2, al doilea paragraf se înlocuiește cu următorul text:</w:t>
            </w:r>
          </w:p>
          <w:p w:rsidR="00526C4A" w:rsidRPr="00D721F5" w:rsidRDefault="00526C4A" w:rsidP="00526C4A">
            <w:pPr>
              <w:spacing w:after="0" w:line="240" w:lineRule="auto"/>
              <w:jc w:val="both"/>
              <w:rPr>
                <w:rFonts w:ascii="Times New Roman" w:eastAsia="Times New Roman" w:hAnsi="Times New Roman" w:cs="Times New Roman"/>
                <w:sz w:val="24"/>
                <w:szCs w:val="24"/>
                <w:lang w:val="ro-RO"/>
              </w:rPr>
            </w:pPr>
          </w:p>
          <w:p w:rsidR="00526C4A" w:rsidRPr="00BF7129" w:rsidRDefault="00526C4A" w:rsidP="00526C4A">
            <w:pPr>
              <w:spacing w:after="0" w:line="240" w:lineRule="auto"/>
              <w:jc w:val="both"/>
              <w:rPr>
                <w:rFonts w:ascii="Times New Roman" w:eastAsia="Times New Roman" w:hAnsi="Times New Roman" w:cs="Times New Roman"/>
                <w:b/>
                <w:sz w:val="24"/>
                <w:szCs w:val="24"/>
                <w:lang w:val="ro-RO"/>
              </w:rPr>
            </w:pPr>
            <w:r w:rsidRPr="00D721F5">
              <w:rPr>
                <w:rFonts w:ascii="Times New Roman" w:eastAsia="Times New Roman" w:hAnsi="Times New Roman" w:cs="Times New Roman"/>
                <w:sz w:val="24"/>
                <w:szCs w:val="24"/>
                <w:lang w:val="ro-RO"/>
              </w:rPr>
              <w:t>„Eficiența ponderată a condensării (Ct ) a unui uscător de rufe de uz casnic cu tambur cu acțiune de condensare se determină în conformitate cu punctul 3 din  anexa nr.7  la prezentul Regulament”.</w:t>
            </w:r>
          </w:p>
        </w:tc>
        <w:tc>
          <w:tcPr>
            <w:tcW w:w="622" w:type="pct"/>
            <w:shd w:val="clear" w:color="auto" w:fill="auto"/>
          </w:tcPr>
          <w:p w:rsidR="002C4598" w:rsidRDefault="002C4598" w:rsidP="00A640E5">
            <w:pPr>
              <w:spacing w:after="0" w:line="240" w:lineRule="auto"/>
              <w:jc w:val="center"/>
              <w:rPr>
                <w:rFonts w:ascii="Times New Roman" w:eastAsia="Times New Roman" w:hAnsi="Times New Roman" w:cs="Times New Roman"/>
                <w:b/>
                <w:sz w:val="24"/>
                <w:szCs w:val="24"/>
                <w:lang w:val="ro-RO"/>
              </w:rPr>
            </w:pPr>
          </w:p>
          <w:p w:rsidR="002C4598" w:rsidRDefault="002C4598"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Default="007865FA" w:rsidP="00A640E5">
            <w:pPr>
              <w:jc w:val="center"/>
              <w:rPr>
                <w:rFonts w:ascii="Times New Roman" w:eastAsia="Times New Roman" w:hAnsi="Times New Roman" w:cs="Times New Roman"/>
                <w:sz w:val="24"/>
                <w:szCs w:val="24"/>
                <w:lang w:val="ro-RO"/>
              </w:rPr>
            </w:pPr>
          </w:p>
          <w:p w:rsidR="007865FA" w:rsidRPr="004C19FF" w:rsidRDefault="007865FA" w:rsidP="007865FA">
            <w:pP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476" w:type="pct"/>
            <w:shd w:val="clear" w:color="auto" w:fill="auto"/>
          </w:tcPr>
          <w:p w:rsidR="002C4598" w:rsidRPr="00BF7129" w:rsidRDefault="002C4598" w:rsidP="00A640E5">
            <w:pPr>
              <w:spacing w:after="0" w:line="240" w:lineRule="auto"/>
              <w:jc w:val="center"/>
              <w:rPr>
                <w:rFonts w:ascii="Times New Roman" w:eastAsia="Times New Roman" w:hAnsi="Times New Roman" w:cs="Times New Roman"/>
                <w:b/>
                <w:sz w:val="24"/>
                <w:szCs w:val="24"/>
                <w:lang w:val="ro-RO"/>
              </w:rPr>
            </w:pPr>
          </w:p>
        </w:tc>
        <w:tc>
          <w:tcPr>
            <w:tcW w:w="519" w:type="pct"/>
            <w:shd w:val="clear" w:color="auto" w:fill="auto"/>
          </w:tcPr>
          <w:p w:rsidR="002C4598" w:rsidRDefault="002C4598" w:rsidP="00A640E5">
            <w:pPr>
              <w:spacing w:after="0" w:line="240" w:lineRule="auto"/>
              <w:jc w:val="center"/>
              <w:rPr>
                <w:rFonts w:ascii="Times New Roman" w:eastAsia="Times New Roman" w:hAnsi="Times New Roman" w:cs="Times New Roman"/>
                <w:b/>
                <w:sz w:val="24"/>
                <w:szCs w:val="24"/>
                <w:lang w:val="ro-RO"/>
              </w:rPr>
            </w:pPr>
          </w:p>
          <w:p w:rsidR="00322553" w:rsidRDefault="00322553" w:rsidP="00A640E5">
            <w:pPr>
              <w:spacing w:after="0" w:line="240" w:lineRule="auto"/>
              <w:jc w:val="center"/>
              <w:rPr>
                <w:rFonts w:ascii="Times New Roman" w:eastAsia="Times New Roman" w:hAnsi="Times New Roman" w:cs="Times New Roman"/>
                <w:b/>
                <w:sz w:val="24"/>
                <w:szCs w:val="24"/>
                <w:lang w:val="ro-RO"/>
              </w:rPr>
            </w:pPr>
          </w:p>
          <w:p w:rsidR="00322553" w:rsidRPr="00C70D7F" w:rsidRDefault="00322553" w:rsidP="00A640E5">
            <w:pPr>
              <w:spacing w:after="0" w:line="240" w:lineRule="auto"/>
              <w:jc w:val="center"/>
              <w:rPr>
                <w:rFonts w:ascii="Times New Roman" w:eastAsia="Times New Roman" w:hAnsi="Times New Roman" w:cs="Times New Roman"/>
                <w:b/>
                <w:sz w:val="20"/>
                <w:szCs w:val="20"/>
                <w:lang w:val="ro-RO"/>
              </w:rPr>
            </w:pPr>
            <w:r w:rsidRPr="00C70D7F">
              <w:rPr>
                <w:rFonts w:ascii="Times New Roman" w:eastAsia="Times New Roman" w:hAnsi="Times New Roman" w:cs="Times New Roman"/>
                <w:sz w:val="20"/>
                <w:szCs w:val="20"/>
                <w:lang w:val="ro-RO"/>
              </w:rPr>
              <w:t>Se transpune doar anexa nr. VI din Regulamentul UE, dat fiin</w:t>
            </w:r>
            <w:r w:rsidR="00C70D7F">
              <w:rPr>
                <w:rFonts w:ascii="Times New Roman" w:eastAsia="Times New Roman" w:hAnsi="Times New Roman" w:cs="Times New Roman"/>
                <w:sz w:val="20"/>
                <w:szCs w:val="20"/>
                <w:lang w:val="ro-RO"/>
              </w:rPr>
              <w:t>d</w:t>
            </w:r>
            <w:bookmarkStart w:id="0" w:name="_GoBack"/>
            <w:bookmarkEnd w:id="0"/>
            <w:r w:rsidRPr="00C70D7F">
              <w:rPr>
                <w:rFonts w:ascii="Times New Roman" w:eastAsia="Times New Roman" w:hAnsi="Times New Roman" w:cs="Times New Roman"/>
                <w:sz w:val="20"/>
                <w:szCs w:val="20"/>
                <w:lang w:val="ro-RO"/>
              </w:rPr>
              <w:t xml:space="preserve"> faptul ca este regulamentul de modificare a mai multor Regulamente UE.</w:t>
            </w:r>
          </w:p>
        </w:tc>
        <w:tc>
          <w:tcPr>
            <w:tcW w:w="533" w:type="pct"/>
            <w:shd w:val="clear" w:color="auto" w:fill="auto"/>
          </w:tcPr>
          <w:p w:rsidR="002C4598" w:rsidRDefault="002C4598"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Default="00AA1E2B" w:rsidP="00A640E5">
            <w:pPr>
              <w:spacing w:after="0" w:line="240" w:lineRule="auto"/>
              <w:jc w:val="center"/>
              <w:rPr>
                <w:rFonts w:ascii="Times New Roman" w:eastAsia="Times New Roman" w:hAnsi="Times New Roman" w:cs="Times New Roman"/>
                <w:b/>
                <w:sz w:val="24"/>
                <w:szCs w:val="24"/>
                <w:lang w:val="ro-RO"/>
              </w:rPr>
            </w:pPr>
          </w:p>
          <w:p w:rsidR="00AA1E2B" w:rsidRPr="00007D10" w:rsidRDefault="00007D10" w:rsidP="00A640E5">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Ministerul Ener</w:t>
            </w:r>
            <w:r w:rsidR="00AA1E2B" w:rsidRPr="00007D10">
              <w:rPr>
                <w:rFonts w:ascii="Times New Roman" w:eastAsia="Times New Roman" w:hAnsi="Times New Roman" w:cs="Times New Roman"/>
                <w:szCs w:val="24"/>
                <w:lang w:val="ro-RO"/>
              </w:rPr>
              <w:t>giei</w:t>
            </w:r>
          </w:p>
          <w:p w:rsidR="00007D10" w:rsidRPr="00007D10" w:rsidRDefault="00007D10" w:rsidP="00A640E5">
            <w:pPr>
              <w:spacing w:after="0" w:line="240" w:lineRule="auto"/>
              <w:jc w:val="center"/>
              <w:rPr>
                <w:rFonts w:ascii="Times New Roman" w:eastAsia="Times New Roman" w:hAnsi="Times New Roman" w:cs="Times New Roman"/>
                <w:szCs w:val="24"/>
                <w:lang w:val="ro-RO"/>
              </w:rPr>
            </w:pPr>
          </w:p>
          <w:p w:rsidR="00007D10" w:rsidRP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Inspectoratul de Stat pentru Supravegherea Produselor Nealimentare și Protecția Consumatorilor</w:t>
            </w: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Default="00007D10" w:rsidP="00A640E5">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Ministerul Energiei</w:t>
            </w: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Inspectoratul de Stat pentru Supravegherea Produselor Nealimentare și Protecția Consumatorilor</w:t>
            </w: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Ministerul Energiei</w:t>
            </w: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Inspectoratul de Stat pentru Supravegherea Produselor Nealimentare și Protecția Consumatorilor</w:t>
            </w: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Ministerul Energiei</w:t>
            </w: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Inspectoratul de Stat pentru Supravegherea Produselor Nealimentare și Protecția Consumatorilor</w:t>
            </w: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Ministerul Energiei</w:t>
            </w: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t>Inspectoratul de Stat pentru Supravegherea Produselor Nealimentare și Protecția Consumatorilor</w:t>
            </w: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Default="00007D10" w:rsidP="00007D10">
            <w:pPr>
              <w:spacing w:after="0" w:line="240" w:lineRule="auto"/>
              <w:rPr>
                <w:rFonts w:ascii="Times New Roman" w:eastAsia="Times New Roman" w:hAnsi="Times New Roman" w:cs="Times New Roman"/>
                <w:szCs w:val="24"/>
                <w:lang w:val="ro-RO"/>
              </w:rPr>
            </w:pPr>
          </w:p>
          <w:p w:rsid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r w:rsidRPr="00007D10">
              <w:rPr>
                <w:rFonts w:ascii="Times New Roman" w:eastAsia="Times New Roman" w:hAnsi="Times New Roman" w:cs="Times New Roman"/>
                <w:szCs w:val="24"/>
                <w:lang w:val="ro-RO"/>
              </w:rPr>
              <w:lastRenderedPageBreak/>
              <w:t>Ministerul Energiei</w:t>
            </w: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Pr="00007D10" w:rsidRDefault="00007D10" w:rsidP="00007D10">
            <w:pPr>
              <w:spacing w:after="0" w:line="240" w:lineRule="auto"/>
              <w:jc w:val="center"/>
              <w:rPr>
                <w:rFonts w:ascii="Times New Roman" w:eastAsia="Times New Roman" w:hAnsi="Times New Roman" w:cs="Times New Roman"/>
                <w:szCs w:val="24"/>
                <w:lang w:val="ro-RO"/>
              </w:rPr>
            </w:pPr>
          </w:p>
          <w:p w:rsidR="00007D10" w:rsidRPr="00BF7129" w:rsidRDefault="00007D10" w:rsidP="00007D10">
            <w:pPr>
              <w:spacing w:after="0" w:line="240" w:lineRule="auto"/>
              <w:jc w:val="center"/>
              <w:rPr>
                <w:rFonts w:ascii="Times New Roman" w:eastAsia="Times New Roman" w:hAnsi="Times New Roman" w:cs="Times New Roman"/>
                <w:b/>
                <w:sz w:val="24"/>
                <w:szCs w:val="24"/>
                <w:lang w:val="ro-RO"/>
              </w:rPr>
            </w:pPr>
            <w:r w:rsidRPr="00007D10">
              <w:rPr>
                <w:rFonts w:ascii="Times New Roman" w:eastAsia="Times New Roman" w:hAnsi="Times New Roman" w:cs="Times New Roman"/>
                <w:szCs w:val="24"/>
                <w:lang w:val="ro-RO"/>
              </w:rPr>
              <w:t>Inspectoratul de Stat pentru Supravegherea Produselor Nealimentare și Protecția Consumatorilor</w:t>
            </w:r>
          </w:p>
        </w:tc>
      </w:tr>
    </w:tbl>
    <w:p w:rsidR="00F27D5A" w:rsidRDefault="00F27D5A"/>
    <w:sectPr w:rsidR="00F27D5A" w:rsidSect="00517EB1">
      <w:pgSz w:w="15840" w:h="12240" w:orient="landscape"/>
      <w:pgMar w:top="1440" w:right="672"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BD"/>
    <w:rsid w:val="00007D10"/>
    <w:rsid w:val="00037389"/>
    <w:rsid w:val="00062BDD"/>
    <w:rsid w:val="0009768F"/>
    <w:rsid w:val="00125399"/>
    <w:rsid w:val="00190592"/>
    <w:rsid w:val="0019469F"/>
    <w:rsid w:val="002557BD"/>
    <w:rsid w:val="002C4598"/>
    <w:rsid w:val="00322553"/>
    <w:rsid w:val="00340D33"/>
    <w:rsid w:val="004C19FF"/>
    <w:rsid w:val="004E3517"/>
    <w:rsid w:val="0050756F"/>
    <w:rsid w:val="00517EB1"/>
    <w:rsid w:val="00526C4A"/>
    <w:rsid w:val="00612086"/>
    <w:rsid w:val="00665227"/>
    <w:rsid w:val="00674371"/>
    <w:rsid w:val="00752084"/>
    <w:rsid w:val="00780308"/>
    <w:rsid w:val="007865FA"/>
    <w:rsid w:val="007B21D6"/>
    <w:rsid w:val="00804F20"/>
    <w:rsid w:val="008521A6"/>
    <w:rsid w:val="00864B81"/>
    <w:rsid w:val="0094302A"/>
    <w:rsid w:val="00962482"/>
    <w:rsid w:val="00992E27"/>
    <w:rsid w:val="009A5B4B"/>
    <w:rsid w:val="009C3870"/>
    <w:rsid w:val="00A31998"/>
    <w:rsid w:val="00A64120"/>
    <w:rsid w:val="00A724BC"/>
    <w:rsid w:val="00AA1E2B"/>
    <w:rsid w:val="00B10CD2"/>
    <w:rsid w:val="00B50513"/>
    <w:rsid w:val="00BF7129"/>
    <w:rsid w:val="00C214A2"/>
    <w:rsid w:val="00C70D7F"/>
    <w:rsid w:val="00C93DE8"/>
    <w:rsid w:val="00CC66F7"/>
    <w:rsid w:val="00CF46AE"/>
    <w:rsid w:val="00D721F5"/>
    <w:rsid w:val="00DF2C03"/>
    <w:rsid w:val="00E311C5"/>
    <w:rsid w:val="00E45F99"/>
    <w:rsid w:val="00E6102D"/>
    <w:rsid w:val="00EF7340"/>
    <w:rsid w:val="00F27D5A"/>
    <w:rsid w:val="00FF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91AE-E416-4050-977A-B56985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1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29"/>
    <w:rPr>
      <w:rFonts w:ascii="Segoe UI" w:hAnsi="Segoe UI" w:cs="Segoe UI"/>
      <w:sz w:val="18"/>
      <w:szCs w:val="18"/>
    </w:rPr>
  </w:style>
  <w:style w:type="paragraph" w:customStyle="1" w:styleId="ti-tbl">
    <w:name w:val="ti-tbl"/>
    <w:basedOn w:val="Normal"/>
    <w:rsid w:val="009C3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C3870"/>
  </w:style>
  <w:style w:type="character" w:customStyle="1" w:styleId="bold">
    <w:name w:val="bold"/>
    <w:basedOn w:val="DefaultParagraphFont"/>
    <w:rsid w:val="009C3870"/>
  </w:style>
  <w:style w:type="paragraph" w:customStyle="1" w:styleId="tbl-norm">
    <w:name w:val="tbl-norm"/>
    <w:basedOn w:val="Normal"/>
    <w:rsid w:val="00A72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A724BC"/>
  </w:style>
  <w:style w:type="character" w:customStyle="1" w:styleId="subscript">
    <w:name w:val="subscript"/>
    <w:basedOn w:val="DefaultParagraphFont"/>
    <w:rsid w:val="00A7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7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41</cp:revision>
  <dcterms:created xsi:type="dcterms:W3CDTF">2023-11-16T12:29:00Z</dcterms:created>
  <dcterms:modified xsi:type="dcterms:W3CDTF">2024-09-05T08:56:00Z</dcterms:modified>
</cp:coreProperties>
</file>