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005CA7" w:rsidRDefault="00615D25" w:rsidP="00CA0E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N</w:t>
      </w:r>
      <w:r w:rsidR="00005CA7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otă</w:t>
      </w:r>
      <w:r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005CA7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de fundamentare</w:t>
      </w:r>
    </w:p>
    <w:p w:rsidR="00713C10" w:rsidRDefault="007C7011" w:rsidP="00CA0E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la</w:t>
      </w:r>
      <w:r w:rsidR="00615D25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proiectul </w:t>
      </w:r>
      <w:r w:rsidR="00525B00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ordinului </w:t>
      </w:r>
      <w:r w:rsidR="00354D8A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cu privire la</w:t>
      </w:r>
      <w:r w:rsidR="009E4B5A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525B00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modificarea </w:t>
      </w:r>
      <w:r w:rsidR="00CA0E67" w:rsidRPr="00CA0E6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Ordinul</w:t>
      </w:r>
      <w:r w:rsidR="003C7185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ui ministrului finanțelor nr.153/2017</w:t>
      </w:r>
    </w:p>
    <w:p w:rsidR="00CA0E67" w:rsidRPr="00314048" w:rsidRDefault="00CA0E67" w:rsidP="00CA0E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7C7011" w:rsidP="00CA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Pr="003140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140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autorului şi, după caz, a participanţilor la elaborarea proiectului</w:t>
            </w:r>
            <w:r w:rsidRPr="003140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7C7011" w:rsidRPr="00314048" w:rsidRDefault="003C7185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Ministerul Finanțelor, Serviciul Fiscal de Stat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7C7011" w:rsidP="00CA0E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2.</w:t>
            </w: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Condiţiile ce au impus elaborarea proiectului de act normativ şi finalităţile urmărite  </w:t>
            </w:r>
          </w:p>
        </w:tc>
      </w:tr>
      <w:tr w:rsidR="002A3091" w:rsidRPr="00314048" w:rsidTr="0061615B">
        <w:tc>
          <w:tcPr>
            <w:tcW w:w="9918" w:type="dxa"/>
          </w:tcPr>
          <w:p w:rsidR="003C7185" w:rsidRPr="003C7185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Prin Legea nr.214/2024 pentru modificarea unor acte normative (ce vizează politica bugetar-fiscală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vamală) au fost operate modificări la art.226</w:t>
            </w:r>
            <w:r w:rsidRPr="00285F53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 xml:space="preserve">23 </w:t>
            </w:r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alin.(1) din Codul fiscal, ce vizează ajustarea benevolă  în cadrul regulilor speciale privind determinarea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preţurilor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transfer conform principiului lungimii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braţului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Astfel, în cazul în care nu respectă principiul lungimii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braţului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cadrul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tranzacţiilor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contribuabilul este în drept să efectueze ajustarea veniturilor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/sau a cheltuielilor. </w:t>
            </w:r>
          </w:p>
          <w:p w:rsidR="003C7185" w:rsidRPr="003C7185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Modificările respective au intrat în vigoare la data de 15.08.2024 și se pune în aplicare începând cu 01.01.2024.</w:t>
            </w:r>
          </w:p>
          <w:p w:rsidR="002A3091" w:rsidRPr="00167940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Astfel, proiectul ordinului nominalizat a fost elaborat în vederea asigurării posibilității contribuabililor de efectuare a ajustării benevole atât a veniturilor cât și a cheltuielilor în Declarația cu privire la impozitul pe venit pentru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agenţii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economici (forma VEN12).</w:t>
            </w:r>
          </w:p>
        </w:tc>
      </w:tr>
      <w:tr w:rsidR="00167940" w:rsidRPr="00314048" w:rsidTr="00CA0E67">
        <w:tc>
          <w:tcPr>
            <w:tcW w:w="9918" w:type="dxa"/>
            <w:shd w:val="clear" w:color="auto" w:fill="9CC2E5" w:themeFill="accent1" w:themeFillTint="99"/>
          </w:tcPr>
          <w:p w:rsidR="00167940" w:rsidRPr="005C1673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3.</w:t>
            </w: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Obiectivele urmărite și soluții propuse</w:t>
            </w:r>
          </w:p>
        </w:tc>
      </w:tr>
      <w:tr w:rsidR="00167940" w:rsidRPr="00314048" w:rsidTr="0061615B">
        <w:tc>
          <w:tcPr>
            <w:tcW w:w="9918" w:type="dxa"/>
          </w:tcPr>
          <w:p w:rsidR="003C7185" w:rsidRDefault="003C7185" w:rsidP="003C718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Modificările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propuse la Ordinul nominalizat presupun introducerea unui rând nou în Anexa 1D la Declarația VEN12 ce vizează ajustarea veniturilor și anume rândul 02020 cu următorul cuprins „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Venitul obținut în rezultatul ajustării conform art.226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23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alin.(1) din Codul fiscal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”, precum și a unui rând nou în Anexa 2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D la Declarația VEN12 ce vizează ajustarea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cheltuielilor, 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și anume rândul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03047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cu următorul cuprins „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Cheltuieli înregistrate în rezultatul ajustării conform art.226</w:t>
            </w:r>
            <w:r w:rsidRPr="003D00E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23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alin.(1) din Codul fiscal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”.</w:t>
            </w:r>
          </w:p>
          <w:p w:rsidR="00167940" w:rsidRPr="00167940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odificările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respective 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se pun în aplicare începând cu perioada fiscală de raportare 2024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200220" w:rsidRPr="00314048" w:rsidTr="00200220">
        <w:tc>
          <w:tcPr>
            <w:tcW w:w="9918" w:type="dxa"/>
            <w:shd w:val="clear" w:color="auto" w:fill="9CC2E5" w:themeFill="accent1" w:themeFillTint="99"/>
          </w:tcPr>
          <w:p w:rsidR="00200220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4. Analiza impactului de reglementare</w:t>
            </w:r>
          </w:p>
        </w:tc>
      </w:tr>
      <w:tr w:rsidR="00200220" w:rsidRPr="00314048" w:rsidTr="0061615B">
        <w:tc>
          <w:tcPr>
            <w:tcW w:w="9918" w:type="dxa"/>
          </w:tcPr>
          <w:p w:rsidR="00200220" w:rsidRPr="00314048" w:rsidRDefault="00CA0E67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-</w:t>
            </w:r>
          </w:p>
        </w:tc>
      </w:tr>
      <w:tr w:rsidR="00960B64" w:rsidRPr="00314048" w:rsidTr="00F41C9D">
        <w:tc>
          <w:tcPr>
            <w:tcW w:w="9918" w:type="dxa"/>
            <w:shd w:val="clear" w:color="auto" w:fill="9CC2E5" w:themeFill="accent1" w:themeFillTint="99"/>
          </w:tcPr>
          <w:p w:rsidR="00960B64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960B64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960B64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Compatibilitatea proiectului actului normativ cu legislația UE</w:t>
            </w:r>
            <w:r w:rsidR="00960B64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BE3F3B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Proiectul ordinului în cauză nu are drept scop armonizarea legislației naționale cu legislația Uniunii Europene.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Avizarea și consultarea publică a proiectului actului normativ </w:t>
            </w:r>
          </w:p>
        </w:tc>
      </w:tr>
      <w:tr w:rsidR="008654E1" w:rsidRPr="00314048" w:rsidTr="0061615B">
        <w:tc>
          <w:tcPr>
            <w:tcW w:w="9918" w:type="dxa"/>
          </w:tcPr>
          <w:p w:rsidR="003C7185" w:rsidRPr="003C7185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>În conformitate cu art.15 din Legea nr. 239/2008 privind transparența în procesul decizional, la data de 11 septembrie 2024, pe pagina web a Ministerului Finanțelor a fost plasat anunțul privind inițierea elaborării proiectului.</w:t>
            </w:r>
          </w:p>
          <w:p w:rsidR="00B14FF5" w:rsidRPr="00167940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Totodată, proiectul Ordinului cu privire la modificarea Ordinului Ministrului finanțelor nr.153/2017 privind aprobarea  formularului  tipizat al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>Declaraţiei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privire la impozitul pe venit pentru 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>agenţii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economici se prezintă spre consultări publice.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CA0E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Concluziile expertizelor</w:t>
            </w:r>
          </w:p>
        </w:tc>
      </w:tr>
      <w:tr w:rsidR="008654E1" w:rsidRPr="00314048" w:rsidTr="0061615B">
        <w:tc>
          <w:tcPr>
            <w:tcW w:w="9918" w:type="dxa"/>
          </w:tcPr>
          <w:p w:rsidR="00B14FF5" w:rsidRPr="00314048" w:rsidRDefault="00CA0E67" w:rsidP="00CA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>-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CA0E67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  <w:r w:rsidR="00167940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167940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Modul de încorporare </w:t>
            </w:r>
            <w:r w:rsidR="001679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 actului în cadrul normativ existent</w:t>
            </w:r>
          </w:p>
        </w:tc>
      </w:tr>
      <w:tr w:rsidR="008654E1" w:rsidRPr="00CA0E67" w:rsidTr="0061615B">
        <w:tc>
          <w:tcPr>
            <w:tcW w:w="9918" w:type="dxa"/>
          </w:tcPr>
          <w:p w:rsidR="008654E1" w:rsidRPr="00CA0E67" w:rsidRDefault="003C7185" w:rsidP="00CA0E6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0E67" w:rsidRPr="00CA0E67" w:rsidTr="00CA0E67">
        <w:tc>
          <w:tcPr>
            <w:tcW w:w="9918" w:type="dxa"/>
            <w:shd w:val="clear" w:color="auto" w:fill="9CC2E5" w:themeFill="accent1" w:themeFillTint="99"/>
          </w:tcPr>
          <w:p w:rsidR="00CA0E67" w:rsidRPr="00314048" w:rsidRDefault="00CA0E67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9</w:t>
            </w: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Măsurile necesare pentru implementarea prevederilor proiectului actului normativ</w:t>
            </w:r>
          </w:p>
        </w:tc>
      </w:tr>
      <w:tr w:rsidR="00CA0E67" w:rsidRPr="00CA0E67" w:rsidTr="0061615B">
        <w:tc>
          <w:tcPr>
            <w:tcW w:w="9918" w:type="dxa"/>
          </w:tcPr>
          <w:p w:rsidR="00CA0E67" w:rsidRPr="00CA0E67" w:rsidRDefault="003C7185" w:rsidP="00285F5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nstituția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responsabilă de implementarea modificărilor respective,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asigura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rea</w:t>
            </w:r>
            <w:r w:rsidR="00285F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respectării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vederilor Ordinului nominalizat, precum și 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>acorda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rea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suport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ului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85F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tehnic 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>în implementarea modificărilor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sistemele informaționale </w:t>
            </w:r>
            <w:r w:rsidR="00285F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raportare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o-RO"/>
              </w:rPr>
              <w:t>este Serviciul Fiscal de Stat.</w:t>
            </w:r>
          </w:p>
        </w:tc>
      </w:tr>
    </w:tbl>
    <w:p w:rsidR="00D22448" w:rsidRDefault="00D22448" w:rsidP="00713C10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A0E67" w:rsidRDefault="00CA0E67" w:rsidP="00CA0E6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1673" w:rsidRPr="00285F53" w:rsidRDefault="00CA0E67" w:rsidP="00CA0E67">
      <w:p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85F53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285F53">
        <w:rPr>
          <w:rFonts w:ascii="Times New Roman" w:hAnsi="Times New Roman"/>
          <w:b/>
          <w:sz w:val="24"/>
          <w:szCs w:val="28"/>
          <w:lang w:val="ro-RO"/>
        </w:rPr>
        <w:t xml:space="preserve">Ministru          </w:t>
      </w:r>
      <w:r w:rsidRPr="00285F53">
        <w:rPr>
          <w:rFonts w:ascii="Times New Roman" w:hAnsi="Times New Roman"/>
          <w:b/>
          <w:sz w:val="24"/>
          <w:szCs w:val="28"/>
          <w:lang w:val="ro-RO"/>
        </w:rPr>
        <w:tab/>
      </w:r>
      <w:r w:rsidRPr="00285F53">
        <w:rPr>
          <w:rFonts w:ascii="Times New Roman" w:hAnsi="Times New Roman"/>
          <w:b/>
          <w:sz w:val="24"/>
          <w:szCs w:val="28"/>
          <w:lang w:val="ro-RO"/>
        </w:rPr>
        <w:tab/>
      </w:r>
      <w:r w:rsidRPr="00285F53">
        <w:rPr>
          <w:rFonts w:ascii="Times New Roman" w:hAnsi="Times New Roman"/>
          <w:b/>
          <w:sz w:val="24"/>
          <w:szCs w:val="28"/>
          <w:lang w:val="ro-RO"/>
        </w:rPr>
        <w:tab/>
      </w:r>
      <w:r w:rsidRPr="00285F53">
        <w:rPr>
          <w:rFonts w:ascii="Times New Roman" w:hAnsi="Times New Roman"/>
          <w:b/>
          <w:sz w:val="24"/>
          <w:szCs w:val="28"/>
          <w:lang w:val="ro-RO"/>
        </w:rPr>
        <w:tab/>
        <w:t xml:space="preserve">                                          Victoria BELOUS</w:t>
      </w:r>
    </w:p>
    <w:p w:rsidR="00A537F8" w:rsidRPr="005C1673" w:rsidRDefault="00A537F8" w:rsidP="005C1673">
      <w:pPr>
        <w:rPr>
          <w:rFonts w:ascii="Times New Roman" w:hAnsi="Times New Roman"/>
          <w:sz w:val="24"/>
          <w:szCs w:val="24"/>
          <w:lang w:val="ro-RO"/>
        </w:rPr>
      </w:pPr>
    </w:p>
    <w:sectPr w:rsidR="00A537F8" w:rsidRPr="005C1673" w:rsidSect="00704ADA">
      <w:headerReference w:type="default" r:id="rId7"/>
      <w:pgSz w:w="11907" w:h="16840" w:code="9"/>
      <w:pgMar w:top="142" w:right="850" w:bottom="142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63" w:rsidRDefault="00E03463">
      <w:pPr>
        <w:spacing w:after="0" w:line="240" w:lineRule="auto"/>
      </w:pPr>
      <w:r>
        <w:separator/>
      </w:r>
    </w:p>
  </w:endnote>
  <w:endnote w:type="continuationSeparator" w:id="0">
    <w:p w:rsidR="00E03463" w:rsidRDefault="00E0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63" w:rsidRDefault="00E03463">
      <w:pPr>
        <w:spacing w:after="0" w:line="240" w:lineRule="auto"/>
      </w:pPr>
      <w:r>
        <w:separator/>
      </w:r>
    </w:p>
  </w:footnote>
  <w:footnote w:type="continuationSeparator" w:id="0">
    <w:p w:rsidR="00E03463" w:rsidRDefault="00E0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E03463" w:rsidP="000E695F">
    <w:pPr>
      <w:pStyle w:val="Header"/>
      <w:jc w:val="right"/>
      <w:rPr>
        <w:rFonts w:ascii="Times New Roman" w:hAnsi="Times New Roman"/>
        <w:i/>
      </w:rPr>
    </w:pPr>
  </w:p>
  <w:p w:rsidR="000E695F" w:rsidRDefault="00E03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13F5E54"/>
    <w:multiLevelType w:val="hybridMultilevel"/>
    <w:tmpl w:val="E65CFBBC"/>
    <w:lvl w:ilvl="0" w:tplc="067AD47A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8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E49DF"/>
    <w:multiLevelType w:val="hybridMultilevel"/>
    <w:tmpl w:val="1674AABC"/>
    <w:lvl w:ilvl="0" w:tplc="CADABA8C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7BCD30C7"/>
    <w:multiLevelType w:val="hybridMultilevel"/>
    <w:tmpl w:val="B450F498"/>
    <w:lvl w:ilvl="0" w:tplc="58B8E0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3"/>
    <w:rsid w:val="00005CA7"/>
    <w:rsid w:val="000110F1"/>
    <w:rsid w:val="00024A67"/>
    <w:rsid w:val="00046456"/>
    <w:rsid w:val="00046486"/>
    <w:rsid w:val="00082F8D"/>
    <w:rsid w:val="00086A0B"/>
    <w:rsid w:val="0009024E"/>
    <w:rsid w:val="0009524A"/>
    <w:rsid w:val="000B0D2F"/>
    <w:rsid w:val="000B491D"/>
    <w:rsid w:val="000C0430"/>
    <w:rsid w:val="000D444A"/>
    <w:rsid w:val="000E0B7A"/>
    <w:rsid w:val="00101AC0"/>
    <w:rsid w:val="001147D9"/>
    <w:rsid w:val="00136A29"/>
    <w:rsid w:val="0014676E"/>
    <w:rsid w:val="0016029F"/>
    <w:rsid w:val="00166A53"/>
    <w:rsid w:val="00167940"/>
    <w:rsid w:val="00170C48"/>
    <w:rsid w:val="0017794D"/>
    <w:rsid w:val="00180AA5"/>
    <w:rsid w:val="00195567"/>
    <w:rsid w:val="001A07B7"/>
    <w:rsid w:val="001B79B9"/>
    <w:rsid w:val="00200220"/>
    <w:rsid w:val="00202225"/>
    <w:rsid w:val="002105D3"/>
    <w:rsid w:val="002177A0"/>
    <w:rsid w:val="00227F72"/>
    <w:rsid w:val="00230E0B"/>
    <w:rsid w:val="00241890"/>
    <w:rsid w:val="002622A7"/>
    <w:rsid w:val="00264463"/>
    <w:rsid w:val="00274813"/>
    <w:rsid w:val="00285F53"/>
    <w:rsid w:val="00287371"/>
    <w:rsid w:val="002A3091"/>
    <w:rsid w:val="002B1F81"/>
    <w:rsid w:val="002D110F"/>
    <w:rsid w:val="002F631C"/>
    <w:rsid w:val="00314048"/>
    <w:rsid w:val="00317E43"/>
    <w:rsid w:val="00336094"/>
    <w:rsid w:val="00354D8A"/>
    <w:rsid w:val="00355CA9"/>
    <w:rsid w:val="00361122"/>
    <w:rsid w:val="00362318"/>
    <w:rsid w:val="00365DBB"/>
    <w:rsid w:val="003906B6"/>
    <w:rsid w:val="00396AFC"/>
    <w:rsid w:val="003A4DD3"/>
    <w:rsid w:val="003B06CD"/>
    <w:rsid w:val="003C68F3"/>
    <w:rsid w:val="003C7185"/>
    <w:rsid w:val="003E20A2"/>
    <w:rsid w:val="003F10A9"/>
    <w:rsid w:val="0040679F"/>
    <w:rsid w:val="0042080C"/>
    <w:rsid w:val="00432B78"/>
    <w:rsid w:val="00453E7D"/>
    <w:rsid w:val="00463F34"/>
    <w:rsid w:val="0048347E"/>
    <w:rsid w:val="0049732D"/>
    <w:rsid w:val="004B6438"/>
    <w:rsid w:val="004B6DB0"/>
    <w:rsid w:val="004C0C15"/>
    <w:rsid w:val="004D0552"/>
    <w:rsid w:val="004E303A"/>
    <w:rsid w:val="004E7450"/>
    <w:rsid w:val="00511A64"/>
    <w:rsid w:val="00520B85"/>
    <w:rsid w:val="00525B00"/>
    <w:rsid w:val="00543523"/>
    <w:rsid w:val="00551985"/>
    <w:rsid w:val="00552DAD"/>
    <w:rsid w:val="00562D59"/>
    <w:rsid w:val="00587B99"/>
    <w:rsid w:val="005A1D38"/>
    <w:rsid w:val="005A22FA"/>
    <w:rsid w:val="005A36E0"/>
    <w:rsid w:val="005B7717"/>
    <w:rsid w:val="005C1673"/>
    <w:rsid w:val="005E1891"/>
    <w:rsid w:val="005F1E30"/>
    <w:rsid w:val="00615D25"/>
    <w:rsid w:val="0061615B"/>
    <w:rsid w:val="0061772D"/>
    <w:rsid w:val="00621494"/>
    <w:rsid w:val="00622F22"/>
    <w:rsid w:val="00626F83"/>
    <w:rsid w:val="00646DF2"/>
    <w:rsid w:val="00647B75"/>
    <w:rsid w:val="006643D6"/>
    <w:rsid w:val="00690A6B"/>
    <w:rsid w:val="006F48C1"/>
    <w:rsid w:val="006F6E0C"/>
    <w:rsid w:val="00704ADA"/>
    <w:rsid w:val="00712AC7"/>
    <w:rsid w:val="00713C10"/>
    <w:rsid w:val="00714F72"/>
    <w:rsid w:val="00720032"/>
    <w:rsid w:val="007228CE"/>
    <w:rsid w:val="00722CE0"/>
    <w:rsid w:val="00743306"/>
    <w:rsid w:val="00762C5C"/>
    <w:rsid w:val="00770A80"/>
    <w:rsid w:val="007B29F8"/>
    <w:rsid w:val="007C7011"/>
    <w:rsid w:val="007F714C"/>
    <w:rsid w:val="007F7A6C"/>
    <w:rsid w:val="00804DB3"/>
    <w:rsid w:val="00813DFB"/>
    <w:rsid w:val="00827CC8"/>
    <w:rsid w:val="00860E80"/>
    <w:rsid w:val="008654E1"/>
    <w:rsid w:val="00865F47"/>
    <w:rsid w:val="00870157"/>
    <w:rsid w:val="00883050"/>
    <w:rsid w:val="00883F10"/>
    <w:rsid w:val="008B29EE"/>
    <w:rsid w:val="008B6EEF"/>
    <w:rsid w:val="008C1A0B"/>
    <w:rsid w:val="008C2090"/>
    <w:rsid w:val="008D3AE7"/>
    <w:rsid w:val="008E438E"/>
    <w:rsid w:val="00901C1B"/>
    <w:rsid w:val="00905946"/>
    <w:rsid w:val="00925F88"/>
    <w:rsid w:val="00932C80"/>
    <w:rsid w:val="00934EF3"/>
    <w:rsid w:val="0094356F"/>
    <w:rsid w:val="00960B64"/>
    <w:rsid w:val="00970CC2"/>
    <w:rsid w:val="009A5B92"/>
    <w:rsid w:val="009C0B31"/>
    <w:rsid w:val="009E4B5A"/>
    <w:rsid w:val="009F4148"/>
    <w:rsid w:val="009F7E9C"/>
    <w:rsid w:val="00A172B7"/>
    <w:rsid w:val="00A258F3"/>
    <w:rsid w:val="00A26CB9"/>
    <w:rsid w:val="00A537F8"/>
    <w:rsid w:val="00A56232"/>
    <w:rsid w:val="00A73707"/>
    <w:rsid w:val="00A76C63"/>
    <w:rsid w:val="00A844C6"/>
    <w:rsid w:val="00AA22CA"/>
    <w:rsid w:val="00AA697E"/>
    <w:rsid w:val="00AB1810"/>
    <w:rsid w:val="00AC13F0"/>
    <w:rsid w:val="00AD2F51"/>
    <w:rsid w:val="00AD434B"/>
    <w:rsid w:val="00AF6FB9"/>
    <w:rsid w:val="00B11479"/>
    <w:rsid w:val="00B14FF5"/>
    <w:rsid w:val="00B53EFE"/>
    <w:rsid w:val="00B6618C"/>
    <w:rsid w:val="00BD297C"/>
    <w:rsid w:val="00BD4DA6"/>
    <w:rsid w:val="00BE3F3B"/>
    <w:rsid w:val="00BF46FE"/>
    <w:rsid w:val="00C154C6"/>
    <w:rsid w:val="00C20F83"/>
    <w:rsid w:val="00C35A53"/>
    <w:rsid w:val="00C70928"/>
    <w:rsid w:val="00C74EEA"/>
    <w:rsid w:val="00C90582"/>
    <w:rsid w:val="00C97708"/>
    <w:rsid w:val="00CA0E67"/>
    <w:rsid w:val="00CC0DB3"/>
    <w:rsid w:val="00CC55B8"/>
    <w:rsid w:val="00CF5838"/>
    <w:rsid w:val="00D20C6E"/>
    <w:rsid w:val="00D22448"/>
    <w:rsid w:val="00D53DE3"/>
    <w:rsid w:val="00D61BE2"/>
    <w:rsid w:val="00D64C09"/>
    <w:rsid w:val="00D661ED"/>
    <w:rsid w:val="00D74349"/>
    <w:rsid w:val="00D94891"/>
    <w:rsid w:val="00D94A05"/>
    <w:rsid w:val="00D962FF"/>
    <w:rsid w:val="00DA060C"/>
    <w:rsid w:val="00DA43AB"/>
    <w:rsid w:val="00DB26C7"/>
    <w:rsid w:val="00DC0573"/>
    <w:rsid w:val="00E01863"/>
    <w:rsid w:val="00E03463"/>
    <w:rsid w:val="00E3205B"/>
    <w:rsid w:val="00E62050"/>
    <w:rsid w:val="00E71149"/>
    <w:rsid w:val="00E721B1"/>
    <w:rsid w:val="00E82182"/>
    <w:rsid w:val="00E951DF"/>
    <w:rsid w:val="00E975E7"/>
    <w:rsid w:val="00EB11BC"/>
    <w:rsid w:val="00EB33C7"/>
    <w:rsid w:val="00EB48DA"/>
    <w:rsid w:val="00ED028B"/>
    <w:rsid w:val="00ED3AB3"/>
    <w:rsid w:val="00ED5C8E"/>
    <w:rsid w:val="00EF26AC"/>
    <w:rsid w:val="00EF7630"/>
    <w:rsid w:val="00F245F7"/>
    <w:rsid w:val="00F41C9D"/>
    <w:rsid w:val="00F56B67"/>
    <w:rsid w:val="00F702A9"/>
    <w:rsid w:val="00F75FC1"/>
    <w:rsid w:val="00F85EE1"/>
    <w:rsid w:val="00F93E26"/>
    <w:rsid w:val="00FD47C2"/>
    <w:rsid w:val="00FD7CB8"/>
    <w:rsid w:val="00FE23B7"/>
    <w:rsid w:val="00FF2995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FCD6"/>
  <w15:docId w15:val="{CFE9AA4E-757C-4FA9-AA20-B0291503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D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nhideWhenUsed/>
    <w:rsid w:val="002105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05D3"/>
    <w:rPr>
      <w:rFonts w:ascii="Calibri" w:eastAsia="Calibri" w:hAnsi="Calibri" w:cs="Times New Roman"/>
      <w:lang w:val="en-US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2105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05D3"/>
    <w:pPr>
      <w:ind w:left="720"/>
      <w:contextualSpacing/>
    </w:pPr>
  </w:style>
  <w:style w:type="paragraph" w:styleId="NoSpacing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Normal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C1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Turcan Iulia</cp:lastModifiedBy>
  <cp:revision>2</cp:revision>
  <cp:lastPrinted>2024-09-20T13:25:00Z</cp:lastPrinted>
  <dcterms:created xsi:type="dcterms:W3CDTF">2024-09-23T08:46:00Z</dcterms:created>
  <dcterms:modified xsi:type="dcterms:W3CDTF">2024-09-23T08:46:00Z</dcterms:modified>
</cp:coreProperties>
</file>