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pBdr>
        <w:tabs>
          <w:tab w:val="left" w:leader="none" w:pos="884"/>
          <w:tab w:val="left" w:leader="none" w:pos="1196"/>
        </w:tabs>
        <w:ind w:firstLine="0"/>
        <w:jc w:val="center"/>
        <w:rPr>
          <w:sz w:val="24"/>
          <w:szCs w:val="24"/>
        </w:rPr>
      </w:pPr>
      <w:r w:rsidDel="00000000" w:rsidR="00000000" w:rsidRPr="00000000">
        <w:rPr>
          <w:b w:val="1"/>
          <w:sz w:val="24"/>
          <w:szCs w:val="24"/>
          <w:rtl w:val="0"/>
        </w:rPr>
        <w:t xml:space="preserve">N</w:t>
      </w:r>
      <w:r w:rsidDel="00000000" w:rsidR="00000000" w:rsidRPr="00000000">
        <w:rPr>
          <w:b w:val="1"/>
          <w:sz w:val="24"/>
          <w:szCs w:val="24"/>
          <w:rtl w:val="0"/>
        </w:rPr>
        <w:t xml:space="preserve">OTA DE FUNDAMENTARE</w:t>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tabs>
          <w:tab w:val="left" w:leader="none" w:pos="884"/>
          <w:tab w:val="left" w:leader="none" w:pos="1196"/>
        </w:tabs>
        <w:ind w:firstLine="0"/>
        <w:jc w:val="center"/>
        <w:rPr>
          <w:b w:val="1"/>
          <w:sz w:val="24"/>
          <w:szCs w:val="24"/>
        </w:rPr>
      </w:pPr>
      <w:r w:rsidDel="00000000" w:rsidR="00000000" w:rsidRPr="00000000">
        <w:rPr>
          <w:b w:val="1"/>
          <w:sz w:val="24"/>
          <w:szCs w:val="24"/>
          <w:rtl w:val="0"/>
        </w:rPr>
        <w:t xml:space="preserve">la proiectul Hotărârii Guvernului pentru modificarea </w:t>
      </w:r>
      <w:r w:rsidDel="00000000" w:rsidR="00000000" w:rsidRPr="00000000">
        <w:rPr>
          <w:b w:val="1"/>
          <w:sz w:val="24"/>
          <w:szCs w:val="24"/>
          <w:vertAlign w:val="baseline"/>
          <w:rtl w:val="0"/>
        </w:rPr>
        <w:t xml:space="preserve">Regulamentului cu privire la mecanismul de finanțare a sportului de performanță conform criteriilor distincte, aprobat prin Hotărârea Guvernului nr.22/2023</w:t>
      </w:r>
      <w:r w:rsidDel="00000000" w:rsidR="00000000" w:rsidRPr="00000000">
        <w:rPr>
          <w:rtl w:val="0"/>
        </w:rPr>
      </w:r>
    </w:p>
    <w:tbl>
      <w:tblPr>
        <w:tblStyle w:val="Table1"/>
        <w:tblW w:w="10774.0" w:type="dxa"/>
        <w:jc w:val="left"/>
        <w:tblInd w:w="-29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774"/>
        <w:tblGridChange w:id="0">
          <w:tblGrid>
            <w:gridCol w:w="10774"/>
          </w:tblGrid>
        </w:tblGridChange>
      </w:tblGrid>
      <w:tr>
        <w:trPr>
          <w:cantSplit w:val="0"/>
          <w:trHeight w:val="664.765625" w:hRule="atLeast"/>
          <w:tblHeader w:val="0"/>
        </w:trPr>
        <w:tc>
          <w:tcPr>
            <w:tcBorders>
              <w:top w:color="000000" w:space="0" w:sz="8" w:val="single"/>
              <w:left w:color="000000" w:space="0" w:sz="8" w:val="single"/>
              <w:bottom w:color="000000" w:space="0" w:sz="8" w:val="single"/>
              <w:right w:color="000000" w:space="0" w:sz="8" w:val="single"/>
            </w:tcBorders>
            <w:shd w:fill="bfbfbf" w:val="clear"/>
            <w:tcMar>
              <w:top w:w="0.0" w:type="dxa"/>
              <w:left w:w="108.0" w:type="dxa"/>
              <w:bottom w:w="0.0" w:type="dxa"/>
              <w:right w:w="108.0" w:type="dxa"/>
            </w:tcMar>
          </w:tcPr>
          <w:p w:rsidR="00000000" w:rsidDel="00000000" w:rsidP="00000000" w:rsidRDefault="00000000" w:rsidRPr="00000000" w14:paraId="00000003">
            <w:pPr>
              <w:ind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Denumirea sau numele autorului și, după caz, a/al participanților la elaborarea proiectului actului normativ.</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4">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Proiectul Hotărârii Guvernului pentru modificarea Regulamentului cu privire la mecanismul de finanțare a sportului de performanță conform criteriilor distincte, aprobat prin Hotărârea Guvernului nr.22/2023 a fost elaborat de către Ministerul Educației și Cercetării.</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bfbfbf" w:val="clear"/>
            <w:tcMar>
              <w:top w:w="0.0" w:type="dxa"/>
              <w:left w:w="108.0" w:type="dxa"/>
              <w:bottom w:w="0.0" w:type="dxa"/>
              <w:right w:w="108.0" w:type="dxa"/>
            </w:tcMar>
          </w:tcPr>
          <w:p w:rsidR="00000000" w:rsidDel="00000000" w:rsidP="00000000" w:rsidRDefault="00000000" w:rsidRPr="00000000" w14:paraId="00000005">
            <w:pPr>
              <w:ind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Condițiile ce au impus elaborarea proiectului actului normativ.</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8.0" w:type="dxa"/>
              <w:bottom w:w="0.0" w:type="dxa"/>
              <w:right w:w="108.0" w:type="dxa"/>
            </w:tcMar>
          </w:tcPr>
          <w:p w:rsidR="00000000" w:rsidDel="00000000" w:rsidP="00000000" w:rsidRDefault="00000000" w:rsidRPr="00000000" w14:paraId="00000006">
            <w:pPr>
              <w:ind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2.1. Temeiul legal sau, după caz, sursa proiectului actului normativ.</w:t>
            </w:r>
          </w:p>
        </w:tc>
      </w:tr>
      <w:tr>
        <w:trPr>
          <w:cantSplit w:val="0"/>
          <w:trHeight w:val="21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8.0" w:type="dxa"/>
              <w:bottom w:w="0.0" w:type="dxa"/>
              <w:right w:w="108.0" w:type="dxa"/>
            </w:tcMar>
          </w:tcPr>
          <w:p w:rsidR="00000000" w:rsidDel="00000000" w:rsidP="00000000" w:rsidRDefault="00000000" w:rsidRPr="00000000" w14:paraId="00000007">
            <w:pPr>
              <w:shd w:fill="ffffff" w:val="clea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Potrivit art.30 alin.(3) din Legea nr.330/1999 cu privire la cultura fizică și sport, finanțarea sportului de performanță se realizează diferențiat conform criteriilor distincte.</w:t>
            </w:r>
          </w:p>
          <w:p w:rsidR="00000000" w:rsidDel="00000000" w:rsidP="00000000" w:rsidRDefault="00000000" w:rsidRPr="00000000" w14:paraId="00000008">
            <w:pPr>
              <w:shd w:fill="ffffff" w:val="clea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 Hotărârii Guvernului nr.146/2021, Ministerul Educaţiei şi Cercetării elaborează politici publice în domeniul educației fizice și sportului.</w:t>
            </w:r>
          </w:p>
          <w:p w:rsidR="00000000" w:rsidDel="00000000" w:rsidP="00000000" w:rsidRDefault="00000000" w:rsidRPr="00000000" w14:paraId="00000009">
            <w:pPr>
              <w:shd w:fill="ffffff" w:val="clea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Hotărârea Guvernului nr.22/2023 stabilește formulele de finanțare pentru sportul de performanță, din mijloacele financiare repartizate din bugetul de stat.</w:t>
            </w:r>
          </w:p>
          <w:p w:rsidR="00000000" w:rsidDel="00000000" w:rsidP="00000000" w:rsidRDefault="00000000" w:rsidRPr="00000000" w14:paraId="0000000A">
            <w:pPr>
              <w:shd w:fill="ffffff" w:val="clea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Astfel, începând cu anul 2023 a fost utilizat în premieră un mecanism de finanțare a sportului de performanță conform criteriilor distincte, pentru federațiile sportive olimpice/paralimpice și  neolimpice/neparalimpice.</w:t>
            </w:r>
          </w:p>
          <w:p w:rsidR="00000000" w:rsidDel="00000000" w:rsidP="00000000" w:rsidRDefault="00000000" w:rsidRPr="00000000" w14:paraId="0000000B">
            <w:pPr>
              <w:shd w:fill="ffffff" w:val="clea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 proiectul respectiv, Ministerul Educației și Cercetării intervine cu măsuri de susținere care au scop să majoreze sumele de bani alocate conform punctajului acumulat pentru federațiile sportive </w:t>
            </w:r>
            <w:r w:rsidDel="00000000" w:rsidR="00000000" w:rsidRPr="00000000">
              <w:rPr>
                <w:rFonts w:ascii="Times New Roman" w:cs="Times New Roman" w:eastAsia="Times New Roman" w:hAnsi="Times New Roman"/>
                <w:sz w:val="24"/>
                <w:szCs w:val="24"/>
                <w:rtl w:val="0"/>
              </w:rPr>
              <w:t xml:space="preserve">naționale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care au obținut medalii la Jocurile Olimpice/Paralimpice, dar și pentru federațiile sportive naționale care nu sunt parte al programului din cadrul Jocurilor Olimpice/Paralimpice, dar sunt recunoscute la nivel internațional, iar drept apogeu de performanță servesc Jocurile Mondiale care la fel ca și Jocurile Olimpice/Paralimpice se organizează o dată la patru ani în anul următor de după finalizarea Jocurilor Olimpice/Paralimpice.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hd w:fill="ffffff" w:val="clea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Necesitatea de a interveni cu modificări în mecanismul de finanțare a sportului de performanță în Republica Moldova este dictat de pilotarea pe parcursul anului 2023 și 2024 a criteriilor de finanțare care au scos în evidență unele carențe de ordin tehnic, precum și de dialogul constant cu federațiile sportive din Republica Moldova care au solicitat realizarea acestor modificări.</w:t>
            </w:r>
          </w:p>
          <w:p w:rsidR="00000000" w:rsidDel="00000000" w:rsidP="00000000" w:rsidRDefault="00000000" w:rsidRPr="00000000" w14:paraId="0000000D">
            <w:pPr>
              <w:shd w:fill="ffffff" w:val="clea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Astfel, scopul proiectului este de a consolida sistemul de finanțare al sportului de performanță, a modifica criteriile distincte pentru a lărgi posibilitățile federațiilor sportive de a beneficia de susținere financiară din bugetul de stat </w:t>
            </w:r>
            <w:r w:rsidDel="00000000" w:rsidR="00000000" w:rsidRPr="00000000">
              <w:rPr>
                <w:rFonts w:ascii="Times New Roman" w:cs="Times New Roman" w:eastAsia="Times New Roman" w:hAnsi="Times New Roman"/>
                <w:sz w:val="24"/>
                <w:szCs w:val="24"/>
                <w:rtl w:val="0"/>
              </w:rPr>
              <w:t xml:space="preserve">în bază de performanță, rezultate și categorie a acțiunilor sportive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E">
            <w:pPr>
              <w:shd w:fill="ffffff" w:val="clea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asemenea, elaborarea proiectului este dictată de necesitatea asigurării unui grad mai înalt de transparență în procesul de distribuire a mijloacelor financiare în bază de performanță, precum și pentru acoperirea unor cheltuieli cu caracter excepțional și imprevizibil în domeniul sportului.</w:t>
            </w:r>
          </w:p>
          <w:p w:rsidR="00000000" w:rsidDel="00000000" w:rsidP="00000000" w:rsidRDefault="00000000" w:rsidRPr="00000000" w14:paraId="0000000F">
            <w:pPr>
              <w:shd w:fill="ffffff" w:val="clear"/>
              <w:ind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8.0" w:type="dxa"/>
              <w:bottom w:w="0.0" w:type="dxa"/>
              <w:right w:w="108.0" w:type="dxa"/>
            </w:tcMar>
          </w:tcPr>
          <w:p w:rsidR="00000000" w:rsidDel="00000000" w:rsidP="00000000" w:rsidRDefault="00000000" w:rsidRPr="00000000" w14:paraId="00000010">
            <w:pPr>
              <w:ind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2.2. Descrierea situației actuale și a problemelor care impun intervenția, inclusiv a cadrului normativ aplicabil și a deficiențelor/lacunelor normative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tabs>
                <w:tab w:val="left" w:leader="none" w:pos="884"/>
                <w:tab w:val="left" w:leader="none" w:pos="1196"/>
              </w:tabs>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Mecanismul de finanțare a sportului de performanță conform criteriilor distincte a fost elaborat și implementat de către Ministerul Educației și Cercetării începând cu anul 2023. Pe parcursul a 2 ani de implementare a mecanismului susmenționat, s-au reliefat o serie de necesități de ordin tehnic necesare de a fi efectuate pentru a garanta, pe de-o parte, finanțare sustenabilă a ramurilor de sport la care sportivii demonstrează performanță înaltă probată prin rezultate la competițiile internaționale, pe de altă parte de a asigura o echitate în alocarea mijloacelor financiare publice pentru federațiile sportive naționale. Necesitatea de a interveni cu modificări a fost comunicată pe parcursul aplicării mecanismului de către federațiile naționale</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tabs>
                <w:tab w:val="left" w:leader="none" w:pos="884"/>
                <w:tab w:val="left" w:leader="none" w:pos="1196"/>
              </w:tabs>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aceeași ordine de idei, rezultatele remarcabile înregistrate de sportivii reprezentanți ai Republicii Moldova la Jocurile Olimpice/Paralimpice și Jocurile Mondiale, au scos în evidență necesitatea de a interveni cu finanțarea federațiilor naționale cu un minim garantat, pentru ca investițiile în pregătirea și dezvoltarea sportivilor premianți/medaliați să devină o prioritate la distribuirea bugetului. </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tabs>
                <w:tab w:val="left" w:leader="none" w:pos="884"/>
                <w:tab w:val="left" w:leader="none" w:pos="1196"/>
              </w:tabs>
              <w:ind w:firstLine="0"/>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sz w:val="24"/>
                <w:szCs w:val="24"/>
                <w:rtl w:val="0"/>
              </w:rPr>
              <w:t xml:space="preserve">Este de menționat, că prezentul proiect propune și revizuirea cuantumurilor procentuale din buget alocate pentru finanțarea federațiilor sportive, astfel fiind majorat volumul de mijloace financiare distribuite și oferind acces mai larg la finanțare federațiilor care anterior nu au beneficiat de finanțare sau au beneficiat de o finanțare redusă.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bfbfbf" w:val="clear"/>
            <w:tcMar>
              <w:top w:w="0.0" w:type="dxa"/>
              <w:left w:w="108.0" w:type="dxa"/>
              <w:bottom w:w="0.0" w:type="dxa"/>
              <w:right w:w="108.0" w:type="dxa"/>
            </w:tcMar>
          </w:tcPr>
          <w:p w:rsidR="00000000" w:rsidDel="00000000" w:rsidP="00000000" w:rsidRDefault="00000000" w:rsidRPr="00000000" w14:paraId="00000014">
            <w:pPr>
              <w:ind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Obiectivele urmărite și soluțiile propuse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15">
            <w:pPr>
              <w:ind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3.1. Principalele prevederi ale proiectului și evidențierea elementelor noi.</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16">
            <w:pPr>
              <w:shd w:fill="ffffff" w:val="clea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Introducerea unei noțiuni noi „minim garantat”, care prevede acordarea federațiilor naționale care au participat cu sportivi la ultima ediție a Jocurilor Olimpice/Paralimpice și la ultima ediție a Jocurilor Mondiale. Prezenta prevedere canalizează eforturile statului, prin alocarea de mijloace financiare garantate pentru o perioadă de 4 ani, pentru federațiile sportive a căror sportivi au participat la competițiile sus menționate. Minimul garantat, acordat în afara formulei de finanțare pe bază de criterii distincte, permite o investiție și finanțare sustenabilă și previzibilă, pentru federațiile și sportivii care au demonstrat rezultate, or potențialul de a obține repetat sau de a îmbunătăți rezultatul obținut este mai mare în rândul acestor sportivi. </w:t>
            </w:r>
          </w:p>
          <w:p w:rsidR="00000000" w:rsidDel="00000000" w:rsidP="00000000" w:rsidRDefault="00000000" w:rsidRPr="00000000" w14:paraId="00000017">
            <w:pPr>
              <w:shd w:fill="ffffff" w:val="clea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tabs>
                <w:tab w:val="left" w:leader="none" w:pos="284"/>
                <w:tab w:val="left" w:leader="none" w:pos="993"/>
              </w:tabs>
              <w:ind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În acest context, se propune asigurarea minimului garantat din suma totală alocată federațiilor sportive pe probe de sport care vor fi repartizate în felul următor:</w:t>
            </w:r>
            <w:r w:rsidDel="00000000" w:rsidR="00000000" w:rsidRPr="00000000">
              <w:rPr>
                <w:rtl w:val="0"/>
              </w:rPr>
            </w:r>
          </w:p>
          <w:p w:rsidR="00000000" w:rsidDel="00000000" w:rsidP="00000000" w:rsidRDefault="00000000" w:rsidRPr="00000000" w14:paraId="00000019">
            <w:pPr>
              <w:numPr>
                <w:ilvl w:val="0"/>
                <w:numId w:val="1"/>
              </w:numPr>
              <w:tabs>
                <w:tab w:val="left" w:leader="none" w:pos="284"/>
                <w:tab w:val="left" w:leader="none" w:pos="993"/>
              </w:tabs>
              <w:spacing w:after="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200 000 lei, federației sportive naționale care a avut participanți la ultima ediție a Jocurilor Olimpice/Paralimpice, în plus 100 000 lei pentru fiecare sportiv (participant);</w:t>
            </w:r>
            <w:r w:rsidDel="00000000" w:rsidR="00000000" w:rsidRPr="00000000">
              <w:rPr>
                <w:rtl w:val="0"/>
              </w:rPr>
            </w:r>
          </w:p>
          <w:p w:rsidR="00000000" w:rsidDel="00000000" w:rsidP="00000000" w:rsidRDefault="00000000" w:rsidRPr="00000000" w14:paraId="0000001A">
            <w:pPr>
              <w:numPr>
                <w:ilvl w:val="0"/>
                <w:numId w:val="1"/>
              </w:numPr>
              <w:tabs>
                <w:tab w:val="left" w:leader="none" w:pos="284"/>
                <w:tab w:val="left" w:leader="none" w:pos="993"/>
              </w:tabs>
              <w:spacing w:after="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100 000 lei, federațiilor sportive naționale pe probe neolimpice/neparalimpice care au avut participanți la ultima ediție a Jocurilor Mondiale, în plus 50 000 lei pentru fiecare sportiv (participant).</w:t>
            </w:r>
          </w:p>
          <w:p w:rsidR="00000000" w:rsidDel="00000000" w:rsidP="00000000" w:rsidRDefault="00000000" w:rsidRPr="00000000" w14:paraId="0000001B">
            <w:pPr>
              <w:shd w:fill="ffffff" w:val="clea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Î</w:t>
            </w:r>
            <w:r w:rsidDel="00000000" w:rsidR="00000000" w:rsidRPr="00000000">
              <w:rPr>
                <w:rFonts w:ascii="Times New Roman" w:cs="Times New Roman" w:eastAsia="Times New Roman" w:hAnsi="Times New Roman"/>
                <w:sz w:val="24"/>
                <w:szCs w:val="24"/>
                <w:rtl w:val="0"/>
              </w:rPr>
              <w:t xml:space="preserve">n rezultatul aplicării formulei de repartizare a surselor financiare s-a ajuns la concluzia ca să fie diminuat procentul cuantumului activităților la federațiile olimpice/paralimpice de la 15 % la 5%, din motivul nerelevanței ponderei existente, or ponderea de bază trebuie să fie activitățile competiționale de performanță, dar nu cele organizatorice. Astfel</w:t>
            </w:r>
            <w:r w:rsidDel="00000000" w:rsidR="00000000" w:rsidRPr="00000000">
              <w:rPr>
                <w:rFonts w:ascii="Times New Roman" w:cs="Times New Roman" w:eastAsia="Times New Roman" w:hAnsi="Times New Roman"/>
                <w:sz w:val="24"/>
                <w:szCs w:val="24"/>
                <w:rtl w:val="0"/>
              </w:rPr>
              <w:t xml:space="preserve">, se propune de a fi majorat procentual cuantumul, de la </w:t>
            </w:r>
            <w:r w:rsidDel="00000000" w:rsidR="00000000" w:rsidRPr="00000000">
              <w:rPr>
                <w:rFonts w:ascii="Times New Roman" w:cs="Times New Roman" w:eastAsia="Times New Roman" w:hAnsi="Times New Roman"/>
                <w:i w:val="1"/>
                <w:sz w:val="24"/>
                <w:szCs w:val="24"/>
                <w:rtl w:val="0"/>
              </w:rPr>
              <w:t xml:space="preserve">68% la 73%</w:t>
            </w:r>
            <w:r w:rsidDel="00000000" w:rsidR="00000000" w:rsidRPr="00000000">
              <w:rPr>
                <w:rFonts w:ascii="Times New Roman" w:cs="Times New Roman" w:eastAsia="Times New Roman" w:hAnsi="Times New Roman"/>
                <w:sz w:val="24"/>
                <w:szCs w:val="24"/>
                <w:rtl w:val="0"/>
              </w:rPr>
              <w:t xml:space="preserve">, pentru performanțele sportive obținute la ramurile de sport olimpice/paralimpice și neolimpice/neparalimpice, din care 85% vor fi alocate pentru ramurile de sport olimpice/paralimpice și 15% pentru ramurile de sport neolimpice/neparalimpice. Mijloacele financiare respective se împart proporțional ramurilor de sport, în funcție de rezultatele obținute pe arena internațională și în conformitate cu numărul total de puncte obținute de sportivi la diverse competiții sportive. Modificarea propusă va crește nivelul de finanțare a federațiilor și va oferi acces unui număr mai mare de federații la mijloacele financiare alocate, în baza a noii modalități de acordare a punctajului și majorării bugetului alocat. </w:t>
            </w:r>
          </w:p>
          <w:p w:rsidR="00000000" w:rsidDel="00000000" w:rsidP="00000000" w:rsidRDefault="00000000" w:rsidRPr="00000000" w14:paraId="0000001C">
            <w:pPr>
              <w:shd w:fill="ffffff" w:val="clea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hd w:fill="ffffff" w:val="clea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același timp, se propune majorarea cotei procentuale care reprezintă mijloacele financiare sub formă de rezervă a autorității centrale de specialitate în domeniul educației fizice și sportului, care sunt necesare federațiilor sportive naționale pentru acoperirea costurilor cu caracter excepțional și imprevizibil, de la 15% la 20% </w:t>
            </w:r>
            <w:r w:rsidDel="00000000" w:rsidR="00000000" w:rsidRPr="00000000">
              <w:rPr>
                <w:rFonts w:ascii="Times New Roman" w:cs="Times New Roman" w:eastAsia="Times New Roman" w:hAnsi="Times New Roman"/>
                <w:sz w:val="24"/>
                <w:szCs w:val="24"/>
                <w:rtl w:val="0"/>
              </w:rPr>
              <w:t xml:space="preserve">pentru a putea face față cheltuielilor pentru organizarea Campionatelor Europene/Mondiale, Balcanice, dar și pentru alocarea resurselor financiare pentru activitățile probelor tradiționale românești (Oina, Trânta) și a Federației sportive naționale a sportului pentru toți, Federației sportului școlar și Federației sportului universitar și veteranilor sportului. Deasemenea vor fi alocate resurse financiare și pentru desfășurarea activităților specifice al Comitetului Național Olimpic și Sportiv, Comitetul Paralimpic din R. Moldova și Comitetului Deaflimpic din Republica Moldova.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shd w:fill="ffffff" w:val="clea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Prezenta propunere este justificată de volatilitatea activităților planificate pe parcursul anului și accesul, în baza rezultatelor obținute pe parcursul anului, a sportivilor la competiții sportive internaționale, care la etapa planificării calendarului sportiv la început de an nu au fost posibil de prevăzut. </w:t>
            </w:r>
          </w:p>
          <w:p w:rsidR="00000000" w:rsidDel="00000000" w:rsidP="00000000" w:rsidRDefault="00000000" w:rsidRPr="00000000" w14:paraId="0000001F">
            <w:pPr>
              <w:shd w:fill="ffffff" w:val="clea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asemenea, pentru asigurarea unui grad mai ridicat de transparență în procesul de distribuire a mijloacelor financiare din rezervă, se propune reglementarea modului de distribuire a mijloacelor financiare din componenta de rezervă, prin Regulament aprobat de autoritatea publică centrală de specialitate. În acest sens, se propune a operaționaliza mecanismul de utilizare a mijloacelor financiare, a aloca pe criterii de importanță, precum și de a stabili un grafic clar de aplicare pentru finanțare. </w:t>
            </w:r>
          </w:p>
          <w:p w:rsidR="00000000" w:rsidDel="00000000" w:rsidP="00000000" w:rsidRDefault="00000000" w:rsidRPr="00000000" w14:paraId="00000020">
            <w:pPr>
              <w:shd w:fill="ffffff" w:val="clea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hd w:fill="ffffff" w:val="clea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contextul modificărilor propuse, sunt revăzute conținutul Anexelor nr.1-2 din Regulament.</w:t>
            </w:r>
          </w:p>
          <w:p w:rsidR="00000000" w:rsidDel="00000000" w:rsidP="00000000" w:rsidRDefault="00000000" w:rsidRPr="00000000" w14:paraId="00000022">
            <w:pPr>
              <w:shd w:fill="ffffff" w:val="clea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Totodată, Anexa nr.3 prevede modificări și anume finanțarea sporturilor tradiționale (oina și trânta), sportului pentru toți, sportului școlar și sportului universitar. </w:t>
            </w:r>
            <w:r w:rsidDel="00000000" w:rsidR="00000000" w:rsidRPr="00000000">
              <w:rPr>
                <w:rFonts w:ascii="Times New Roman" w:cs="Times New Roman" w:eastAsia="Times New Roman" w:hAnsi="Times New Roman"/>
                <w:sz w:val="24"/>
                <w:szCs w:val="24"/>
                <w:rtl w:val="0"/>
              </w:rPr>
              <w:t xml:space="preserve">Aceste federații nu beneficiază de finanțare în limitele mecanismului pe bază de criterii distincte, dar este imperios necesar de a aloca mijloace financiare pentru desfășurarea activităților. </w:t>
            </w:r>
          </w:p>
          <w:p w:rsidR="00000000" w:rsidDel="00000000" w:rsidP="00000000" w:rsidRDefault="00000000" w:rsidRPr="00000000" w14:paraId="00000023">
            <w:pPr>
              <w:shd w:fill="ffffff" w:val="clea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hd w:fill="ffffff" w:val="clea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fel, Anexa nr.3 prevede finanțarea Comitetului Național Olimpic și Sportiv, Comitetului Paralimpic din Republica Moldova și Comitetului Deaflimpic din Republica Moldova pentru participarea la competiții sportive specifice, cum ar Festivalul Olimpic, Jocurile Paralimpice și Jocurile Deaflimpice). </w:t>
            </w:r>
            <w:r w:rsidDel="00000000" w:rsidR="00000000" w:rsidRPr="00000000">
              <w:rPr>
                <w:rFonts w:ascii="Times New Roman" w:cs="Times New Roman" w:eastAsia="Times New Roman" w:hAnsi="Times New Roman"/>
                <w:sz w:val="24"/>
                <w:szCs w:val="24"/>
                <w:rtl w:val="0"/>
              </w:rPr>
              <w:t xml:space="preserve">Introducerea prezentelor prevederi este dictată de necesitatea de a diversifica tipul și limitele de activități pasibile de a fi finanțate, în special în contextul popularizării mișcării olimpici, paralimpice și deaflimice. </w:t>
            </w:r>
          </w:p>
          <w:p w:rsidR="00000000" w:rsidDel="00000000" w:rsidP="00000000" w:rsidRDefault="00000000" w:rsidRPr="00000000" w14:paraId="00000025">
            <w:pPr>
              <w:shd w:fill="ffffff" w:val="clear"/>
              <w:ind w:firstLine="0"/>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Având în vedere faptul că federațiile sportive urmează să beneficieze de finanțare din bugetul de stat, imediat după 01 ianuarie 2025, proiectul Hotărârii Guvernului urmează să intre în vigoare la momentul publicării în Monitorul Oficial.</w:t>
            </w:r>
          </w:p>
          <w:p w:rsidR="00000000" w:rsidDel="00000000" w:rsidP="00000000" w:rsidRDefault="00000000" w:rsidRPr="00000000" w14:paraId="00000026">
            <w:pPr>
              <w:shd w:fill="ffffff" w:val="clea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Totodată, pct.7 alin.(1) din proiect, stabilește niște cuantumuri concrete, ca garanții financiare, pentru federațiile sportive olimpice/paralimpice și neolimpice în dependență de rezultate.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27">
            <w:pPr>
              <w:ind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3.2. Opțiunile alternative analizate și motivele pentru care acestea nu au fost luate în considerare.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28">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fost analizată opțiunea „a nu face nimic”. Această opțiune presupune aplicarea neschimbată a mecanismului pentru anul de finanțare 2025. Opțiunea nu se consideră una viabilă din considerentul că necesitatea intervenției a fost scoasă în evidență de federațiile sportive, beneficiarii mecanismului de finanțare, care au identificat necesitatea de intervenție de ordin tehnic, pentru a asigura echitatea, transparența și impactul mijloacelor financiare alocate. </w:t>
            </w:r>
          </w:p>
          <w:p w:rsidR="00000000" w:rsidDel="00000000" w:rsidP="00000000" w:rsidRDefault="00000000" w:rsidRPr="00000000" w14:paraId="00000029">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fost analizată opțiunea elaborării unui mecanism nou. Această opțiune nu se consideră viabilă din considerentul că actul normativ în vigoare este pus în aplicare pentru o perioadă de 2 ani, a demonstrat că este eficient, transparent și contribuie la o mai bună planificare a mijloacelor financiare. </w:t>
            </w:r>
            <w:r w:rsidDel="00000000" w:rsidR="00000000" w:rsidRPr="00000000">
              <w:rPr>
                <w:rtl w:val="0"/>
              </w:rPr>
            </w:r>
          </w:p>
        </w:tc>
      </w:tr>
      <w:tr>
        <w:trPr>
          <w:cantSplit w:val="0"/>
          <w:trHeight w:val="381" w:hRule="atLeast"/>
          <w:tblHeader w:val="0"/>
        </w:trPr>
        <w:tc>
          <w:tcPr>
            <w:tcBorders>
              <w:top w:color="000000" w:space="0" w:sz="0" w:val="nil"/>
              <w:left w:color="000000" w:space="0" w:sz="8" w:val="single"/>
              <w:bottom w:color="000000" w:space="0" w:sz="8" w:val="single"/>
              <w:right w:color="000000" w:space="0" w:sz="8" w:val="single"/>
            </w:tcBorders>
            <w:shd w:fill="bfbfbf" w:val="clear"/>
            <w:tcMar>
              <w:top w:w="0.0" w:type="dxa"/>
              <w:left w:w="108.0" w:type="dxa"/>
              <w:bottom w:w="0.0" w:type="dxa"/>
              <w:right w:w="108.0" w:type="dxa"/>
            </w:tcMar>
          </w:tcPr>
          <w:p w:rsidR="00000000" w:rsidDel="00000000" w:rsidP="00000000" w:rsidRDefault="00000000" w:rsidRPr="00000000" w14:paraId="0000002A">
            <w:pPr>
              <w:ind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Analiza impactului de reglementare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2B">
            <w:pPr>
              <w:ind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4.1. Impactul asupra sectorului public</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884"/>
                <w:tab w:val="left" w:leader="none" w:pos="1196"/>
              </w:tabs>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Modificările la mecanismul de finanțare a sportului de performanță propuse spre aprobare urmează să contribuie la o planificare mai eficientă, bazată pe rezultat, a mijloacelor financiare ale autorității publice centrale de specialitate și să intervină cu alocarea mijloacelor suplimentare în bază de necesități, utilizând un proces definit (Regulament) ce urmează a fi aprobat prin cadru normativ subsecvent. </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884"/>
                <w:tab w:val="left" w:leader="none" w:pos="1196"/>
              </w:tabs>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 prezentele modificări urmează a fi asigurată o previzibilitate mai bună pentru federațiile sportive care au demonstrat rezultate pe parcursul anului precedent, precum și urmează a fi alocate mijloace financiare garantate pentru a asigura continuitatea proceselor în desfășurare.  </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884"/>
                <w:tab w:val="left" w:leader="none" w:pos="1196"/>
              </w:tabs>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Modificarea Hotărârii Guvernului nr.22/2023 va oferi garanții federațiilor sportive olimpice/paralimpice și federațiilor sportive neolimpice, ca finanțare mai mare din bugetul de stat, conform punctajului acumulat.</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884"/>
                <w:tab w:val="left" w:leader="none" w:pos="1196"/>
              </w:tabs>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Oferirea garanțiilor va stimula federațiile sportive spre obținerea rezultatelor mai mari și va ridica interesul sportivilor de performanță să participe la competiții sportive, turnee de calificare la Jocurile Olimpice/Paralimpice și Jocurile Mondiale.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30">
            <w:pPr>
              <w:ind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4.2. Impactul financiar și argumentarea costurilor estimative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31">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Implementarea proiectului Hotărârii Guvernului nu va crea cheltuieli suplimentare din bugetul de stat. Finanțarea federațiilor sportive se realizează din bugetul alocat Ministerului Educației și Cercetării (din contul alocațiilor 0812 ,,Servicii de sport și cultură fizică”).</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32">
            <w:pPr>
              <w:ind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4.3. Impactul asupra sectorului privat</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33">
            <w:pPr>
              <w:ind w:firstLine="58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 este aplicabil.</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34">
            <w:pPr>
              <w:ind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4.4. Impactul social</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35">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Prezentul proiect va avea un impact pozitiv, oferind garanții federațiilor sportive care au obținut rezultate înalte, și s-au calificat la cele mai prestigioase competiții sportive, ridicând nivelului sportului de performanță în societate.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36">
            <w:pPr>
              <w:ind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4.4.1. Impactul asupra datelor cu caracter personal</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37">
            <w:pPr>
              <w:ind w:firstLine="58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 este aplicabil.</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38">
            <w:pPr>
              <w:ind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4.4.2. Impactul asupra echității și egalității de gen</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39">
            <w:pPr>
              <w:ind w:firstLine="58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 este aplicabil.</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3A">
            <w:pPr>
              <w:ind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4.5. Impactul asupra mediului</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3B">
            <w:pPr>
              <w:ind w:firstLine="58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 este aplicabil.</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3C">
            <w:pPr>
              <w:ind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4.6. Alte impacturi și informații relevante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D">
            <w:pPr>
              <w:ind w:firstLine="58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 este aplicabil.</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bfbfbf" w:val="clear"/>
            <w:tcMar>
              <w:top w:w="0.0" w:type="dxa"/>
              <w:left w:w="108.0" w:type="dxa"/>
              <w:bottom w:w="0.0" w:type="dxa"/>
              <w:right w:w="108.0" w:type="dxa"/>
            </w:tcMar>
          </w:tcPr>
          <w:p w:rsidR="00000000" w:rsidDel="00000000" w:rsidP="00000000" w:rsidRDefault="00000000" w:rsidRPr="00000000" w14:paraId="0000003E">
            <w:pPr>
              <w:ind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Compatibilitatea proiectului actului normativ cu legislația UE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3F">
            <w:pPr>
              <w:ind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5.1. Măsuri normative necesare pentru transpunerea actelor juridice ale UE în legislația națională</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40">
            <w:pPr>
              <w:ind w:firstLine="58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 este aplicabil.</w:t>
            </w:r>
            <w:r w:rsidDel="00000000" w:rsidR="00000000" w:rsidRPr="00000000">
              <w:rPr>
                <w:rtl w:val="0"/>
              </w:rPr>
            </w:r>
          </w:p>
        </w:tc>
      </w:tr>
      <w:tr>
        <w:trPr>
          <w:cantSplit w:val="0"/>
          <w:trHeight w:val="689"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41">
            <w:pPr>
              <w:ind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5.2. Măsuri normative care urmăresc crearea cadrului juridic intern necesar pentru implementarea legislației UE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2">
            <w:pPr>
              <w:ind w:firstLine="58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 este aplicabil.</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bfbfbf" w:val="clear"/>
            <w:tcMar>
              <w:top w:w="0.0" w:type="dxa"/>
              <w:left w:w="108.0" w:type="dxa"/>
              <w:bottom w:w="0.0" w:type="dxa"/>
              <w:right w:w="108.0" w:type="dxa"/>
            </w:tcMar>
          </w:tcPr>
          <w:p w:rsidR="00000000" w:rsidDel="00000000" w:rsidP="00000000" w:rsidRDefault="00000000" w:rsidRPr="00000000" w14:paraId="00000043">
            <w:pPr>
              <w:ind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Avizarea și consultarea publică a proiectului actului normativ</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pBdr>
              <w:tabs>
                <w:tab w:val="left" w:leader="none" w:pos="884"/>
                <w:tab w:val="left" w:leader="none" w:pos="1196"/>
              </w:tabs>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scopul respectării Legii nr.239/2008 privind transparența în procesul decizional, a fost plasat anunțul privind inițierea procesului de elaborare al proiectului Hotărârii Guvernului nr.22/2023, pe pagina web </w:t>
            </w:r>
            <w:hyperlink r:id="rId7">
              <w:r w:rsidDel="00000000" w:rsidR="00000000" w:rsidRPr="00000000">
                <w:rPr>
                  <w:rFonts w:ascii="Times New Roman" w:cs="Times New Roman" w:eastAsia="Times New Roman" w:hAnsi="Times New Roman"/>
                  <w:sz w:val="24"/>
                  <w:szCs w:val="24"/>
                  <w:u w:val="single"/>
                  <w:rtl w:val="0"/>
                </w:rPr>
                <w:t xml:space="preserve">www.mec.gov.md</w:t>
              </w:r>
            </w:hyperlink>
            <w:r w:rsidDel="00000000" w:rsidR="00000000" w:rsidRPr="00000000">
              <w:rPr>
                <w:rFonts w:ascii="Times New Roman" w:cs="Times New Roman" w:eastAsia="Times New Roman" w:hAnsi="Times New Roman"/>
                <w:sz w:val="24"/>
                <w:szCs w:val="24"/>
                <w:rtl w:val="0"/>
              </w:rPr>
              <w:t xml:space="preserve"> la secțiunea Transparența și pe portalul guvernamental </w:t>
            </w:r>
            <w:hyperlink r:id="rId8">
              <w:r w:rsidDel="00000000" w:rsidR="00000000" w:rsidRPr="00000000">
                <w:rPr>
                  <w:rFonts w:ascii="Times New Roman" w:cs="Times New Roman" w:eastAsia="Times New Roman" w:hAnsi="Times New Roman"/>
                  <w:sz w:val="24"/>
                  <w:szCs w:val="24"/>
                  <w:u w:val="single"/>
                  <w:rtl w:val="0"/>
                </w:rPr>
                <w:t xml:space="preserve">www.particip.gov.md</w:t>
              </w:r>
            </w:hyperlink>
            <w:r w:rsidDel="00000000" w:rsidR="00000000" w:rsidRPr="00000000">
              <w:rPr>
                <w:rFonts w:ascii="Times New Roman" w:cs="Times New Roman" w:eastAsia="Times New Roman" w:hAnsi="Times New Roman"/>
                <w:sz w:val="24"/>
                <w:szCs w:val="24"/>
                <w:rtl w:val="0"/>
              </w:rPr>
              <w:t xml:space="preserve">, fiind accesibil:</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pBdr>
              <w:tabs>
                <w:tab w:val="left" w:leader="none" w:pos="884"/>
                <w:tab w:val="left" w:leader="none" w:pos="1196"/>
              </w:tabs>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Anunț de inițiere: </w:t>
            </w:r>
            <w:hyperlink r:id="rId9">
              <w:r w:rsidDel="00000000" w:rsidR="00000000" w:rsidRPr="00000000">
                <w:rPr>
                  <w:rFonts w:ascii="Times New Roman" w:cs="Times New Roman" w:eastAsia="Times New Roman" w:hAnsi="Times New Roman"/>
                  <w:sz w:val="24"/>
                  <w:szCs w:val="24"/>
                  <w:u w:val="single"/>
                  <w:rtl w:val="0"/>
                </w:rPr>
                <w:t xml:space="preserve">https://particip.gov.md/ro/document/stages/*/13047</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tabs>
                <w:tab w:val="left" w:leader="none" w:pos="884"/>
                <w:tab w:val="left" w:leader="none" w:pos="1196"/>
              </w:tabs>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Anunț de consultare: </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884"/>
                <w:tab w:val="left" w:leader="none" w:pos="1196"/>
              </w:tabs>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Proiectul Hotărârii Guvernului a fost supus consultărilor publice în cadrul unor evenimente tematice cu participarea (i) federațiilor sportive (ii) școlilor sportive, pe parcursul lunii octombrie și noiembrie. Propunerile de modificare/completare a proiectului vociferate în cadrul consultărilor publice au fost încorporate în proiectul de act normativ. </w:t>
            </w:r>
          </w:p>
          <w:p w:rsidR="00000000" w:rsidDel="00000000" w:rsidP="00000000" w:rsidRDefault="00000000" w:rsidRPr="00000000" w14:paraId="00000048">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Proiectul Hotărârii Guvernului va fi supus procedurii de avizare în conformitate cu prevederile Legii nr.100/2017 privind actele normative.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bfbfbf" w:val="clear"/>
            <w:tcMar>
              <w:top w:w="0.0" w:type="dxa"/>
              <w:left w:w="108.0" w:type="dxa"/>
              <w:bottom w:w="0.0" w:type="dxa"/>
              <w:right w:w="108.0" w:type="dxa"/>
            </w:tcMar>
          </w:tcPr>
          <w:p w:rsidR="00000000" w:rsidDel="00000000" w:rsidP="00000000" w:rsidRDefault="00000000" w:rsidRPr="00000000" w14:paraId="00000049">
            <w:pPr>
              <w:ind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Concluziile expertizelor</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4A">
            <w:pPr>
              <w:tabs>
                <w:tab w:val="left" w:leader="none" w:pos="1080"/>
              </w:tabs>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Proiectul Hotărârii Guvernului va fi supus expertizei juridice și expertizei anticorupție în conformitate cu cadrul normativ în vigoare, urmare a procesului de avizare inițială.</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bfbfbf" w:val="clear"/>
            <w:tcMar>
              <w:top w:w="0.0" w:type="dxa"/>
              <w:left w:w="108.0" w:type="dxa"/>
              <w:bottom w:w="0.0" w:type="dxa"/>
              <w:right w:w="108.0" w:type="dxa"/>
            </w:tcMar>
          </w:tcPr>
          <w:p w:rsidR="00000000" w:rsidDel="00000000" w:rsidP="00000000" w:rsidRDefault="00000000" w:rsidRPr="00000000" w14:paraId="0000004B">
            <w:pPr>
              <w:ind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Modul de încorporare a actului în cadrul normativ existent</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C">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Pentru implementarea proiectului Hotărârii Guvernului nu este necesară modificarea actelor normative.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bfbfbf" w:val="clear"/>
            <w:tcMar>
              <w:top w:w="0.0" w:type="dxa"/>
              <w:left w:w="108.0" w:type="dxa"/>
              <w:bottom w:w="0.0" w:type="dxa"/>
              <w:right w:w="108.0" w:type="dxa"/>
            </w:tcMar>
          </w:tcPr>
          <w:p w:rsidR="00000000" w:rsidDel="00000000" w:rsidP="00000000" w:rsidRDefault="00000000" w:rsidRPr="00000000" w14:paraId="0000004D">
            <w:pPr>
              <w:ind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Măsurile necesare pentru implementarea prevederilor proiectului actului normativ.</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E">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Implementarea Hotărârii de Guvern, urmează a fi realizate de către Ministerul Educației și Cercetării în urma repartizării punctajului, conform rezultatelor sportive obținute de federațiile olimpice/paralimpice și federațiile neolimpice/neparalimpice.</w:t>
            </w:r>
          </w:p>
        </w:tc>
      </w:tr>
    </w:tbl>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pBdr>
        <w:tabs>
          <w:tab w:val="left" w:leader="none" w:pos="884"/>
          <w:tab w:val="left" w:leader="none" w:pos="1196"/>
        </w:tabs>
        <w:ind w:firstLine="0"/>
        <w:rPr>
          <w:sz w:val="24"/>
          <w:szCs w:val="24"/>
        </w:rPr>
      </w:pP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pBdr>
        <w:tabs>
          <w:tab w:val="left" w:leader="none" w:pos="884"/>
          <w:tab w:val="left" w:leader="none" w:pos="1196"/>
        </w:tabs>
        <w:ind w:firstLine="0"/>
        <w:rPr>
          <w:sz w:val="24"/>
          <w:szCs w:val="24"/>
        </w:rPr>
      </w:pP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pBdr>
        <w:tabs>
          <w:tab w:val="left" w:leader="none" w:pos="0"/>
        </w:tabs>
        <w:ind w:firstLine="0"/>
        <w:jc w:val="center"/>
        <w:rPr>
          <w:b w:val="1"/>
          <w:sz w:val="24"/>
          <w:szCs w:val="24"/>
        </w:rPr>
      </w:pPr>
      <w:r w:rsidDel="00000000" w:rsidR="00000000" w:rsidRPr="00000000">
        <w:rPr>
          <w:b w:val="1"/>
          <w:sz w:val="24"/>
          <w:szCs w:val="24"/>
          <w:rtl w:val="0"/>
        </w:rPr>
        <w:t xml:space="preserve">Ministru                                   Dan Perciun</w:t>
      </w:r>
    </w:p>
    <w:sectPr>
      <w:headerReference r:id="rId10" w:type="default"/>
      <w:headerReference r:id="rId11" w:type="first"/>
      <w:pgSz w:h="16840" w:w="11907" w:orient="portrait"/>
      <w:pgMar w:bottom="426" w:top="426" w:left="993" w:right="567"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o-MD"/>
      </w:rPr>
    </w:rPrDefault>
    <w:pPrDefault>
      <w:pPr>
        <w:ind w:firstLine="709"/>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EB049A"/>
    <w:pPr>
      <w:spacing w:after="0" w:line="240" w:lineRule="auto"/>
      <w:ind w:firstLine="709"/>
      <w:jc w:val="both"/>
    </w:pPr>
    <w:rPr>
      <w:rFonts w:ascii="Times New Roman" w:cs="Times New Roman" w:eastAsia="Times New Roman" w:hAnsi="Times New Roman"/>
      <w:sz w:val="20"/>
      <w:szCs w:val="20"/>
      <w:lang w:val="en-US"/>
    </w:rPr>
  </w:style>
  <w:style w:type="paragraph" w:styleId="4">
    <w:name w:val="heading 4"/>
    <w:basedOn w:val="a"/>
    <w:next w:val="a"/>
    <w:link w:val="40"/>
    <w:uiPriority w:val="9"/>
    <w:semiHidden w:val="1"/>
    <w:unhideWhenUsed w:val="1"/>
    <w:qFormat w:val="1"/>
    <w:rsid w:val="005F1DB3"/>
    <w:pPr>
      <w:keepNext w:val="1"/>
      <w:keepLines w:val="1"/>
      <w:spacing w:before="40"/>
      <w:outlineLvl w:val="3"/>
    </w:pPr>
    <w:rPr>
      <w:rFonts w:asciiTheme="majorHAnsi" w:cstheme="majorBidi" w:eastAsiaTheme="majorEastAsia" w:hAnsiTheme="majorHAnsi"/>
      <w:i w:val="1"/>
      <w:iCs w:val="1"/>
      <w:color w:val="2e74b5" w:themeColor="accent1" w:themeShade="0000BF"/>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rsid w:val="00EB049A"/>
    <w:pPr>
      <w:tabs>
        <w:tab w:val="center" w:pos="4677"/>
        <w:tab w:val="right" w:pos="9355"/>
      </w:tabs>
    </w:pPr>
  </w:style>
  <w:style w:type="character" w:styleId="a4" w:customStyle="1">
    <w:name w:val="Верхний колонтитул Знак"/>
    <w:basedOn w:val="a0"/>
    <w:link w:val="a3"/>
    <w:rsid w:val="00EB049A"/>
    <w:rPr>
      <w:rFonts w:ascii="Times New Roman" w:cs="Times New Roman" w:eastAsia="Times New Roman" w:hAnsi="Times New Roman"/>
      <w:sz w:val="20"/>
      <w:szCs w:val="20"/>
      <w:lang w:val="en-US"/>
    </w:rPr>
  </w:style>
  <w:style w:type="table" w:styleId="a5">
    <w:name w:val="Table Grid"/>
    <w:basedOn w:val="a1"/>
    <w:uiPriority w:val="39"/>
    <w:rsid w:val="00EB049A"/>
    <w:pPr>
      <w:spacing w:after="0" w:line="240" w:lineRule="auto"/>
      <w:ind w:firstLine="709"/>
      <w:jc w:val="both"/>
    </w:pPr>
    <w:rPr>
      <w:rFonts w:ascii="Calibri" w:cs="Times New Roman" w:eastAsia="Calibri" w:hAnsi="Calibri"/>
      <w:sz w:val="20"/>
      <w:szCs w:val="20"/>
      <w:lang w:val="en-US"/>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a6">
    <w:name w:val="List Paragraph"/>
    <w:basedOn w:val="a"/>
    <w:uiPriority w:val="34"/>
    <w:qFormat w:val="1"/>
    <w:rsid w:val="00EB049A"/>
    <w:pPr>
      <w:ind w:left="720"/>
      <w:contextualSpacing w:val="1"/>
    </w:pPr>
  </w:style>
  <w:style w:type="character" w:styleId="a7">
    <w:name w:val="Hyperlink"/>
    <w:basedOn w:val="a0"/>
    <w:uiPriority w:val="99"/>
    <w:rsid w:val="00EB049A"/>
    <w:rPr>
      <w:color w:val="0000ff"/>
      <w:u w:val="single"/>
    </w:rPr>
  </w:style>
  <w:style w:type="paragraph" w:styleId="a8">
    <w:name w:val="Balloon Text"/>
    <w:basedOn w:val="a"/>
    <w:link w:val="a9"/>
    <w:uiPriority w:val="99"/>
    <w:semiHidden w:val="1"/>
    <w:unhideWhenUsed w:val="1"/>
    <w:rsid w:val="00782F5A"/>
    <w:rPr>
      <w:rFonts w:ascii="Segoe UI" w:cs="Segoe UI" w:hAnsi="Segoe UI"/>
      <w:sz w:val="18"/>
      <w:szCs w:val="18"/>
    </w:rPr>
  </w:style>
  <w:style w:type="character" w:styleId="a9" w:customStyle="1">
    <w:name w:val="Текст выноски Знак"/>
    <w:basedOn w:val="a0"/>
    <w:link w:val="a8"/>
    <w:uiPriority w:val="99"/>
    <w:semiHidden w:val="1"/>
    <w:rsid w:val="00782F5A"/>
    <w:rPr>
      <w:rFonts w:ascii="Segoe UI" w:cs="Segoe UI" w:eastAsia="Times New Roman" w:hAnsi="Segoe UI"/>
      <w:sz w:val="18"/>
      <w:szCs w:val="18"/>
      <w:lang w:val="en-US"/>
    </w:rPr>
  </w:style>
  <w:style w:type="character" w:styleId="40" w:customStyle="1">
    <w:name w:val="Заголовок 4 Знак"/>
    <w:basedOn w:val="a0"/>
    <w:link w:val="4"/>
    <w:uiPriority w:val="9"/>
    <w:semiHidden w:val="1"/>
    <w:rsid w:val="005F1DB3"/>
    <w:rPr>
      <w:rFonts w:asciiTheme="majorHAnsi" w:cstheme="majorBidi" w:eastAsiaTheme="majorEastAsia" w:hAnsiTheme="majorHAnsi"/>
      <w:i w:val="1"/>
      <w:iCs w:val="1"/>
      <w:color w:val="2e74b5" w:themeColor="accent1" w:themeShade="0000BF"/>
      <w:sz w:val="20"/>
      <w:szCs w:val="20"/>
      <w:lang w:val="en-US"/>
    </w:rPr>
  </w:style>
  <w:style w:type="character" w:styleId="aa">
    <w:name w:val="Intense Emphasis"/>
    <w:basedOn w:val="a0"/>
    <w:uiPriority w:val="21"/>
    <w:qFormat w:val="1"/>
    <w:rsid w:val="000146D4"/>
    <w:rPr>
      <w:i w:val="1"/>
      <w:iCs w:val="1"/>
      <w:color w:val="5b9bd5" w:themeColor="accent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firstLine="709"/>
      <w:jc w:val="both"/>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9" Type="http://schemas.openxmlformats.org/officeDocument/2006/relationships/hyperlink" Target="https://particip.gov.md/ro/document/stages/*/13047"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mec.gov.md" TargetMode="External"/><Relationship Id="rId8" Type="http://schemas.openxmlformats.org/officeDocument/2006/relationships/hyperlink" Target="http://www.particip.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d2aFiDRIX8Gg2nMdN14YMxfiUg==">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2024-08-12T05:26:00Z</dcterms:created>
  <dc:creator>Пользователь</dc:creator>
</cp:coreProperties>
</file>