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24D0D" w14:textId="4902BE34" w:rsidR="007E3685" w:rsidRDefault="0096264A" w:rsidP="004C3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o-RO"/>
        </w:rPr>
      </w:pPr>
      <w:r w:rsidRPr="00076E5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o-RO"/>
        </w:rPr>
        <w:t>NOTA DE FUNDAMENTARE</w:t>
      </w:r>
    </w:p>
    <w:p w14:paraId="1558256F" w14:textId="77777777" w:rsidR="004C3965" w:rsidRPr="00076E58" w:rsidRDefault="004C3965" w:rsidP="004C3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o-RO"/>
        </w:rPr>
      </w:pPr>
    </w:p>
    <w:p w14:paraId="2955E035" w14:textId="16A8BAC2" w:rsidR="007E3685" w:rsidRPr="00076E58" w:rsidRDefault="007E3685" w:rsidP="004C3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o-RO"/>
        </w:rPr>
      </w:pPr>
      <w:r w:rsidRPr="00076E5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o-RO"/>
        </w:rPr>
        <w:t>la proiectul Hotărârii Guvernului cu privire la modificarea Hotărârii Guvernului 225/2023 cu privire la participarea Republicii Moldova la Expoziția Mondială „Expo Osaka 2025”</w:t>
      </w:r>
    </w:p>
    <w:p w14:paraId="621164FD" w14:textId="2A06C9DB" w:rsidR="007E2162" w:rsidRDefault="007E2162" w:rsidP="004C3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o-RO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61"/>
      </w:tblGrid>
      <w:tr w:rsidR="00891AF1" w:rsidRPr="00F92FDF" w14:paraId="39CF79B1" w14:textId="77777777" w:rsidTr="00C20FED">
        <w:trPr>
          <w:trHeight w:val="726"/>
        </w:trPr>
        <w:tc>
          <w:tcPr>
            <w:tcW w:w="9061" w:type="dxa"/>
            <w:vAlign w:val="center"/>
          </w:tcPr>
          <w:p w14:paraId="751B77CA" w14:textId="3FD2F17A" w:rsidR="00891AF1" w:rsidRPr="00F92FDF" w:rsidRDefault="00891AF1" w:rsidP="00F92FDF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F92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1. Denumirea sau numele autorului şi, după caz, a/al participanților la elaborarea proiectului actului normativ</w:t>
            </w:r>
          </w:p>
        </w:tc>
      </w:tr>
      <w:tr w:rsidR="00891AF1" w:rsidRPr="00F92FDF" w14:paraId="284E1294" w14:textId="77777777" w:rsidTr="00C20FED">
        <w:trPr>
          <w:trHeight w:val="293"/>
        </w:trPr>
        <w:tc>
          <w:tcPr>
            <w:tcW w:w="9061" w:type="dxa"/>
            <w:vAlign w:val="center"/>
          </w:tcPr>
          <w:p w14:paraId="677C5823" w14:textId="3650771E" w:rsidR="00076E58" w:rsidRPr="00F92FDF" w:rsidRDefault="00891AF1" w:rsidP="00261959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F92FDF">
              <w:rPr>
                <w:rFonts w:ascii="Times New Roman" w:hAnsi="Times New Roman" w:cs="Times New Roman"/>
                <w:sz w:val="24"/>
                <w:szCs w:val="24"/>
              </w:rPr>
              <w:t>Proiectul este elaborat de Ministerul Dezvoltării Economice și Digitalizării.</w:t>
            </w:r>
          </w:p>
        </w:tc>
      </w:tr>
      <w:tr w:rsidR="00891AF1" w:rsidRPr="00F92FDF" w14:paraId="5EB78D6A" w14:textId="77777777" w:rsidTr="00C20FED">
        <w:trPr>
          <w:trHeight w:val="403"/>
        </w:trPr>
        <w:tc>
          <w:tcPr>
            <w:tcW w:w="9061" w:type="dxa"/>
            <w:vAlign w:val="center"/>
          </w:tcPr>
          <w:p w14:paraId="562B85C4" w14:textId="6E324E72" w:rsidR="00891AF1" w:rsidRPr="00F92FDF" w:rsidRDefault="00727570" w:rsidP="00F92FDF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92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2</w:t>
            </w:r>
            <w:r w:rsidR="00891AF1" w:rsidRPr="00F92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. Condițiile ce au impus elaborarea proiectului actului normativ</w:t>
            </w:r>
          </w:p>
        </w:tc>
      </w:tr>
      <w:tr w:rsidR="00891AF1" w:rsidRPr="00F92FDF" w14:paraId="4C6FAB97" w14:textId="77777777" w:rsidTr="00C20FED">
        <w:trPr>
          <w:trHeight w:val="8385"/>
        </w:trPr>
        <w:tc>
          <w:tcPr>
            <w:tcW w:w="9061" w:type="dxa"/>
            <w:vAlign w:val="center"/>
          </w:tcPr>
          <w:p w14:paraId="4348624A" w14:textId="4AF1E3BC" w:rsidR="00727570" w:rsidRPr="00F92FDF" w:rsidRDefault="00727570" w:rsidP="0026195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Hotărârea Guvernului nr. 225/2023 cu privire la participarea Republicii Moldova la Expoziția Mondială „Expo Osaka 2025” (în continuare HG nr. 225/2023), prevede crearea Comitetului organizatoric pentru pregătirea participării Republicii Moldova la Expoziția Mondială „Expo Osaka 2025”</w:t>
            </w:r>
            <w:r w:rsidR="0026195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r w:rsidR="00261959"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(în continuare Comitetul organizatoric)</w:t>
            </w:r>
            <w:r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 iar controlul asupra executării prezentei hotărâri se pune în sarcina Ministerului Dezvoltării Economice și Digitalizării.</w:t>
            </w:r>
          </w:p>
          <w:p w14:paraId="4AEF985C" w14:textId="0CCF2F47" w:rsidR="00727570" w:rsidRPr="00F92FDF" w:rsidRDefault="00727570" w:rsidP="0026195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În conformitate cu </w:t>
            </w:r>
            <w:r w:rsidR="00F92FDF"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prevederile Regulamentului </w:t>
            </w:r>
            <w:r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de organizare și funcționare a Comitetului organizatoric, aprobat prin Anexa nr. 1 la HG nr. 225/2023, acesta coordonează </w:t>
            </w:r>
            <w:r w:rsidR="00F92FDF"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procesul de </w:t>
            </w:r>
            <w:r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finanțare</w:t>
            </w:r>
            <w:r w:rsidR="00F92FDF"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a tuturor acțiunilor, </w:t>
            </w:r>
            <w:r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conform devizului de cheltuieli și planului de finanțare etapizat</w:t>
            </w:r>
            <w:r w:rsidR="00F92FDF"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. </w:t>
            </w:r>
            <w:r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Președintele Comitetului organizatoric este Viceprim-ministru, Ministrul Dezvoltării Economice și Digitalizării</w:t>
            </w:r>
            <w:r w:rsidR="00076E58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 dl</w:t>
            </w:r>
            <w:r w:rsidR="00F92FDF"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Dumitru </w:t>
            </w:r>
            <w:proofErr w:type="spellStart"/>
            <w:r w:rsidR="00F92FDF"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Alaiba</w:t>
            </w:r>
            <w:proofErr w:type="spellEnd"/>
            <w:r w:rsidR="00F92FDF"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.</w:t>
            </w:r>
          </w:p>
          <w:p w14:paraId="64B4D557" w14:textId="3FB79B48" w:rsidR="00727570" w:rsidRPr="00F92FDF" w:rsidRDefault="00727570" w:rsidP="0026195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În același timp, HG nr. 225/2023 nu </w:t>
            </w:r>
            <w:r w:rsidR="00F92FDF"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reflectă </w:t>
            </w:r>
            <w:r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prevederi clare referitoare la </w:t>
            </w:r>
            <w:r w:rsidR="00C20FE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procesul de </w:t>
            </w:r>
            <w:r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finanțare</w:t>
            </w:r>
            <w:r w:rsidR="00C20FE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r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a participării </w:t>
            </w:r>
            <w:r w:rsidR="00F92FDF"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Republicii Moldova </w:t>
            </w:r>
            <w:r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la expoziție, ceea ce </w:t>
            </w:r>
            <w:r w:rsidR="00F92FDF"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eventual poate genera confuzii </w:t>
            </w:r>
            <w:r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și întâr</w:t>
            </w:r>
            <w:r w:rsidR="00F92FDF"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zieri în procesul de organizare</w:t>
            </w:r>
            <w:r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. </w:t>
            </w:r>
          </w:p>
          <w:p w14:paraId="0869553B" w14:textId="402EE272" w:rsidR="00727570" w:rsidRPr="00F92FDF" w:rsidRDefault="00727570" w:rsidP="0026195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Astfel, se propune ca finanțarea participării </w:t>
            </w:r>
            <w:r w:rsidR="00F92FDF"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Republicii Moldova </w:t>
            </w:r>
            <w:r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la „Expo Osaka 2025” să fie efectuată </w:t>
            </w:r>
            <w:r w:rsidR="00FB2AE0" w:rsidRPr="00FB2AE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din contul și în limitele alocațiilor prevăzute anual în acest scop în bugetul </w:t>
            </w:r>
            <w:r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Ministerului Dezvoltării Economice și Digitalizării, la propunerea membrilor Comitetului organizatoric. De remarcat, că această practică a fost aplicată </w:t>
            </w:r>
            <w:r w:rsidR="007B2DE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anterior </w:t>
            </w:r>
            <w:r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la expozițiile </w:t>
            </w:r>
            <w:r w:rsidR="007B2DE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mondiale </w:t>
            </w:r>
            <w:r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din Shanghai în anul</w:t>
            </w:r>
            <w:r w:rsidR="00F92FDF"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2010, Milano în 2015 și </w:t>
            </w:r>
            <w:r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Dubai 2020</w:t>
            </w:r>
            <w:r w:rsidR="008C628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.</w:t>
            </w:r>
          </w:p>
          <w:p w14:paraId="4BF77E1E" w14:textId="0E96ED63" w:rsidR="00727570" w:rsidRPr="00F92FDF" w:rsidRDefault="00727570" w:rsidP="00261959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De asemenea, elaborarea proiectului este dictată de necesitatea asigur</w:t>
            </w:r>
            <w:r w:rsidR="007B2DE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ării </w:t>
            </w:r>
            <w:r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colabor</w:t>
            </w:r>
            <w:r w:rsidR="007B2DE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ării </w:t>
            </w:r>
            <w:r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eficient</w:t>
            </w:r>
            <w:r w:rsidR="007B2DE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e </w:t>
            </w:r>
            <w:r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între ministere și instituții implicate în organizarea participării, sporind eficiența procesului de pregătire </w:t>
            </w:r>
            <w:r w:rsidR="00F92FDF"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a </w:t>
            </w:r>
            <w:r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participării la „Expo Osaka 2025”.</w:t>
            </w:r>
          </w:p>
          <w:p w14:paraId="70AE1BE3" w14:textId="3887BC78" w:rsidR="00727570" w:rsidRPr="00F92FDF" w:rsidRDefault="007B2DE1" w:rsidP="00261959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</w:t>
            </w:r>
            <w:r w:rsidR="00727570"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ceste modificări vor defini responsabilitățile și procedurile de alocare a fondurilor financiare de către Ministerul Dezvoltării Economice și Digitalizării în baza devizului de cheltuieli și planului de finanțare aprobat de către Comitetul organizatoric.</w:t>
            </w:r>
          </w:p>
          <w:p w14:paraId="42B8F3D9" w14:textId="2AE7D988" w:rsidR="00F92FDF" w:rsidRPr="00F92FDF" w:rsidRDefault="007B2DE1" w:rsidP="0026195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Toate cele menționate supra </w:t>
            </w:r>
            <w:r w:rsidR="00727570"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accentuează importanța elaborării proiectului de act normativ pentru a asigura o participare bine organizată</w:t>
            </w:r>
            <w:r w:rsidR="00727570" w:rsidRPr="00F92FDF">
              <w:rPr>
                <w:rFonts w:ascii="Times New Roman" w:hAnsi="Times New Roman" w:cs="Times New Roman"/>
                <w:sz w:val="24"/>
                <w:szCs w:val="24"/>
              </w:rPr>
              <w:t xml:space="preserve"> și sustenabilă a Republicii Moldova la Expoziția Mondială „Expo Osaka 2025”.</w:t>
            </w:r>
          </w:p>
        </w:tc>
      </w:tr>
      <w:tr w:rsidR="00891AF1" w:rsidRPr="00F92FDF" w14:paraId="45DC4A48" w14:textId="77777777" w:rsidTr="00494374">
        <w:tc>
          <w:tcPr>
            <w:tcW w:w="9061" w:type="dxa"/>
          </w:tcPr>
          <w:p w14:paraId="73169EF0" w14:textId="16FC2C79" w:rsidR="00891AF1" w:rsidRPr="00F92FDF" w:rsidRDefault="00727570" w:rsidP="00F92FDF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F92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3. Obiectivele urmărite și soluțiile propuse</w:t>
            </w:r>
          </w:p>
        </w:tc>
      </w:tr>
      <w:tr w:rsidR="00891AF1" w:rsidRPr="00F92FDF" w14:paraId="2A453A46" w14:textId="77777777" w:rsidTr="00494374">
        <w:tc>
          <w:tcPr>
            <w:tcW w:w="9061" w:type="dxa"/>
          </w:tcPr>
          <w:p w14:paraId="7CAF24B6" w14:textId="2112B1D9" w:rsidR="00727570" w:rsidRPr="00F92FDF" w:rsidRDefault="00727570" w:rsidP="00F92FDF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83424041"/>
            <w:r w:rsidRPr="00F92FDF">
              <w:rPr>
                <w:rFonts w:ascii="Times New Roman" w:hAnsi="Times New Roman" w:cs="Times New Roman"/>
                <w:sz w:val="24"/>
                <w:szCs w:val="24"/>
              </w:rPr>
              <w:t>Scopul principal al proiectului este asigurarea unei finanțări transparente</w:t>
            </w:r>
            <w:r w:rsidR="00F92FDF" w:rsidRPr="00F92FDF">
              <w:rPr>
                <w:rFonts w:ascii="Times New Roman" w:hAnsi="Times New Roman" w:cs="Times New Roman"/>
                <w:sz w:val="24"/>
                <w:szCs w:val="24"/>
              </w:rPr>
              <w:t xml:space="preserve"> și echitabile</w:t>
            </w:r>
            <w:r w:rsidRPr="00F92FDF">
              <w:rPr>
                <w:rFonts w:ascii="Times New Roman" w:hAnsi="Times New Roman" w:cs="Times New Roman"/>
                <w:sz w:val="24"/>
                <w:szCs w:val="24"/>
              </w:rPr>
              <w:t xml:space="preserve"> pentru participarea Republicii Moldova la „Expo Osaka 2025”.</w:t>
            </w:r>
          </w:p>
          <w:p w14:paraId="3CBE6239" w14:textId="189195D4" w:rsidR="00083E1F" w:rsidRPr="00DA0840" w:rsidRDefault="00607D68" w:rsidP="00F92FDF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FDF">
              <w:rPr>
                <w:rFonts w:ascii="Times New Roman" w:hAnsi="Times New Roman" w:cs="Times New Roman"/>
                <w:sz w:val="24"/>
                <w:szCs w:val="24"/>
              </w:rPr>
              <w:t xml:space="preserve">Proiectul prevede completarea </w:t>
            </w:r>
            <w:r w:rsidR="00B3204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F92FDF">
              <w:rPr>
                <w:rFonts w:ascii="Times New Roman" w:hAnsi="Times New Roman" w:cs="Times New Roman"/>
                <w:sz w:val="24"/>
                <w:szCs w:val="24"/>
              </w:rPr>
              <w:t>otărârii Guvernului cu un nou punc</w:t>
            </w:r>
            <w:r w:rsidR="00BE1C1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B320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92FDF">
              <w:rPr>
                <w:rFonts w:ascii="Times New Roman" w:hAnsi="Times New Roman" w:cs="Times New Roman"/>
                <w:sz w:val="24"/>
                <w:szCs w:val="24"/>
              </w:rPr>
              <w:t>care stabilește că „</w:t>
            </w:r>
            <w:r w:rsidRPr="00DA0840">
              <w:rPr>
                <w:rFonts w:ascii="Times New Roman" w:hAnsi="Times New Roman" w:cs="Times New Roman"/>
                <w:sz w:val="24"/>
                <w:szCs w:val="24"/>
              </w:rPr>
              <w:t xml:space="preserve">Finanțarea participării Republicii Moldova la Expoziția Mondială ,,Expo Osaka 2025” </w:t>
            </w:r>
            <w:r w:rsidR="00083E1F" w:rsidRPr="00DA0840">
              <w:rPr>
                <w:rFonts w:ascii="Times New Roman" w:hAnsi="Times New Roman" w:cs="Times New Roman"/>
                <w:sz w:val="24"/>
                <w:szCs w:val="24"/>
              </w:rPr>
              <w:t xml:space="preserve">va fi asigurată din contul și în limitele alocațiilor prevăzute anual în acest scop în bugetul Ministerului Dezvoltării Economice și Digitalizării, conform devizului de cheltuieli și </w:t>
            </w:r>
            <w:r w:rsidR="00083E1F" w:rsidRPr="00DA08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planului de finanțare aprobat de către Comitetul organizatoric</w:t>
            </w:r>
            <w:r w:rsidR="007B2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DE1"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pentru pregătirea participării Republicii Moldova la Expoziția Mondială „Expo Osaka 2025</w:t>
            </w:r>
            <w:r w:rsidR="00083E1F" w:rsidRPr="00DA0840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  <w:p w14:paraId="2F1A97FB" w14:textId="10D6DAFF" w:rsidR="00F92FDF" w:rsidRPr="00F92FDF" w:rsidRDefault="00083E1F" w:rsidP="00DA0840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DA0840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 w:rsidRPr="00F168D7">
              <w:rPr>
                <w:rFonts w:ascii="Times New Roman" w:hAnsi="Times New Roman" w:cs="Times New Roman"/>
                <w:sz w:val="24"/>
                <w:szCs w:val="24"/>
              </w:rPr>
              <w:t xml:space="preserve">asemenea, </w:t>
            </w:r>
            <w:r w:rsidR="004A57B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F168D7" w:rsidRPr="00F168D7">
              <w:rPr>
                <w:rFonts w:ascii="Times New Roman" w:hAnsi="Times New Roman" w:cs="Times New Roman"/>
                <w:sz w:val="24"/>
                <w:szCs w:val="24"/>
              </w:rPr>
              <w:t>otărâre</w:t>
            </w:r>
            <w:r w:rsidR="005861A8">
              <w:rPr>
                <w:rFonts w:ascii="Times New Roman" w:hAnsi="Times New Roman" w:cs="Times New Roman"/>
                <w:sz w:val="24"/>
                <w:szCs w:val="24"/>
              </w:rPr>
              <w:t>a în cauză</w:t>
            </w:r>
            <w:r w:rsidR="004A5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68D7" w:rsidRPr="00F168D7">
              <w:rPr>
                <w:rFonts w:ascii="Times New Roman" w:hAnsi="Times New Roman" w:cs="Times New Roman"/>
                <w:sz w:val="24"/>
                <w:szCs w:val="24"/>
              </w:rPr>
              <w:t>va intr</w:t>
            </w:r>
            <w:r w:rsidR="00F168D7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F168D7" w:rsidRPr="00F168D7">
              <w:rPr>
                <w:rFonts w:ascii="Times New Roman" w:hAnsi="Times New Roman" w:cs="Times New Roman"/>
                <w:sz w:val="24"/>
                <w:szCs w:val="24"/>
              </w:rPr>
              <w:t>în vigoare la data publicării în Monitorul Oficial al Republicii Moldova</w:t>
            </w:r>
            <w:r w:rsidR="00F168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3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7B28" w:rsidRPr="005861A8">
              <w:rPr>
                <w:rFonts w:ascii="Times New Roman" w:hAnsi="Times New Roman" w:cs="Times New Roman"/>
                <w:sz w:val="24"/>
                <w:szCs w:val="24"/>
              </w:rPr>
              <w:t xml:space="preserve">Această decizie este dictată de </w:t>
            </w:r>
            <w:r w:rsidR="00C67F36">
              <w:rPr>
                <w:rFonts w:ascii="Times New Roman" w:hAnsi="Times New Roman" w:cs="Times New Roman"/>
                <w:sz w:val="24"/>
                <w:szCs w:val="24"/>
              </w:rPr>
              <w:t xml:space="preserve">necesitatea </w:t>
            </w:r>
            <w:r w:rsidR="003E7B28" w:rsidRPr="005861A8">
              <w:rPr>
                <w:rFonts w:ascii="Times New Roman" w:hAnsi="Times New Roman" w:cs="Times New Roman"/>
                <w:sz w:val="24"/>
                <w:szCs w:val="24"/>
              </w:rPr>
              <w:t>acceler</w:t>
            </w:r>
            <w:r w:rsidR="00C67F36">
              <w:rPr>
                <w:rFonts w:ascii="Times New Roman" w:hAnsi="Times New Roman" w:cs="Times New Roman"/>
                <w:sz w:val="24"/>
                <w:szCs w:val="24"/>
              </w:rPr>
              <w:t xml:space="preserve">ării </w:t>
            </w:r>
            <w:r w:rsidR="003E7B28" w:rsidRPr="005861A8">
              <w:rPr>
                <w:rFonts w:ascii="Times New Roman" w:hAnsi="Times New Roman" w:cs="Times New Roman"/>
                <w:sz w:val="24"/>
                <w:szCs w:val="24"/>
              </w:rPr>
              <w:t>distribuir</w:t>
            </w:r>
            <w:r w:rsidR="00C67F36"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r w:rsidR="003E7B28" w:rsidRPr="005861A8">
              <w:rPr>
                <w:rFonts w:ascii="Times New Roman" w:hAnsi="Times New Roman" w:cs="Times New Roman"/>
                <w:sz w:val="24"/>
                <w:szCs w:val="24"/>
              </w:rPr>
              <w:t xml:space="preserve">fondurilor </w:t>
            </w:r>
            <w:r w:rsidR="003E7B28" w:rsidRPr="003E7B28">
              <w:rPr>
                <w:rFonts w:ascii="Times New Roman" w:hAnsi="Times New Roman" w:cs="Times New Roman"/>
                <w:sz w:val="24"/>
                <w:szCs w:val="24"/>
              </w:rPr>
              <w:t xml:space="preserve">financiare </w:t>
            </w:r>
            <w:r w:rsidR="003E7B28" w:rsidRPr="005861A8">
              <w:rPr>
                <w:rFonts w:ascii="Times New Roman" w:hAnsi="Times New Roman" w:cs="Times New Roman"/>
                <w:sz w:val="24"/>
                <w:szCs w:val="24"/>
              </w:rPr>
              <w:t xml:space="preserve">pentru activitățile </w:t>
            </w:r>
            <w:r w:rsidR="00E3325B" w:rsidRPr="00715C04">
              <w:rPr>
                <w:rFonts w:ascii="Times New Roman" w:hAnsi="Times New Roman" w:cs="Times New Roman"/>
                <w:sz w:val="24"/>
                <w:szCs w:val="24"/>
              </w:rPr>
              <w:t>planificate</w:t>
            </w:r>
            <w:r w:rsidR="00E3325B" w:rsidRPr="003E7B28">
              <w:rPr>
                <w:rFonts w:ascii="Times New Roman" w:hAnsi="Times New Roman" w:cs="Times New Roman"/>
                <w:sz w:val="24"/>
                <w:szCs w:val="24"/>
              </w:rPr>
              <w:t xml:space="preserve"> în anul curent</w:t>
            </w:r>
            <w:r w:rsidR="0078076D">
              <w:rPr>
                <w:rFonts w:ascii="Times New Roman" w:hAnsi="Times New Roman" w:cs="Times New Roman"/>
                <w:sz w:val="24"/>
                <w:szCs w:val="24"/>
              </w:rPr>
              <w:t xml:space="preserve">. Prin urmare, în vederea unei bunei participări la </w:t>
            </w:r>
            <w:r w:rsidR="0078076D" w:rsidRPr="00DA0840">
              <w:rPr>
                <w:rFonts w:ascii="Times New Roman" w:hAnsi="Times New Roman" w:cs="Times New Roman"/>
                <w:sz w:val="24"/>
                <w:szCs w:val="24"/>
              </w:rPr>
              <w:t>,,Expo Osaka 2025”</w:t>
            </w:r>
            <w:r w:rsidR="00DA0840" w:rsidRPr="00DA0840">
              <w:rPr>
                <w:rFonts w:ascii="Times New Roman" w:hAnsi="Times New Roman" w:cs="Times New Roman"/>
                <w:sz w:val="24"/>
                <w:szCs w:val="24"/>
              </w:rPr>
              <w:t xml:space="preserve"> și pentru </w:t>
            </w:r>
            <w:r w:rsidR="00DA0840" w:rsidRPr="005861A8">
              <w:rPr>
                <w:rFonts w:ascii="Times New Roman" w:hAnsi="Times New Roman" w:cs="Times New Roman"/>
                <w:sz w:val="24"/>
                <w:szCs w:val="24"/>
              </w:rPr>
              <w:t>evita</w:t>
            </w:r>
            <w:r w:rsidR="00DA0840">
              <w:rPr>
                <w:rFonts w:ascii="Times New Roman" w:hAnsi="Times New Roman" w:cs="Times New Roman"/>
                <w:sz w:val="24"/>
                <w:szCs w:val="24"/>
              </w:rPr>
              <w:t>rea</w:t>
            </w:r>
            <w:r w:rsidR="00DA0840" w:rsidRPr="005861A8">
              <w:rPr>
                <w:rFonts w:ascii="Times New Roman" w:hAnsi="Times New Roman" w:cs="Times New Roman"/>
                <w:sz w:val="24"/>
                <w:szCs w:val="24"/>
              </w:rPr>
              <w:t xml:space="preserve"> restanțel</w:t>
            </w:r>
            <w:r w:rsidR="00DA0840">
              <w:rPr>
                <w:rFonts w:ascii="Times New Roman" w:hAnsi="Times New Roman" w:cs="Times New Roman"/>
                <w:sz w:val="24"/>
                <w:szCs w:val="24"/>
              </w:rPr>
              <w:t xml:space="preserve">or, </w:t>
            </w:r>
            <w:r w:rsidR="00EC7CFE">
              <w:rPr>
                <w:rFonts w:ascii="Times New Roman" w:hAnsi="Times New Roman" w:cs="Times New Roman"/>
                <w:sz w:val="24"/>
                <w:szCs w:val="24"/>
              </w:rPr>
              <w:t xml:space="preserve">acestea </w:t>
            </w:r>
            <w:r w:rsidR="00E3325B" w:rsidRPr="005861A8">
              <w:rPr>
                <w:rFonts w:ascii="Times New Roman" w:hAnsi="Times New Roman" w:cs="Times New Roman"/>
                <w:sz w:val="24"/>
                <w:szCs w:val="24"/>
              </w:rPr>
              <w:t>trebuie finalizate până la încheierea anului financiar</w:t>
            </w:r>
            <w:r w:rsidR="00EC7C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325B" w:rsidRPr="00586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</w:p>
        </w:tc>
      </w:tr>
      <w:tr w:rsidR="00727570" w:rsidRPr="00F92FDF" w14:paraId="5ECF3470" w14:textId="77777777" w:rsidTr="00494374">
        <w:trPr>
          <w:trHeight w:val="565"/>
        </w:trPr>
        <w:tc>
          <w:tcPr>
            <w:tcW w:w="9061" w:type="dxa"/>
          </w:tcPr>
          <w:p w14:paraId="29CAA957" w14:textId="4C3E09E2" w:rsidR="00727570" w:rsidRPr="00F92FDF" w:rsidRDefault="00727570" w:rsidP="00F92FDF">
            <w:pPr>
              <w:spacing w:before="12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o-RO"/>
              </w:rPr>
            </w:pPr>
            <w:r w:rsidRPr="00F92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lastRenderedPageBreak/>
              <w:t xml:space="preserve">4. Analiza impactului de reglementare </w:t>
            </w:r>
          </w:p>
        </w:tc>
      </w:tr>
      <w:tr w:rsidR="00727570" w:rsidRPr="00F92FDF" w14:paraId="3E310FB0" w14:textId="77777777" w:rsidTr="00494374">
        <w:trPr>
          <w:trHeight w:val="711"/>
        </w:trPr>
        <w:tc>
          <w:tcPr>
            <w:tcW w:w="9061" w:type="dxa"/>
          </w:tcPr>
          <w:p w14:paraId="574AB16E" w14:textId="77777777" w:rsidR="00727570" w:rsidRPr="00F92FDF" w:rsidRDefault="00727570" w:rsidP="00F92FDF">
            <w:pPr>
              <w:spacing w:before="12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o-RO"/>
              </w:rPr>
            </w:pPr>
            <w:r w:rsidRPr="00F92F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o-RO"/>
              </w:rPr>
              <w:t>4.1. Impactul asupra sectorului public</w:t>
            </w:r>
          </w:p>
          <w:p w14:paraId="67859AB5" w14:textId="092AE6CA" w:rsidR="00727570" w:rsidRPr="00F92FDF" w:rsidRDefault="00727570" w:rsidP="00F92FDF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Modificarea propusă va clarifica gestionarea </w:t>
            </w:r>
            <w:r w:rsidR="00F92FDF"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responsabilităților</w:t>
            </w:r>
            <w:r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instituțiilor publice implicate în</w:t>
            </w:r>
            <w:r w:rsidR="00246D8C"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finanțarea </w:t>
            </w:r>
            <w:r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participării la Expoziția Mondială. </w:t>
            </w:r>
            <w:r w:rsidR="00F92FDF"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Totodată, </w:t>
            </w:r>
            <w:r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va facilita </w:t>
            </w:r>
            <w:r w:rsidR="00F92FDF"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o </w:t>
            </w:r>
            <w:r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coordonare </w:t>
            </w:r>
            <w:r w:rsidR="00F92FDF"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mai bună </w:t>
            </w:r>
            <w:r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între Ministerul Dezvoltării Economice și Digitalizării,</w:t>
            </w:r>
            <w:r w:rsidR="00246D8C"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C.I.E. „</w:t>
            </w:r>
            <w:proofErr w:type="spellStart"/>
            <w:r w:rsidR="00246D8C"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Moldexpo</w:t>
            </w:r>
            <w:proofErr w:type="spellEnd"/>
            <w:r w:rsidR="00246D8C"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” S.A </w:t>
            </w:r>
            <w:r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și </w:t>
            </w:r>
            <w:r w:rsidR="00246D8C"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Comitetul organizatoric</w:t>
            </w:r>
            <w:r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 contribuind la o gestionare mai eficientă a finanțelor publice.</w:t>
            </w:r>
            <w:r w:rsidR="00F92FDF"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  <w:p w14:paraId="0B8CF21D" w14:textId="77777777" w:rsidR="00727570" w:rsidRPr="00F92FDF" w:rsidRDefault="00727570" w:rsidP="00F92FDF">
            <w:pPr>
              <w:spacing w:before="12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o-RO"/>
              </w:rPr>
            </w:pPr>
            <w:r w:rsidRPr="00F92F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o-RO"/>
              </w:rPr>
              <w:t xml:space="preserve">4.2. Impactul financiar și argumentarea costurilor estimative </w:t>
            </w:r>
          </w:p>
          <w:p w14:paraId="4642084C" w14:textId="77777777" w:rsidR="00F141E2" w:rsidRDefault="00E752D1" w:rsidP="00257B04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141E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Proiectul Legii bugetului de stat pentru anul 2025 și C</w:t>
            </w:r>
            <w:r w:rsidR="00FB4E4D" w:rsidRPr="00491FB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adrul Bugetar pe Termen Mediu (2025-2027), aprobat prin Hotărârea Guvernului nr. 561/2024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r w:rsidR="00FB4E4D" w:rsidRPr="00491FB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prev</w:t>
            </w:r>
            <w:r w:rsidR="00F141E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ăd </w:t>
            </w:r>
            <w:r w:rsidR="00FB4E4D" w:rsidRPr="00491FB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alocarea mijloacelor financiare</w:t>
            </w:r>
            <w:r w:rsidR="00F141E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</w:t>
            </w:r>
            <w:r w:rsidR="00FB4E4D" w:rsidRPr="00491FB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în valoare de 5.934,3 mii lei pentru fiecare an.</w:t>
            </w:r>
            <w:r w:rsidR="00257B04" w:rsidRPr="00491FB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r w:rsidR="00FB4E4D" w:rsidRPr="00491FB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Această stabilitate financiară reflectă angajamentul Guvernului de a susține activitățile de promovare a </w:t>
            </w:r>
            <w:r w:rsidR="00E8053F" w:rsidRPr="00491FB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țării în cadrul unei expoziții de proporții care va fi organizată pe parcursul 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șase </w:t>
            </w:r>
            <w:r w:rsidR="00E8053F" w:rsidRPr="00491FB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luni în Osaka, Japonia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.</w:t>
            </w:r>
            <w:r w:rsidR="00FB4E4D" w:rsidRPr="00491FB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  <w:p w14:paraId="51AED16D" w14:textId="0561C720" w:rsidR="00261959" w:rsidRPr="00257B04" w:rsidRDefault="00F141E2" w:rsidP="00257B04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În același timp, </w:t>
            </w:r>
            <w:r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fondurilor </w:t>
            </w:r>
            <w:r w:rsidR="00261959" w:rsidRPr="0026195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Fondurile din bugetul de stat vor fi gestionate de Comitetul organizatoric, iar Ministerul Dezvoltării Economice și Digitalizării va asigura utilizarea eficientă a resurselor financiare, respectând transparența cheltuielilor.</w:t>
            </w:r>
          </w:p>
          <w:p w14:paraId="29BEBBB5" w14:textId="16479546" w:rsidR="00727570" w:rsidRPr="00F92FDF" w:rsidRDefault="00727570" w:rsidP="00F92FDF">
            <w:pPr>
              <w:spacing w:before="12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o-RO"/>
              </w:rPr>
            </w:pPr>
            <w:r w:rsidRPr="00F92F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o-RO"/>
              </w:rPr>
              <w:t>4.3. Impactul asupra sectorului privat</w:t>
            </w:r>
          </w:p>
          <w:p w14:paraId="00D3FEE6" w14:textId="5540DABE" w:rsidR="00727570" w:rsidRPr="00F92FDF" w:rsidRDefault="00727570" w:rsidP="00F92FDF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Participarea la </w:t>
            </w:r>
            <w:r w:rsidR="00590A3A" w:rsidRPr="00F92FDF">
              <w:rPr>
                <w:rFonts w:ascii="Times New Roman" w:hAnsi="Times New Roman" w:cs="Times New Roman"/>
                <w:sz w:val="24"/>
                <w:szCs w:val="24"/>
              </w:rPr>
              <w:t xml:space="preserve">,,Expo Osaka 2025” </w:t>
            </w:r>
            <w:r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va deschide oportunități de colaborare </w:t>
            </w:r>
            <w:r w:rsidR="00E8053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cu mai multe state participante</w:t>
            </w:r>
            <w:r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, stimulând investițiile și parteneriatele internaționale. </w:t>
            </w:r>
            <w:r w:rsidR="000633CB"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Republica Moldova va </w:t>
            </w:r>
            <w:r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avea ocazia să își promoveze produsele și serviciile</w:t>
            </w:r>
            <w:r w:rsidR="00590A3A"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r w:rsidR="008E2737"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atât</w:t>
            </w:r>
            <w:r w:rsidR="00590A3A"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între consumatorii niponi, cât și </w:t>
            </w:r>
            <w:r w:rsidR="008E2737"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restul țării lumii care vor participa la evenimentul dat</w:t>
            </w:r>
            <w:r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.</w:t>
            </w:r>
            <w:r w:rsidR="00590A3A"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r w:rsidRPr="00F92FDF">
              <w:rPr>
                <w:rFonts w:ascii="Times New Roman" w:hAnsi="Times New Roman" w:cs="Times New Roman"/>
                <w:sz w:val="24"/>
                <w:szCs w:val="24"/>
              </w:rPr>
              <w:t>Participarea la Expoziție poate genera oportunități de colaborare și parteneriate cu sectorul privat, promovând produsele și serviciile naționale.</w:t>
            </w:r>
          </w:p>
          <w:p w14:paraId="5FE66D95" w14:textId="77777777" w:rsidR="00727570" w:rsidRPr="00F92FDF" w:rsidRDefault="00727570" w:rsidP="00F92FDF">
            <w:pPr>
              <w:spacing w:before="12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o-RO"/>
              </w:rPr>
            </w:pPr>
            <w:r w:rsidRPr="00F92F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o-RO"/>
              </w:rPr>
              <w:t>4.4. Impactul social</w:t>
            </w:r>
          </w:p>
          <w:p w14:paraId="2606D788" w14:textId="25688293" w:rsidR="00727570" w:rsidRPr="00F92FDF" w:rsidRDefault="00727570" w:rsidP="00F92FDF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Proiectul are un impact pozitiv asupra imaginii țării, contribuind la consolidarea identității culturale. Participarea la un </w:t>
            </w:r>
            <w:r w:rsidR="000633CB"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astfel de eveniment precum expoziția internațională </w:t>
            </w:r>
            <w:r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poate atrage atenția asupra valorilor și tradițiilor moldovenești.</w:t>
            </w:r>
          </w:p>
          <w:p w14:paraId="6F8738A5" w14:textId="77777777" w:rsidR="00727570" w:rsidRPr="00F92FDF" w:rsidRDefault="00727570" w:rsidP="00F92FDF">
            <w:pPr>
              <w:spacing w:before="12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o-RO"/>
              </w:rPr>
            </w:pPr>
            <w:r w:rsidRPr="00F92F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o-RO"/>
              </w:rPr>
              <w:t>4.4.1. Impactul asupra datelor cu caracter personal</w:t>
            </w:r>
          </w:p>
          <w:p w14:paraId="319513A5" w14:textId="4E329088" w:rsidR="00727570" w:rsidRPr="00F92FDF" w:rsidRDefault="00727570" w:rsidP="00F92FDF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Proiectul nu pre</w:t>
            </w:r>
            <w:r w:rsidR="00F26013"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vede </w:t>
            </w:r>
            <w:r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colectarea de date cu caracter personal.</w:t>
            </w:r>
          </w:p>
          <w:p w14:paraId="3F1F649A" w14:textId="77777777" w:rsidR="00727570" w:rsidRPr="00F92FDF" w:rsidRDefault="00727570" w:rsidP="00F92FDF">
            <w:pPr>
              <w:spacing w:before="12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o-RO"/>
              </w:rPr>
            </w:pPr>
            <w:r w:rsidRPr="00F92F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o-RO"/>
              </w:rPr>
              <w:t>4.4.2. Impactul asupra echității și egalității de gen</w:t>
            </w:r>
          </w:p>
          <w:p w14:paraId="6EF39940" w14:textId="50DDBFBC" w:rsidR="00F26013" w:rsidRPr="00F92FDF" w:rsidRDefault="00F26013" w:rsidP="00F92FDF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Proiectul nu are un impact asupra echității și egalității de gen.</w:t>
            </w:r>
          </w:p>
          <w:p w14:paraId="24FF2C45" w14:textId="77777777" w:rsidR="00727570" w:rsidRPr="00F92FDF" w:rsidRDefault="00727570" w:rsidP="00F92FDF">
            <w:pPr>
              <w:spacing w:before="12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o-RO"/>
              </w:rPr>
            </w:pPr>
            <w:r w:rsidRPr="00F92F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o-RO"/>
              </w:rPr>
              <w:t>4.5. Impactul asupra mediului</w:t>
            </w:r>
          </w:p>
          <w:p w14:paraId="6C52257C" w14:textId="6BE9DE50" w:rsidR="00727570" w:rsidRPr="00F92FDF" w:rsidRDefault="00727570" w:rsidP="00F92FDF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Proiectul nu are un impact direct asupra mediului</w:t>
            </w:r>
            <w:r w:rsidR="00F26013"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.</w:t>
            </w:r>
          </w:p>
          <w:p w14:paraId="2674FEC2" w14:textId="77777777" w:rsidR="00727570" w:rsidRPr="00F92FDF" w:rsidRDefault="00727570" w:rsidP="00F92FDF">
            <w:pPr>
              <w:spacing w:before="12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o-RO"/>
              </w:rPr>
            </w:pPr>
            <w:r w:rsidRPr="00F92F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o-RO"/>
              </w:rPr>
              <w:t>4.6. Alte impacturi și informații relevante</w:t>
            </w:r>
          </w:p>
          <w:p w14:paraId="12AE2794" w14:textId="06B9BCA6" w:rsidR="00DF2434" w:rsidRPr="00650F20" w:rsidRDefault="00727570" w:rsidP="00257B04">
            <w:pPr>
              <w:spacing w:before="12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o-RO"/>
              </w:rPr>
            </w:pPr>
            <w:r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Participarea la Expoziția Mondială va </w:t>
            </w:r>
            <w:r w:rsidR="00B32EA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contribui la</w:t>
            </w:r>
            <w:r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promova</w:t>
            </w:r>
            <w:r w:rsidR="00B32EA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rea diverselor </w:t>
            </w:r>
            <w:r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sectoare</w:t>
            </w:r>
            <w:r w:rsidR="00B32EA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ale economiei</w:t>
            </w:r>
            <w:r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 contribuind astfel la dezvoltarea durabilă a țării.</w:t>
            </w:r>
          </w:p>
        </w:tc>
      </w:tr>
      <w:tr w:rsidR="00727570" w:rsidRPr="00F92FDF" w14:paraId="0949F687" w14:textId="77777777" w:rsidTr="00494374">
        <w:trPr>
          <w:trHeight w:val="538"/>
        </w:trPr>
        <w:tc>
          <w:tcPr>
            <w:tcW w:w="9061" w:type="dxa"/>
          </w:tcPr>
          <w:p w14:paraId="7B33B23E" w14:textId="06EB4F5F" w:rsidR="00727570" w:rsidRPr="00F92FDF" w:rsidRDefault="00727570" w:rsidP="00F92FDF">
            <w:pPr>
              <w:spacing w:before="12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o-RO"/>
              </w:rPr>
            </w:pPr>
            <w:r w:rsidRPr="00F92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lastRenderedPageBreak/>
              <w:t>5. Compatibilitatea proiectului actului normativ cu legislația UE</w:t>
            </w:r>
          </w:p>
        </w:tc>
      </w:tr>
      <w:tr w:rsidR="00727570" w:rsidRPr="00F92FDF" w14:paraId="49F5D229" w14:textId="77777777" w:rsidTr="00494374">
        <w:trPr>
          <w:trHeight w:val="545"/>
        </w:trPr>
        <w:tc>
          <w:tcPr>
            <w:tcW w:w="9061" w:type="dxa"/>
          </w:tcPr>
          <w:p w14:paraId="75835236" w14:textId="0475DF4C" w:rsidR="00F92FDF" w:rsidRPr="00F92FDF" w:rsidRDefault="00727570" w:rsidP="00076E58">
            <w:pPr>
              <w:spacing w:before="12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o-RO"/>
              </w:rPr>
            </w:pPr>
            <w:r w:rsidRPr="00F92FDF">
              <w:rPr>
                <w:rFonts w:ascii="Times New Roman" w:hAnsi="Times New Roman" w:cs="Times New Roman"/>
                <w:sz w:val="24"/>
                <w:szCs w:val="24"/>
              </w:rPr>
              <w:t xml:space="preserve">Proiectul este </w:t>
            </w:r>
            <w:r w:rsidR="00DF55B0" w:rsidRPr="00F92FDF">
              <w:rPr>
                <w:rFonts w:ascii="Times New Roman" w:hAnsi="Times New Roman" w:cs="Times New Roman"/>
                <w:sz w:val="24"/>
                <w:szCs w:val="24"/>
              </w:rPr>
              <w:t xml:space="preserve">compatibil </w:t>
            </w:r>
            <w:r w:rsidRPr="00F92FDF">
              <w:rPr>
                <w:rFonts w:ascii="Times New Roman" w:hAnsi="Times New Roman" w:cs="Times New Roman"/>
                <w:sz w:val="24"/>
                <w:szCs w:val="24"/>
              </w:rPr>
              <w:t>cu normele europene</w:t>
            </w:r>
          </w:p>
        </w:tc>
      </w:tr>
      <w:tr w:rsidR="00DF2434" w:rsidRPr="00F92FDF" w14:paraId="5668FB74" w14:textId="77777777" w:rsidTr="00494374">
        <w:trPr>
          <w:trHeight w:val="543"/>
        </w:trPr>
        <w:tc>
          <w:tcPr>
            <w:tcW w:w="9061" w:type="dxa"/>
          </w:tcPr>
          <w:p w14:paraId="2C29B09B" w14:textId="0A2FDE46" w:rsidR="00DF2434" w:rsidRPr="00F92FDF" w:rsidRDefault="00DF2434" w:rsidP="00DF2434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92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6. Avizarea și consultarea publică a proiectului actului normativ</w:t>
            </w:r>
          </w:p>
        </w:tc>
      </w:tr>
      <w:tr w:rsidR="00727570" w:rsidRPr="00F92FDF" w14:paraId="7DD23159" w14:textId="77777777" w:rsidTr="00494374">
        <w:trPr>
          <w:trHeight w:val="2528"/>
        </w:trPr>
        <w:tc>
          <w:tcPr>
            <w:tcW w:w="9061" w:type="dxa"/>
          </w:tcPr>
          <w:p w14:paraId="1C89CEC6" w14:textId="6891CB43" w:rsidR="00DF55B0" w:rsidRPr="00F92FDF" w:rsidRDefault="00724C4D" w:rsidP="00F92FDF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FDF">
              <w:rPr>
                <w:rFonts w:ascii="Times New Roman" w:hAnsi="Times New Roman" w:cs="Times New Roman"/>
                <w:sz w:val="24"/>
                <w:szCs w:val="24"/>
              </w:rPr>
              <w:t xml:space="preserve">În conformitate cu art. 32 alin.(1) din Legea nr.100/2017 cu privire la actele normative și pct. 190 din Regulamentul Guvernului, aprobat prin Hotărârea Guvernului nr. 610/2018, proiectul actului normativ și nota de fundamentare, </w:t>
            </w:r>
            <w:r w:rsidR="00C84E8F">
              <w:rPr>
                <w:rFonts w:ascii="Times New Roman" w:hAnsi="Times New Roman" w:cs="Times New Roman"/>
                <w:sz w:val="24"/>
                <w:szCs w:val="24"/>
              </w:rPr>
              <w:t xml:space="preserve">au fost </w:t>
            </w:r>
            <w:r w:rsidRPr="00F92FDF">
              <w:rPr>
                <w:rFonts w:ascii="Times New Roman" w:hAnsi="Times New Roman" w:cs="Times New Roman"/>
                <w:sz w:val="24"/>
                <w:szCs w:val="24"/>
              </w:rPr>
              <w:t>expediate spre avizare către autoritățile publice responsabile de implementarea prevederilor conținute în proiect</w:t>
            </w:r>
            <w:r w:rsidR="00DF55B0" w:rsidRPr="00F92F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8C4223" w14:textId="1AFFC93B" w:rsidR="00F92FDF" w:rsidRPr="00F92FDF" w:rsidRDefault="00724C4D" w:rsidP="00D13984">
            <w:pPr>
              <w:spacing w:before="12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o-RO"/>
              </w:rPr>
            </w:pPr>
            <w:r w:rsidRPr="00F92FDF">
              <w:rPr>
                <w:rFonts w:ascii="Times New Roman" w:hAnsi="Times New Roman" w:cs="Times New Roman"/>
                <w:sz w:val="24"/>
                <w:szCs w:val="24"/>
              </w:rPr>
              <w:t>Suplimentar, pentru respectarea prevederilor Legii nr. 239/2008 privind transparența în procesul decizional, proiectul</w:t>
            </w:r>
            <w:r w:rsidR="00DF55B0" w:rsidRPr="00F92F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4E8F">
              <w:rPr>
                <w:rFonts w:ascii="Times New Roman" w:hAnsi="Times New Roman" w:cs="Times New Roman"/>
                <w:sz w:val="24"/>
                <w:szCs w:val="24"/>
              </w:rPr>
              <w:t xml:space="preserve">a fost </w:t>
            </w:r>
            <w:r w:rsidRPr="00F92FDF">
              <w:rPr>
                <w:rFonts w:ascii="Times New Roman" w:hAnsi="Times New Roman" w:cs="Times New Roman"/>
                <w:sz w:val="24"/>
                <w:szCs w:val="24"/>
              </w:rPr>
              <w:t xml:space="preserve">plasat </w:t>
            </w:r>
            <w:r w:rsidR="0037068B" w:rsidRPr="00F92FDF">
              <w:rPr>
                <w:rFonts w:ascii="Times New Roman" w:hAnsi="Times New Roman" w:cs="Times New Roman"/>
                <w:sz w:val="24"/>
                <w:szCs w:val="24"/>
              </w:rPr>
              <w:t xml:space="preserve">pentru consultare publică pe portalul </w:t>
            </w:r>
            <w:hyperlink r:id="rId5" w:history="1">
              <w:r w:rsidR="00066FC0" w:rsidRPr="00066FC0">
                <w:rPr>
                  <w:rFonts w:ascii="Times New Roman" w:hAnsi="Times New Roman" w:cs="Times New Roman"/>
                  <w:sz w:val="24"/>
                  <w:szCs w:val="24"/>
                </w:rPr>
                <w:t>www.particip.gov.md</w:t>
              </w:r>
            </w:hyperlink>
            <w:r w:rsidR="00066FC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hyperlink r:id="rId6" w:tgtFrame="_blank" w:history="1">
              <w:r w:rsidR="00066FC0" w:rsidRPr="00066FC0">
                <w:rPr>
                  <w:rFonts w:ascii="Times New Roman" w:hAnsi="Times New Roman" w:cs="Times New Roman"/>
                  <w:sz w:val="24"/>
                  <w:szCs w:val="24"/>
                </w:rPr>
                <w:t>https://particip.gov.md/ro/document/stages/*/13300</w:t>
              </w:r>
            </w:hyperlink>
            <w:r w:rsidR="00066F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92FDF">
              <w:rPr>
                <w:rFonts w:ascii="Times New Roman" w:hAnsi="Times New Roman" w:cs="Times New Roman"/>
                <w:sz w:val="24"/>
                <w:szCs w:val="24"/>
              </w:rPr>
              <w:t xml:space="preserve">, cât și pe pagina </w:t>
            </w:r>
            <w:r w:rsidR="0037068B" w:rsidRPr="00F92FDF">
              <w:rPr>
                <w:rFonts w:ascii="Times New Roman" w:hAnsi="Times New Roman" w:cs="Times New Roman"/>
                <w:sz w:val="24"/>
                <w:szCs w:val="24"/>
              </w:rPr>
              <w:t xml:space="preserve">oficială a </w:t>
            </w:r>
            <w:r w:rsidR="00DF55B0" w:rsidRPr="00F92FDF">
              <w:rPr>
                <w:rFonts w:ascii="Times New Roman" w:hAnsi="Times New Roman" w:cs="Times New Roman"/>
                <w:sz w:val="24"/>
                <w:szCs w:val="24"/>
              </w:rPr>
              <w:t>Ministerul</w:t>
            </w:r>
            <w:r w:rsidR="0037068B" w:rsidRPr="00F92FDF">
              <w:rPr>
                <w:rFonts w:ascii="Times New Roman" w:hAnsi="Times New Roman" w:cs="Times New Roman"/>
                <w:sz w:val="24"/>
                <w:szCs w:val="24"/>
              </w:rPr>
              <w:t xml:space="preserve">ui </w:t>
            </w:r>
            <w:r w:rsidR="00DF55B0" w:rsidRPr="00F92FDF">
              <w:rPr>
                <w:rFonts w:ascii="Times New Roman" w:hAnsi="Times New Roman" w:cs="Times New Roman"/>
                <w:sz w:val="24"/>
                <w:szCs w:val="24"/>
              </w:rPr>
              <w:t>Dezvoltării Economice și Digitalizării</w:t>
            </w:r>
            <w:r w:rsidR="00E332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F2434" w:rsidRPr="00F92FDF" w14:paraId="034C6A0A" w14:textId="77777777" w:rsidTr="00494374">
        <w:trPr>
          <w:trHeight w:val="535"/>
        </w:trPr>
        <w:tc>
          <w:tcPr>
            <w:tcW w:w="9061" w:type="dxa"/>
          </w:tcPr>
          <w:p w14:paraId="6F073A17" w14:textId="381E40A5" w:rsidR="00DF2434" w:rsidRPr="00A94495" w:rsidRDefault="00DF2434" w:rsidP="00DF2434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A94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7. Concluziile expertizelor</w:t>
            </w:r>
          </w:p>
        </w:tc>
      </w:tr>
      <w:tr w:rsidR="00727570" w:rsidRPr="00F92FDF" w14:paraId="607BB53E" w14:textId="77777777" w:rsidTr="00C3631D">
        <w:trPr>
          <w:trHeight w:val="1749"/>
        </w:trPr>
        <w:tc>
          <w:tcPr>
            <w:tcW w:w="9061" w:type="dxa"/>
          </w:tcPr>
          <w:p w14:paraId="228EA728" w14:textId="4713A184" w:rsidR="00061EA2" w:rsidRPr="00061EA2" w:rsidRDefault="00DF55B0" w:rsidP="00061EA2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495">
              <w:rPr>
                <w:rFonts w:ascii="Times New Roman" w:hAnsi="Times New Roman" w:cs="Times New Roman"/>
                <w:sz w:val="24"/>
                <w:szCs w:val="24"/>
              </w:rPr>
              <w:t xml:space="preserve">Proiectul </w:t>
            </w:r>
            <w:r w:rsidR="00A94495">
              <w:rPr>
                <w:rFonts w:ascii="Times New Roman" w:hAnsi="Times New Roman" w:cs="Times New Roman"/>
                <w:sz w:val="24"/>
                <w:szCs w:val="24"/>
              </w:rPr>
              <w:t xml:space="preserve">a fost </w:t>
            </w:r>
            <w:r w:rsidRPr="00A94495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  <w:r w:rsidR="00615C95" w:rsidRPr="00A94495">
              <w:rPr>
                <w:rFonts w:ascii="Times New Roman" w:hAnsi="Times New Roman" w:cs="Times New Roman"/>
                <w:sz w:val="24"/>
                <w:szCs w:val="24"/>
              </w:rPr>
              <w:t xml:space="preserve">aminat de către </w:t>
            </w:r>
            <w:r w:rsidRPr="00A94495">
              <w:rPr>
                <w:rFonts w:ascii="Times New Roman" w:hAnsi="Times New Roman" w:cs="Times New Roman"/>
                <w:sz w:val="24"/>
                <w:szCs w:val="24"/>
              </w:rPr>
              <w:t>autoritățil</w:t>
            </w:r>
            <w:r w:rsidR="001116B2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Pr="00A94495">
              <w:rPr>
                <w:rFonts w:ascii="Times New Roman" w:hAnsi="Times New Roman" w:cs="Times New Roman"/>
                <w:sz w:val="24"/>
                <w:szCs w:val="24"/>
              </w:rPr>
              <w:t>de resort</w:t>
            </w:r>
            <w:r w:rsidR="00A94495" w:rsidRPr="00A94495">
              <w:rPr>
                <w:rFonts w:ascii="Times New Roman" w:hAnsi="Times New Roman" w:cs="Times New Roman"/>
                <w:sz w:val="24"/>
                <w:szCs w:val="24"/>
              </w:rPr>
              <w:t>, membrii Comitetului organizatoric pentru pregătirea participării Republicii Moldova la Expoziția Mondială „Expo Osaka 2025”</w:t>
            </w:r>
            <w:r w:rsidR="00A94495">
              <w:rPr>
                <w:rFonts w:ascii="Times New Roman" w:hAnsi="Times New Roman" w:cs="Times New Roman"/>
                <w:sz w:val="24"/>
                <w:szCs w:val="24"/>
              </w:rPr>
              <w:t xml:space="preserve">, precum și remis </w:t>
            </w:r>
            <w:r w:rsidR="00061EA2">
              <w:rPr>
                <w:rFonts w:ascii="Times New Roman" w:hAnsi="Times New Roman" w:cs="Times New Roman"/>
                <w:sz w:val="24"/>
                <w:szCs w:val="24"/>
              </w:rPr>
              <w:t xml:space="preserve">spre </w:t>
            </w:r>
            <w:r w:rsidR="00A94495" w:rsidRPr="00A94495">
              <w:rPr>
                <w:rFonts w:ascii="Times New Roman" w:hAnsi="Times New Roman" w:cs="Times New Roman"/>
                <w:sz w:val="24"/>
                <w:szCs w:val="24"/>
              </w:rPr>
              <w:t>expertiz</w:t>
            </w:r>
            <w:r w:rsidR="00061EA2">
              <w:rPr>
                <w:rFonts w:ascii="Times New Roman" w:hAnsi="Times New Roman" w:cs="Times New Roman"/>
                <w:sz w:val="24"/>
                <w:szCs w:val="24"/>
              </w:rPr>
              <w:t xml:space="preserve">ă </w:t>
            </w:r>
            <w:r w:rsidR="00061EA2" w:rsidRPr="00061EA2">
              <w:rPr>
                <w:rFonts w:ascii="Times New Roman" w:hAnsi="Times New Roman" w:cs="Times New Roman"/>
                <w:sz w:val="24"/>
                <w:szCs w:val="24"/>
              </w:rPr>
              <w:t>Ministerul</w:t>
            </w:r>
            <w:r w:rsidR="00061EA2">
              <w:rPr>
                <w:rFonts w:ascii="Times New Roman" w:hAnsi="Times New Roman" w:cs="Times New Roman"/>
                <w:sz w:val="24"/>
                <w:szCs w:val="24"/>
              </w:rPr>
              <w:t>ui</w:t>
            </w:r>
            <w:r w:rsidR="00061EA2" w:rsidRPr="00061EA2">
              <w:rPr>
                <w:rFonts w:ascii="Times New Roman" w:hAnsi="Times New Roman" w:cs="Times New Roman"/>
                <w:sz w:val="24"/>
                <w:szCs w:val="24"/>
              </w:rPr>
              <w:t xml:space="preserve"> Justiției</w:t>
            </w:r>
            <w:r w:rsidR="00061EA2">
              <w:rPr>
                <w:rFonts w:ascii="Times New Roman" w:hAnsi="Times New Roman" w:cs="Times New Roman"/>
                <w:sz w:val="24"/>
                <w:szCs w:val="24"/>
              </w:rPr>
              <w:t xml:space="preserve"> și </w:t>
            </w:r>
            <w:r w:rsidR="00061EA2" w:rsidRPr="00061EA2">
              <w:rPr>
                <w:rFonts w:ascii="Times New Roman" w:hAnsi="Times New Roman" w:cs="Times New Roman"/>
                <w:sz w:val="24"/>
                <w:szCs w:val="24"/>
              </w:rPr>
              <w:t>Centrul</w:t>
            </w:r>
            <w:r w:rsidR="00061EA2">
              <w:rPr>
                <w:rFonts w:ascii="Times New Roman" w:hAnsi="Times New Roman" w:cs="Times New Roman"/>
                <w:sz w:val="24"/>
                <w:szCs w:val="24"/>
              </w:rPr>
              <w:t>ui</w:t>
            </w:r>
            <w:r w:rsidR="00061EA2" w:rsidRPr="00061EA2">
              <w:rPr>
                <w:rFonts w:ascii="Times New Roman" w:hAnsi="Times New Roman" w:cs="Times New Roman"/>
                <w:sz w:val="24"/>
                <w:szCs w:val="24"/>
              </w:rPr>
              <w:t xml:space="preserve"> Național Anticorupție</w:t>
            </w:r>
            <w:r w:rsidR="00061EA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3BC0E42" w14:textId="66641574" w:rsidR="00727570" w:rsidRPr="00A94495" w:rsidRDefault="00BB5564" w:rsidP="00F92FDF">
            <w:pPr>
              <w:spacing w:before="12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Toate</w:t>
            </w:r>
            <w:r w:rsidR="00DF55B0" w:rsidRPr="00A94495">
              <w:rPr>
                <w:rFonts w:ascii="Times New Roman" w:hAnsi="Times New Roman" w:cs="Times New Roman"/>
                <w:sz w:val="24"/>
                <w:szCs w:val="24"/>
              </w:rPr>
              <w:t xml:space="preserve"> propunerile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și obiecțiile </w:t>
            </w:r>
            <w:r w:rsidRPr="00A94495">
              <w:rPr>
                <w:rFonts w:ascii="Times New Roman" w:hAnsi="Times New Roman" w:cs="Times New Roman"/>
                <w:sz w:val="24"/>
                <w:szCs w:val="24"/>
              </w:rPr>
              <w:t>autorităților de resort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au fost </w:t>
            </w:r>
            <w:r w:rsidR="00DF55B0" w:rsidRPr="00A94495">
              <w:rPr>
                <w:rFonts w:ascii="Times New Roman" w:hAnsi="Times New Roman" w:cs="Times New Roman"/>
                <w:sz w:val="24"/>
                <w:szCs w:val="24"/>
              </w:rPr>
              <w:t xml:space="preserve">luate în considerare la definitivarea </w:t>
            </w:r>
            <w:r w:rsidR="00DF720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F7200" w:rsidRPr="00F92FDF">
              <w:rPr>
                <w:rFonts w:ascii="Times New Roman" w:hAnsi="Times New Roman" w:cs="Times New Roman"/>
                <w:sz w:val="24"/>
                <w:szCs w:val="24"/>
              </w:rPr>
              <w:t>roiectul</w:t>
            </w:r>
            <w:r w:rsidR="00DF7200">
              <w:rPr>
                <w:rFonts w:ascii="Times New Roman" w:hAnsi="Times New Roman" w:cs="Times New Roman"/>
                <w:sz w:val="24"/>
                <w:szCs w:val="24"/>
              </w:rPr>
              <w:t xml:space="preserve">ui </w:t>
            </w:r>
            <w:r w:rsidR="00DF7200" w:rsidRPr="00F92FDF">
              <w:rPr>
                <w:rFonts w:ascii="Times New Roman" w:hAnsi="Times New Roman" w:cs="Times New Roman"/>
                <w:sz w:val="24"/>
                <w:szCs w:val="24"/>
              </w:rPr>
              <w:t>Hotărârii de Guvern</w:t>
            </w:r>
            <w:r w:rsidR="00DF55B0" w:rsidRPr="00A944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7570" w:rsidRPr="00F92FDF" w14:paraId="030546C4" w14:textId="77777777" w:rsidTr="00494374">
        <w:trPr>
          <w:trHeight w:val="435"/>
        </w:trPr>
        <w:tc>
          <w:tcPr>
            <w:tcW w:w="9061" w:type="dxa"/>
          </w:tcPr>
          <w:p w14:paraId="6FE017FD" w14:textId="2B4D2CA6" w:rsidR="00727570" w:rsidRPr="00F92FDF" w:rsidRDefault="00CE4038" w:rsidP="00F92FDF">
            <w:pPr>
              <w:spacing w:before="12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o-RO"/>
              </w:rPr>
            </w:pPr>
            <w:r w:rsidRPr="00F92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8. Modul de încorporare a actului în cadrul normativ existent</w:t>
            </w:r>
          </w:p>
        </w:tc>
      </w:tr>
      <w:tr w:rsidR="00727570" w:rsidRPr="00F92FDF" w14:paraId="34B1331D" w14:textId="77777777" w:rsidTr="00494374">
        <w:trPr>
          <w:trHeight w:val="1406"/>
        </w:trPr>
        <w:tc>
          <w:tcPr>
            <w:tcW w:w="9061" w:type="dxa"/>
          </w:tcPr>
          <w:p w14:paraId="7C78786F" w14:textId="10ACA1AC" w:rsidR="00F92FDF" w:rsidRPr="00F92FDF" w:rsidRDefault="00CE4038" w:rsidP="00D13984">
            <w:pPr>
              <w:spacing w:before="12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o-RO"/>
              </w:rPr>
            </w:pPr>
            <w:r w:rsidRPr="00F92FDF">
              <w:rPr>
                <w:rFonts w:ascii="Times New Roman" w:hAnsi="Times New Roman" w:cs="Times New Roman"/>
                <w:sz w:val="24"/>
                <w:szCs w:val="24"/>
              </w:rPr>
              <w:t xml:space="preserve">Proiectul Hotărârii de Guvern cu privire la modificarea Hotărârii Guvernului nr. 225/2023 prevede </w:t>
            </w:r>
            <w:r w:rsidR="00063E79" w:rsidRPr="00F92FDF">
              <w:rPr>
                <w:rFonts w:ascii="Times New Roman" w:hAnsi="Times New Roman" w:cs="Times New Roman"/>
                <w:sz w:val="24"/>
                <w:szCs w:val="24"/>
              </w:rPr>
              <w:t>completarea</w:t>
            </w:r>
            <w:r w:rsidRPr="00F92F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4BEA" w:rsidRPr="00F92FDF">
              <w:rPr>
                <w:rFonts w:ascii="Times New Roman" w:hAnsi="Times New Roman" w:cs="Times New Roman"/>
                <w:sz w:val="24"/>
                <w:szCs w:val="24"/>
              </w:rPr>
              <w:t xml:space="preserve">cu un </w:t>
            </w:r>
            <w:r w:rsidRPr="00F92FDF">
              <w:rPr>
                <w:rFonts w:ascii="Times New Roman" w:hAnsi="Times New Roman" w:cs="Times New Roman"/>
                <w:sz w:val="24"/>
                <w:szCs w:val="24"/>
              </w:rPr>
              <w:t xml:space="preserve">punct </w:t>
            </w:r>
            <w:r w:rsidR="00774BEA" w:rsidRPr="00F92FDF">
              <w:rPr>
                <w:rFonts w:ascii="Times New Roman" w:hAnsi="Times New Roman" w:cs="Times New Roman"/>
                <w:sz w:val="24"/>
                <w:szCs w:val="24"/>
              </w:rPr>
              <w:t xml:space="preserve">nou, </w:t>
            </w:r>
            <w:r w:rsidRPr="00F92FDF">
              <w:rPr>
                <w:rFonts w:ascii="Times New Roman" w:hAnsi="Times New Roman" w:cs="Times New Roman"/>
                <w:sz w:val="24"/>
                <w:szCs w:val="24"/>
              </w:rPr>
              <w:t>care clarifică modalitatea de finanțare a participării Republicii Moldova la Expoziția Mondială „Expo Osaka 2025”. Aceasta va consolida cadrul normativ existent și va oferi o direcție clară pentru gestionarea resurselor financiare.</w:t>
            </w:r>
          </w:p>
        </w:tc>
      </w:tr>
      <w:tr w:rsidR="00727570" w:rsidRPr="00F92FDF" w14:paraId="392490DD" w14:textId="77777777" w:rsidTr="00494374">
        <w:trPr>
          <w:trHeight w:val="549"/>
        </w:trPr>
        <w:tc>
          <w:tcPr>
            <w:tcW w:w="9061" w:type="dxa"/>
          </w:tcPr>
          <w:p w14:paraId="0D02A299" w14:textId="75D43C94" w:rsidR="00727570" w:rsidRPr="00F92FDF" w:rsidRDefault="00CE4038" w:rsidP="00F92FDF">
            <w:pPr>
              <w:spacing w:before="12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o-RO"/>
              </w:rPr>
            </w:pPr>
            <w:r w:rsidRPr="00F92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9. Măsurile necesare pentru implementarea prevederilor proiectului actului normativ</w:t>
            </w:r>
          </w:p>
        </w:tc>
      </w:tr>
      <w:tr w:rsidR="00727570" w:rsidRPr="00F92FDF" w14:paraId="178E9CD6" w14:textId="77777777" w:rsidTr="00494374">
        <w:trPr>
          <w:trHeight w:val="2270"/>
        </w:trPr>
        <w:tc>
          <w:tcPr>
            <w:tcW w:w="9061" w:type="dxa"/>
          </w:tcPr>
          <w:p w14:paraId="762A9952" w14:textId="18F85AF8" w:rsidR="007E2162" w:rsidRPr="00F92FDF" w:rsidRDefault="00A33345" w:rsidP="00F92FDF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92FDF">
              <w:rPr>
                <w:rFonts w:ascii="Times New Roman" w:hAnsi="Times New Roman" w:cs="Times New Roman"/>
                <w:sz w:val="24"/>
                <w:szCs w:val="24"/>
              </w:rPr>
              <w:t xml:space="preserve">Elaborarea </w:t>
            </w:r>
            <w:r w:rsidR="007E2162" w:rsidRPr="00F92FDF">
              <w:rPr>
                <w:rFonts w:ascii="Times New Roman" w:hAnsi="Times New Roman" w:cs="Times New Roman"/>
                <w:sz w:val="24"/>
                <w:szCs w:val="24"/>
              </w:rPr>
              <w:t>proiectului Hotărârii de Guvern va contribui la s</w:t>
            </w:r>
            <w:r w:rsidR="00CE4038"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tabilirea unei colaborări eficiente între Ministerul Dezvoltării Economice și Digitalizării, </w:t>
            </w:r>
            <w:r w:rsidR="007E2162"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C.I.E. „</w:t>
            </w:r>
            <w:proofErr w:type="spellStart"/>
            <w:r w:rsidR="007E2162"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Moldexpo</w:t>
            </w:r>
            <w:proofErr w:type="spellEnd"/>
            <w:r w:rsidR="007E2162"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” S.A</w:t>
            </w:r>
            <w:r w:rsidR="00D1398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.</w:t>
            </w:r>
            <w:r w:rsidR="007E2162"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și </w:t>
            </w:r>
            <w:r w:rsidR="00607D68"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membrii </w:t>
            </w:r>
            <w:r w:rsidR="007E2162"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Comitetul</w:t>
            </w:r>
            <w:r w:rsidR="00607D68"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ui</w:t>
            </w:r>
            <w:r w:rsidR="007E2162"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organizatoric, </w:t>
            </w:r>
            <w:r w:rsidR="00CE4038"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pentru a asigura o coordonare optimă </w:t>
            </w:r>
            <w:r w:rsidR="0048351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a </w:t>
            </w:r>
            <w:r w:rsidR="00CE4038"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resurselor</w:t>
            </w:r>
            <w:r w:rsidR="007E2162"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din bugetul de stat</w:t>
            </w:r>
            <w:r w:rsidR="00CE4038"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.</w:t>
            </w:r>
            <w:r w:rsidR="007E2162"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  <w:p w14:paraId="4AD63A7D" w14:textId="7503067B" w:rsidR="006C6B37" w:rsidRPr="00F92FDF" w:rsidRDefault="00CE4038" w:rsidP="006C6B37">
            <w:pPr>
              <w:spacing w:before="12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o-RO"/>
              </w:rPr>
            </w:pPr>
            <w:r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Aceste măsuri vor contribui la</w:t>
            </w:r>
            <w:r w:rsidR="007E2162"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o</w:t>
            </w:r>
            <w:r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implementare eficientă și transparentă a prevederilor </w:t>
            </w:r>
            <w:r w:rsidR="007E2162"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HG nr. 225/2023</w:t>
            </w:r>
            <w:r w:rsidRPr="00F92FD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 asigurând succesul participării Republicii Moldova la Expoziția Mondială „Expo Osaka 2025”.</w:t>
            </w:r>
          </w:p>
        </w:tc>
      </w:tr>
    </w:tbl>
    <w:p w14:paraId="0A223EC3" w14:textId="0D3C12F4" w:rsidR="006C6B37" w:rsidRDefault="006C6B37" w:rsidP="00076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</w:pPr>
    </w:p>
    <w:p w14:paraId="4007A450" w14:textId="6607B701" w:rsidR="00BB5564" w:rsidRDefault="00BB5564" w:rsidP="00076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</w:pPr>
    </w:p>
    <w:p w14:paraId="51049042" w14:textId="77777777" w:rsidR="00EB64D1" w:rsidRDefault="00EB64D1" w:rsidP="00076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</w:pPr>
    </w:p>
    <w:p w14:paraId="662752F4" w14:textId="77777777" w:rsidR="00BB5564" w:rsidRDefault="00BB5564" w:rsidP="00076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</w:pPr>
    </w:p>
    <w:p w14:paraId="0F594E1E" w14:textId="39041178" w:rsidR="007E2162" w:rsidRPr="00F92FDF" w:rsidRDefault="007E2162" w:rsidP="00076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</w:pPr>
      <w:r w:rsidRPr="00F92F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S</w:t>
      </w:r>
      <w:r w:rsidRPr="00076E5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o-RO"/>
        </w:rPr>
        <w:t xml:space="preserve">ecretar de stat                                                                              Cristina </w:t>
      </w:r>
      <w:r w:rsidR="00607D68" w:rsidRPr="00076E5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o-RO"/>
        </w:rPr>
        <w:t>CEBAN</w:t>
      </w:r>
    </w:p>
    <w:sectPr w:rsidR="007E2162" w:rsidRPr="00F92FDF" w:rsidSect="0011609F">
      <w:pgSz w:w="11906" w:h="16838"/>
      <w:pgMar w:top="1134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9752C53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singl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singl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singl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singl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singl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singl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singl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single"/>
      </w:rPr>
    </w:lvl>
  </w:abstractNum>
  <w:abstractNum w:abstractNumId="1" w15:restartNumberingAfterBreak="0">
    <w:nsid w:val="06260279"/>
    <w:multiLevelType w:val="multilevel"/>
    <w:tmpl w:val="29AE5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A32DDD"/>
    <w:multiLevelType w:val="multilevel"/>
    <w:tmpl w:val="6EC4C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2D2ACA"/>
    <w:multiLevelType w:val="multilevel"/>
    <w:tmpl w:val="A128E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A43C99"/>
    <w:multiLevelType w:val="multilevel"/>
    <w:tmpl w:val="F4260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FF3E1B"/>
    <w:multiLevelType w:val="multilevel"/>
    <w:tmpl w:val="B61CC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5D4102"/>
    <w:multiLevelType w:val="multilevel"/>
    <w:tmpl w:val="6EC4C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835092"/>
    <w:multiLevelType w:val="multilevel"/>
    <w:tmpl w:val="7FF8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3B45A1"/>
    <w:multiLevelType w:val="multilevel"/>
    <w:tmpl w:val="C4989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2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438"/>
    <w:rsid w:val="00015E37"/>
    <w:rsid w:val="0003289F"/>
    <w:rsid w:val="00055477"/>
    <w:rsid w:val="00061EA2"/>
    <w:rsid w:val="00062663"/>
    <w:rsid w:val="000633CB"/>
    <w:rsid w:val="00063E79"/>
    <w:rsid w:val="00066FC0"/>
    <w:rsid w:val="00076E58"/>
    <w:rsid w:val="00083E1F"/>
    <w:rsid w:val="000C4AD1"/>
    <w:rsid w:val="000C6A48"/>
    <w:rsid w:val="000D4935"/>
    <w:rsid w:val="000E7D79"/>
    <w:rsid w:val="00104614"/>
    <w:rsid w:val="001116B2"/>
    <w:rsid w:val="001125DE"/>
    <w:rsid w:val="0011609F"/>
    <w:rsid w:val="00117B7A"/>
    <w:rsid w:val="00127AE8"/>
    <w:rsid w:val="00127FD3"/>
    <w:rsid w:val="00133E41"/>
    <w:rsid w:val="00171F0A"/>
    <w:rsid w:val="00180E1F"/>
    <w:rsid w:val="00183EA7"/>
    <w:rsid w:val="001876B9"/>
    <w:rsid w:val="001B0B96"/>
    <w:rsid w:val="001E5718"/>
    <w:rsid w:val="00201D4E"/>
    <w:rsid w:val="00212F1B"/>
    <w:rsid w:val="00224F44"/>
    <w:rsid w:val="00246D8C"/>
    <w:rsid w:val="00255357"/>
    <w:rsid w:val="00257B04"/>
    <w:rsid w:val="00261959"/>
    <w:rsid w:val="002855DB"/>
    <w:rsid w:val="002A48A8"/>
    <w:rsid w:val="00360CDC"/>
    <w:rsid w:val="0037068B"/>
    <w:rsid w:val="00373ECE"/>
    <w:rsid w:val="00377D28"/>
    <w:rsid w:val="003A4DCC"/>
    <w:rsid w:val="003D0D27"/>
    <w:rsid w:val="003E7B28"/>
    <w:rsid w:val="00457543"/>
    <w:rsid w:val="004647E0"/>
    <w:rsid w:val="00483513"/>
    <w:rsid w:val="00491FB6"/>
    <w:rsid w:val="00494374"/>
    <w:rsid w:val="004A57BE"/>
    <w:rsid w:val="004C3965"/>
    <w:rsid w:val="004C7E81"/>
    <w:rsid w:val="00546DD5"/>
    <w:rsid w:val="00561C9E"/>
    <w:rsid w:val="00573DDE"/>
    <w:rsid w:val="005861A8"/>
    <w:rsid w:val="00590A3A"/>
    <w:rsid w:val="0060726D"/>
    <w:rsid w:val="00607D68"/>
    <w:rsid w:val="00611610"/>
    <w:rsid w:val="00615C95"/>
    <w:rsid w:val="006166EC"/>
    <w:rsid w:val="0064275F"/>
    <w:rsid w:val="00650F20"/>
    <w:rsid w:val="00653630"/>
    <w:rsid w:val="00673FAC"/>
    <w:rsid w:val="006C6B37"/>
    <w:rsid w:val="006F497A"/>
    <w:rsid w:val="006F6F2C"/>
    <w:rsid w:val="00700366"/>
    <w:rsid w:val="00701193"/>
    <w:rsid w:val="00715C04"/>
    <w:rsid w:val="00724C4D"/>
    <w:rsid w:val="00727570"/>
    <w:rsid w:val="007522EA"/>
    <w:rsid w:val="007608F5"/>
    <w:rsid w:val="00762968"/>
    <w:rsid w:val="00765438"/>
    <w:rsid w:val="0077293D"/>
    <w:rsid w:val="00774BEA"/>
    <w:rsid w:val="0078076D"/>
    <w:rsid w:val="00786D41"/>
    <w:rsid w:val="007B2DE1"/>
    <w:rsid w:val="007E0B77"/>
    <w:rsid w:val="007E2162"/>
    <w:rsid w:val="007E3685"/>
    <w:rsid w:val="0080448C"/>
    <w:rsid w:val="00837778"/>
    <w:rsid w:val="00891AF1"/>
    <w:rsid w:val="0089582A"/>
    <w:rsid w:val="008A3A7B"/>
    <w:rsid w:val="008C628C"/>
    <w:rsid w:val="008D22E1"/>
    <w:rsid w:val="008E2737"/>
    <w:rsid w:val="008F4B5A"/>
    <w:rsid w:val="00941FBB"/>
    <w:rsid w:val="0096264A"/>
    <w:rsid w:val="009C456B"/>
    <w:rsid w:val="00A15E20"/>
    <w:rsid w:val="00A33345"/>
    <w:rsid w:val="00A77255"/>
    <w:rsid w:val="00A94495"/>
    <w:rsid w:val="00AD563F"/>
    <w:rsid w:val="00B30FB4"/>
    <w:rsid w:val="00B3204E"/>
    <w:rsid w:val="00B32EA4"/>
    <w:rsid w:val="00B36AAC"/>
    <w:rsid w:val="00BB5564"/>
    <w:rsid w:val="00BD4FA5"/>
    <w:rsid w:val="00BE1C10"/>
    <w:rsid w:val="00BF3B2D"/>
    <w:rsid w:val="00BF5B04"/>
    <w:rsid w:val="00C20FED"/>
    <w:rsid w:val="00C3631D"/>
    <w:rsid w:val="00C67F36"/>
    <w:rsid w:val="00C76B9F"/>
    <w:rsid w:val="00C84E8F"/>
    <w:rsid w:val="00CE4038"/>
    <w:rsid w:val="00CE4783"/>
    <w:rsid w:val="00D13984"/>
    <w:rsid w:val="00D7738B"/>
    <w:rsid w:val="00D7768D"/>
    <w:rsid w:val="00DA0840"/>
    <w:rsid w:val="00DB1731"/>
    <w:rsid w:val="00DB1767"/>
    <w:rsid w:val="00DF1129"/>
    <w:rsid w:val="00DF2434"/>
    <w:rsid w:val="00DF55B0"/>
    <w:rsid w:val="00DF7200"/>
    <w:rsid w:val="00E0380F"/>
    <w:rsid w:val="00E30B4F"/>
    <w:rsid w:val="00E3325B"/>
    <w:rsid w:val="00E46676"/>
    <w:rsid w:val="00E6155B"/>
    <w:rsid w:val="00E73996"/>
    <w:rsid w:val="00E752D1"/>
    <w:rsid w:val="00E8053F"/>
    <w:rsid w:val="00EB64D1"/>
    <w:rsid w:val="00EC7CFE"/>
    <w:rsid w:val="00ED0ADB"/>
    <w:rsid w:val="00ED29D1"/>
    <w:rsid w:val="00ED6054"/>
    <w:rsid w:val="00F141E2"/>
    <w:rsid w:val="00F168D7"/>
    <w:rsid w:val="00F26013"/>
    <w:rsid w:val="00F92FDF"/>
    <w:rsid w:val="00FB2AE0"/>
    <w:rsid w:val="00FB4E4D"/>
    <w:rsid w:val="00FC316D"/>
    <w:rsid w:val="00FD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07376D"/>
  <w15:chartTrackingRefBased/>
  <w15:docId w15:val="{20FC8C97-CA01-4F27-9AD8-92D9E7D1E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33E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E36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6264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cn">
    <w:name w:val="cn"/>
    <w:basedOn w:val="Normal"/>
    <w:rsid w:val="009626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rg">
    <w:name w:val="rg"/>
    <w:basedOn w:val="Normal"/>
    <w:rsid w:val="0096264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0D4935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133E41"/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customStyle="1" w:styleId="overflow-hidden">
    <w:name w:val="overflow-hidden"/>
    <w:basedOn w:val="DefaultParagraphFont"/>
    <w:rsid w:val="00133E41"/>
  </w:style>
  <w:style w:type="character" w:styleId="Emphasis">
    <w:name w:val="Emphasis"/>
    <w:basedOn w:val="DefaultParagraphFont"/>
    <w:uiPriority w:val="20"/>
    <w:qFormat/>
    <w:rsid w:val="0064275F"/>
    <w:rPr>
      <w:i/>
      <w:iCs/>
    </w:rPr>
  </w:style>
  <w:style w:type="character" w:styleId="Hyperlink">
    <w:name w:val="Hyperlink"/>
    <w:basedOn w:val="DefaultParagraphFont"/>
    <w:uiPriority w:val="99"/>
    <w:unhideWhenUsed/>
    <w:rsid w:val="006166E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24F44"/>
    <w:pPr>
      <w:ind w:left="720"/>
      <w:contextualSpacing/>
    </w:pPr>
  </w:style>
  <w:style w:type="table" w:styleId="TableGrid">
    <w:name w:val="Table Grid"/>
    <w:basedOn w:val="TableNormal"/>
    <w:uiPriority w:val="39"/>
    <w:rsid w:val="00891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068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73E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5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7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3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16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1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5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rticip.gov.md/ro/document/stages/*/13300" TargetMode="External"/><Relationship Id="rId5" Type="http://schemas.openxmlformats.org/officeDocument/2006/relationships/hyperlink" Target="http://www.particip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1300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Cerchez</dc:creator>
  <cp:keywords/>
  <dc:description/>
  <cp:lastModifiedBy>Tatiana Cerchez</cp:lastModifiedBy>
  <cp:revision>3</cp:revision>
  <cp:lastPrinted>2024-11-15T12:29:00Z</cp:lastPrinted>
  <dcterms:created xsi:type="dcterms:W3CDTF">2024-11-25T09:15:00Z</dcterms:created>
  <dcterms:modified xsi:type="dcterms:W3CDTF">2024-11-25T09:16:00Z</dcterms:modified>
</cp:coreProperties>
</file>