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2F682" w14:textId="77777777" w:rsidR="00FC2A67" w:rsidRPr="0003727B" w:rsidRDefault="00FC2A67" w:rsidP="00FC2A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  <w:tab w:val="left" w:pos="2352"/>
        </w:tabs>
        <w:ind w:firstLine="0"/>
        <w:jc w:val="center"/>
        <w:rPr>
          <w:sz w:val="26"/>
          <w:szCs w:val="26"/>
        </w:rPr>
      </w:pPr>
    </w:p>
    <w:p w14:paraId="4EF7A73A" w14:textId="77777777" w:rsidR="00FC2A67" w:rsidRPr="0003727B" w:rsidRDefault="00FC2A67" w:rsidP="00FC2A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  <w:tab w:val="left" w:pos="1442"/>
          <w:tab w:val="left" w:pos="1708"/>
        </w:tabs>
        <w:adjustRightInd w:val="0"/>
        <w:jc w:val="center"/>
        <w:rPr>
          <w:sz w:val="26"/>
          <w:szCs w:val="26"/>
        </w:rPr>
      </w:pPr>
      <w:r w:rsidRPr="0003727B">
        <w:rPr>
          <w:b/>
          <w:sz w:val="26"/>
          <w:szCs w:val="26"/>
        </w:rPr>
        <w:t>NOTA DE FUNDAMENTARE</w:t>
      </w:r>
    </w:p>
    <w:p w14:paraId="14BD5780" w14:textId="35F19EAD" w:rsidR="00FC2A67" w:rsidRPr="00494B3A" w:rsidRDefault="00FC2A67" w:rsidP="00494B3A">
      <w:pPr>
        <w:tabs>
          <w:tab w:val="left" w:pos="6386"/>
        </w:tabs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eastAsia="ru-RU"/>
        </w:rPr>
      </w:pPr>
      <w:r w:rsidRPr="0003727B">
        <w:rPr>
          <w:b/>
          <w:sz w:val="26"/>
          <w:szCs w:val="26"/>
        </w:rPr>
        <w:t xml:space="preserve">la proiectul de </w:t>
      </w:r>
      <w:r w:rsidR="009C1E11" w:rsidRPr="0003727B">
        <w:rPr>
          <w:b/>
          <w:sz w:val="26"/>
          <w:szCs w:val="26"/>
        </w:rPr>
        <w:t xml:space="preserve">hotărâre </w:t>
      </w:r>
      <w:r w:rsidR="008779E7" w:rsidRPr="008779E7">
        <w:rPr>
          <w:b/>
          <w:sz w:val="26"/>
          <w:szCs w:val="26"/>
        </w:rPr>
        <w:t>privind aprobarea Regulamentului cu privire la acordarea compensațiilor la energie sub formă de plată monetară</w:t>
      </w:r>
      <w:r w:rsidR="008779E7">
        <w:rPr>
          <w:b/>
          <w:sz w:val="26"/>
          <w:szCs w:val="26"/>
        </w:rPr>
        <w:t xml:space="preserve"> </w:t>
      </w:r>
    </w:p>
    <w:p w14:paraId="3ED282E5" w14:textId="77777777" w:rsidR="00FC2A67" w:rsidRPr="0003727B" w:rsidRDefault="00FC2A67" w:rsidP="00FC2A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  <w:tab w:val="left" w:pos="1442"/>
          <w:tab w:val="left" w:pos="1708"/>
        </w:tabs>
        <w:adjustRightInd w:val="0"/>
        <w:jc w:val="center"/>
        <w:rPr>
          <w:sz w:val="26"/>
          <w:szCs w:val="26"/>
        </w:rPr>
      </w:pPr>
      <w:r w:rsidRPr="0003727B">
        <w:rPr>
          <w:i/>
          <w:sz w:val="26"/>
          <w:szCs w:val="26"/>
          <w:vertAlign w:val="superscript"/>
        </w:rPr>
        <w:t>denumirea proiectului actului normativ</w:t>
      </w:r>
    </w:p>
    <w:tbl>
      <w:tblPr>
        <w:tblStyle w:val="TableGri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109"/>
      </w:tblGrid>
      <w:tr w:rsidR="00FC2A67" w:rsidRPr="0003727B" w14:paraId="379DEC87" w14:textId="77777777" w:rsidTr="00E63039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6A47" w14:textId="77777777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b/>
                <w:bCs/>
                <w:sz w:val="26"/>
                <w:szCs w:val="26"/>
                <w:lang w:val="ro-MD"/>
              </w:rPr>
            </w:pPr>
            <w:r w:rsidRPr="0003727B">
              <w:rPr>
                <w:b/>
                <w:bCs/>
                <w:sz w:val="26"/>
                <w:szCs w:val="26"/>
                <w:lang w:val="ro-MD"/>
              </w:rPr>
              <w:t>1. Denumirea sau numele autorului și, după caz, a/al participanților la elaborarea proiectului actului normativ</w:t>
            </w:r>
          </w:p>
        </w:tc>
      </w:tr>
      <w:tr w:rsidR="00FC2A67" w:rsidRPr="0003727B" w14:paraId="325762F4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BC80" w14:textId="3DC8D7E4" w:rsidR="00FC2A67" w:rsidRPr="0003727B" w:rsidRDefault="00FC2A67" w:rsidP="00C03B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ind w:firstLine="731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 xml:space="preserve">Proiectul de </w:t>
            </w:r>
            <w:r w:rsidR="00C03B4A" w:rsidRPr="0003727B">
              <w:rPr>
                <w:sz w:val="26"/>
                <w:szCs w:val="26"/>
                <w:lang w:val="ro-MD"/>
              </w:rPr>
              <w:t xml:space="preserve">hotărâre </w:t>
            </w:r>
            <w:r w:rsidR="00404350" w:rsidRPr="00404350">
              <w:rPr>
                <w:sz w:val="26"/>
                <w:szCs w:val="26"/>
                <w:lang w:val="ro-MD"/>
              </w:rPr>
              <w:t>privind aprobarea Regulamentului cu privire la acordarea compensațiilor la energie sub formă de plată monetară</w:t>
            </w:r>
            <w:r w:rsidR="00404350">
              <w:rPr>
                <w:sz w:val="26"/>
                <w:szCs w:val="26"/>
                <w:lang w:val="ro-MD"/>
              </w:rPr>
              <w:t xml:space="preserve"> </w:t>
            </w:r>
            <w:r w:rsidRPr="0003727B">
              <w:rPr>
                <w:sz w:val="26"/>
                <w:szCs w:val="26"/>
                <w:lang w:val="ro-MD"/>
              </w:rPr>
              <w:t>a fost elaborat de către Ministerul Muncii și Protecției Sociale.</w:t>
            </w:r>
          </w:p>
        </w:tc>
      </w:tr>
      <w:tr w:rsidR="00FC2A67" w:rsidRPr="0003727B" w14:paraId="7535A8DC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E60F" w14:textId="77777777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b/>
                <w:bCs/>
                <w:sz w:val="26"/>
                <w:szCs w:val="26"/>
                <w:lang w:val="ro-MD"/>
              </w:rPr>
            </w:pPr>
            <w:r w:rsidRPr="0003727B">
              <w:rPr>
                <w:b/>
                <w:bCs/>
                <w:sz w:val="26"/>
                <w:szCs w:val="26"/>
                <w:lang w:val="ro-MD"/>
              </w:rPr>
              <w:t>2. Condițiile ce au impus elaborarea proiectului actului normativ</w:t>
            </w:r>
          </w:p>
        </w:tc>
      </w:tr>
      <w:tr w:rsidR="00FC2A67" w:rsidRPr="0003727B" w14:paraId="477337C1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F0D7" w14:textId="77777777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2.1. Temeiul legal sau, după caz, sursa proiectului actului normativ</w:t>
            </w:r>
          </w:p>
        </w:tc>
      </w:tr>
      <w:tr w:rsidR="00FC2A67" w:rsidRPr="0003727B" w14:paraId="5F28BCC0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EC42D" w14:textId="7BF72F96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ind w:firstLine="731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 xml:space="preserve">În vederea implementării recomandărilor din Raportul de audit al performanței „Contribuie Sistemul informațional „Vulnerabilitatea energetică” (SIVE) la un mecanism eficient de încadrare a consumatorilor casnici în categoriile de vulnerabilitate energetică, precum și de gestionare și monitorizare a măsurilor finanțate din Fondul de reducere a vulnerabilității energetice?”, aprobat prin Hotărârea Curții de Conturi nr. 18 din 30 aprilie 2024. </w:t>
            </w:r>
          </w:p>
        </w:tc>
      </w:tr>
      <w:tr w:rsidR="00FC2A67" w:rsidRPr="0003727B" w14:paraId="36C31916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DF9C0" w14:textId="77777777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FC2A67" w:rsidRPr="0003727B" w14:paraId="0EF50114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62EC4" w14:textId="2E1C255E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 xml:space="preserve">Potrivit </w:t>
            </w:r>
            <w:r w:rsidR="00853AB6" w:rsidRPr="0003727B">
              <w:rPr>
                <w:sz w:val="26"/>
                <w:szCs w:val="26"/>
                <w:lang w:val="ro-MD"/>
              </w:rPr>
              <w:t xml:space="preserve">Regulamentului cu privire la atribuirea categoriilor de vulnerabilitate energetică și modul de stabilire și plată a compensațiilor pentru achitarea facturilor la energie și compensațiilor la energie sub formă de plată monetară, aprobat prin Hotărârea Guvernului nr. 704/2022, </w:t>
            </w:r>
            <w:r w:rsidR="00300C6E" w:rsidRPr="0003727B">
              <w:rPr>
                <w:sz w:val="26"/>
                <w:szCs w:val="26"/>
                <w:lang w:val="ro-MD"/>
              </w:rPr>
              <w:t xml:space="preserve">au fost </w:t>
            </w:r>
            <w:r w:rsidRPr="0003727B">
              <w:rPr>
                <w:sz w:val="26"/>
                <w:szCs w:val="26"/>
                <w:lang w:val="ro-MD"/>
              </w:rPr>
              <w:t>acordate două măsuri sociale pentru atenuarea vulnerabilității energetice a gospodăriilor casnice, care sunt următoarele:</w:t>
            </w:r>
          </w:p>
          <w:p w14:paraId="035D03E0" w14:textId="180C1981" w:rsidR="00FC2A67" w:rsidRPr="0003727B" w:rsidRDefault="000F7A3B" w:rsidP="00E63039">
            <w:pPr>
              <w:pStyle w:val="ListParagraph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contextualSpacing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compensație pentru achitarea facturilor la energie</w:t>
            </w:r>
            <w:r w:rsidR="00FC2A67" w:rsidRPr="0003727B">
              <w:rPr>
                <w:sz w:val="26"/>
                <w:szCs w:val="26"/>
                <w:lang w:val="ro-MD"/>
              </w:rPr>
              <w:t>;</w:t>
            </w:r>
            <w:r w:rsidRPr="0003727B">
              <w:rPr>
                <w:sz w:val="26"/>
                <w:szCs w:val="26"/>
                <w:lang w:val="ro-MD"/>
              </w:rPr>
              <w:t xml:space="preserve"> </w:t>
            </w:r>
          </w:p>
          <w:p w14:paraId="226A66CB" w14:textId="77777777" w:rsidR="00FC2A67" w:rsidRPr="0003727B" w:rsidRDefault="00FC2A67" w:rsidP="00E63039">
            <w:pPr>
              <w:pStyle w:val="ListParagraph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contextualSpacing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compensația la energie sub formă de plată monetară.</w:t>
            </w:r>
          </w:p>
          <w:p w14:paraId="66F638FC" w14:textId="3405382F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ind w:firstLine="731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 xml:space="preserve">Având în vedere că, pentru sezonul rece </w:t>
            </w:r>
            <w:r w:rsidR="00300C6E" w:rsidRPr="0003727B">
              <w:rPr>
                <w:sz w:val="26"/>
                <w:szCs w:val="26"/>
                <w:lang w:val="ro-MD"/>
              </w:rPr>
              <w:t xml:space="preserve">a anului </w:t>
            </w:r>
            <w:r w:rsidRPr="0003727B">
              <w:rPr>
                <w:sz w:val="26"/>
                <w:szCs w:val="26"/>
                <w:lang w:val="ro-MD"/>
              </w:rPr>
              <w:t xml:space="preserve">2023-2024, </w:t>
            </w:r>
            <w:r w:rsidR="000F7A3B" w:rsidRPr="0003727B">
              <w:rPr>
                <w:sz w:val="26"/>
                <w:szCs w:val="26"/>
                <w:lang w:val="ro-MD"/>
              </w:rPr>
              <w:t>compensația pentru achitarea facturilor la energie era acordată direct beneficiarilor în facturi</w:t>
            </w:r>
            <w:r w:rsidRPr="0003727B">
              <w:rPr>
                <w:sz w:val="26"/>
                <w:szCs w:val="26"/>
                <w:lang w:val="ro-MD"/>
              </w:rPr>
              <w:t>, ceea ce complica procesul de acordare a compensațiilor</w:t>
            </w:r>
            <w:r w:rsidR="000F7A3B" w:rsidRPr="0003727B">
              <w:rPr>
                <w:sz w:val="26"/>
                <w:szCs w:val="26"/>
                <w:lang w:val="ro-MD"/>
              </w:rPr>
              <w:t xml:space="preserve"> de acest tip</w:t>
            </w:r>
            <w:r w:rsidRPr="0003727B">
              <w:rPr>
                <w:sz w:val="26"/>
                <w:szCs w:val="26"/>
                <w:lang w:val="ro-MD"/>
              </w:rPr>
              <w:t>, se propune ca ace</w:t>
            </w:r>
            <w:r w:rsidR="000F7A3B" w:rsidRPr="0003727B">
              <w:rPr>
                <w:sz w:val="26"/>
                <w:szCs w:val="26"/>
                <w:lang w:val="ro-MD"/>
              </w:rPr>
              <w:t>a</w:t>
            </w:r>
            <w:r w:rsidRPr="0003727B">
              <w:rPr>
                <w:sz w:val="26"/>
                <w:szCs w:val="26"/>
                <w:lang w:val="ro-MD"/>
              </w:rPr>
              <w:t>st</w:t>
            </w:r>
            <w:r w:rsidR="000F7A3B" w:rsidRPr="0003727B">
              <w:rPr>
                <w:sz w:val="26"/>
                <w:szCs w:val="26"/>
                <w:lang w:val="ro-MD"/>
              </w:rPr>
              <w:t>ă</w:t>
            </w:r>
            <w:r w:rsidRPr="0003727B">
              <w:rPr>
                <w:sz w:val="26"/>
                <w:szCs w:val="26"/>
                <w:lang w:val="ro-MD"/>
              </w:rPr>
              <w:t xml:space="preserve"> compensați</w:t>
            </w:r>
            <w:r w:rsidR="000F7A3B" w:rsidRPr="0003727B">
              <w:rPr>
                <w:sz w:val="26"/>
                <w:szCs w:val="26"/>
                <w:lang w:val="ro-MD"/>
              </w:rPr>
              <w:t>e</w:t>
            </w:r>
            <w:r w:rsidRPr="0003727B">
              <w:rPr>
                <w:sz w:val="26"/>
                <w:szCs w:val="26"/>
                <w:lang w:val="ro-MD"/>
              </w:rPr>
              <w:t xml:space="preserve"> să nu mai depindă de consumul real</w:t>
            </w:r>
            <w:r w:rsidR="00300C6E" w:rsidRPr="0003727B">
              <w:rPr>
                <w:sz w:val="26"/>
                <w:szCs w:val="26"/>
                <w:lang w:val="ro-MD"/>
              </w:rPr>
              <w:t xml:space="preserve"> și să fie acordat</w:t>
            </w:r>
            <w:r w:rsidR="000F7A3B" w:rsidRPr="0003727B">
              <w:rPr>
                <w:sz w:val="26"/>
                <w:szCs w:val="26"/>
                <w:lang w:val="ro-MD"/>
              </w:rPr>
              <w:t>ă</w:t>
            </w:r>
            <w:r w:rsidR="00300C6E" w:rsidRPr="0003727B">
              <w:rPr>
                <w:sz w:val="26"/>
                <w:szCs w:val="26"/>
                <w:lang w:val="ro-MD"/>
              </w:rPr>
              <w:t xml:space="preserve"> </w:t>
            </w:r>
            <w:r w:rsidRPr="0003727B">
              <w:rPr>
                <w:sz w:val="26"/>
                <w:szCs w:val="26"/>
                <w:lang w:val="ro-MD"/>
              </w:rPr>
              <w:t xml:space="preserve">exclusiv direct beneficiarilor pentru familiile cu venituri reduse, oferind astfel beneficiarilor flexibilitate în gestionarea cheltuielilor pentru perioada rece a anului. </w:t>
            </w:r>
          </w:p>
        </w:tc>
      </w:tr>
      <w:tr w:rsidR="00FC2A67" w:rsidRPr="0003727B" w14:paraId="2418D58D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71476" w14:textId="77777777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b/>
                <w:bCs/>
                <w:sz w:val="26"/>
                <w:szCs w:val="26"/>
                <w:lang w:val="ro-MD"/>
              </w:rPr>
            </w:pPr>
            <w:r w:rsidRPr="0003727B">
              <w:rPr>
                <w:b/>
                <w:bCs/>
                <w:sz w:val="26"/>
                <w:szCs w:val="26"/>
                <w:lang w:val="ro-MD"/>
              </w:rPr>
              <w:t>3. Obiectivele urmărite și soluțiile propuse</w:t>
            </w:r>
          </w:p>
        </w:tc>
      </w:tr>
      <w:tr w:rsidR="00FC2A67" w:rsidRPr="0003727B" w14:paraId="14EEB717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53E2A" w14:textId="77777777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3.1. Principalele prevederi ale proiectului și evidențierea elementelor noi</w:t>
            </w:r>
          </w:p>
        </w:tc>
      </w:tr>
      <w:tr w:rsidR="00FC2A67" w:rsidRPr="0003727B" w14:paraId="388E6701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98627" w14:textId="25E3C674" w:rsidR="00650D22" w:rsidRPr="0003727B" w:rsidRDefault="00FC2A67" w:rsidP="00492F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ind w:firstLine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Principalele modificări propuse sunt:</w:t>
            </w:r>
          </w:p>
          <w:p w14:paraId="40A577E9" w14:textId="70A98503" w:rsidR="00650D22" w:rsidRPr="0003727B" w:rsidRDefault="00650D22" w:rsidP="00803C09">
            <w:pPr>
              <w:pStyle w:val="ListParagraph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 xml:space="preserve">Acordarea compensațiilor la energie direct beneficiarilor </w:t>
            </w:r>
          </w:p>
          <w:p w14:paraId="2C7EA1EA" w14:textId="7A0275C1" w:rsidR="00D65704" w:rsidRPr="0003727B" w:rsidRDefault="00650D22" w:rsidP="00492F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ind w:firstLine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Începând cu sezonul rece a anului 2024-2025, familiile cu venituri mici vor</w:t>
            </w:r>
            <w:r w:rsidR="005B1AB8" w:rsidRPr="0003727B">
              <w:rPr>
                <w:sz w:val="26"/>
                <w:szCs w:val="26"/>
                <w:lang w:val="ro-MD"/>
              </w:rPr>
              <w:t xml:space="preserve"> beneficia de compensații la energie în formă monetară. Această oportunitate va</w:t>
            </w:r>
            <w:r w:rsidRPr="0003727B">
              <w:rPr>
                <w:sz w:val="26"/>
                <w:szCs w:val="26"/>
                <w:lang w:val="ro-MD"/>
              </w:rPr>
              <w:t xml:space="preserve"> oferi mai multă flexibilitate </w:t>
            </w:r>
            <w:r w:rsidR="007A6642" w:rsidRPr="0003727B">
              <w:rPr>
                <w:sz w:val="26"/>
                <w:szCs w:val="26"/>
                <w:lang w:val="ro-MD"/>
              </w:rPr>
              <w:t xml:space="preserve">beneficiarilor </w:t>
            </w:r>
            <w:r w:rsidR="005B1AB8" w:rsidRPr="0003727B">
              <w:rPr>
                <w:sz w:val="26"/>
                <w:szCs w:val="26"/>
                <w:lang w:val="ro-MD"/>
              </w:rPr>
              <w:t>pentru</w:t>
            </w:r>
            <w:r w:rsidRPr="0003727B">
              <w:rPr>
                <w:sz w:val="26"/>
                <w:szCs w:val="26"/>
                <w:lang w:val="ro-MD"/>
              </w:rPr>
              <w:t xml:space="preserve"> </w:t>
            </w:r>
            <w:r w:rsidR="007A6642" w:rsidRPr="0003727B">
              <w:rPr>
                <w:sz w:val="26"/>
                <w:szCs w:val="26"/>
                <w:lang w:val="ro-MD"/>
              </w:rPr>
              <w:t xml:space="preserve">a </w:t>
            </w:r>
            <w:r w:rsidRPr="0003727B">
              <w:rPr>
                <w:sz w:val="26"/>
                <w:szCs w:val="26"/>
                <w:lang w:val="ro-MD"/>
              </w:rPr>
              <w:t>gestiona</w:t>
            </w:r>
            <w:r w:rsidR="007A6642" w:rsidRPr="0003727B">
              <w:rPr>
                <w:sz w:val="26"/>
                <w:szCs w:val="26"/>
                <w:lang w:val="ro-MD"/>
              </w:rPr>
              <w:t xml:space="preserve"> mai bine</w:t>
            </w:r>
            <w:r w:rsidRPr="0003727B">
              <w:rPr>
                <w:sz w:val="26"/>
                <w:szCs w:val="26"/>
                <w:lang w:val="ro-MD"/>
              </w:rPr>
              <w:t xml:space="preserve"> bugetului</w:t>
            </w:r>
            <w:r w:rsidR="005B1AB8" w:rsidRPr="0003727B">
              <w:rPr>
                <w:sz w:val="26"/>
                <w:szCs w:val="26"/>
                <w:lang w:val="ro-MD"/>
              </w:rPr>
              <w:t xml:space="preserve"> gospodăriei</w:t>
            </w:r>
            <w:r w:rsidR="007A6642" w:rsidRPr="0003727B">
              <w:rPr>
                <w:sz w:val="26"/>
                <w:szCs w:val="26"/>
                <w:lang w:val="ro-MD"/>
              </w:rPr>
              <w:t xml:space="preserve"> sale</w:t>
            </w:r>
            <w:r w:rsidRPr="0003727B">
              <w:rPr>
                <w:sz w:val="26"/>
                <w:szCs w:val="26"/>
                <w:lang w:val="ro-MD"/>
              </w:rPr>
              <w:t>.</w:t>
            </w:r>
          </w:p>
          <w:p w14:paraId="4648C890" w14:textId="2F792E9E" w:rsidR="0074276A" w:rsidRPr="0003727B" w:rsidRDefault="005F37C8" w:rsidP="005F37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ind w:firstLine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Totodată, menționă</w:t>
            </w:r>
            <w:r w:rsidR="00B02752" w:rsidRPr="0003727B">
              <w:rPr>
                <w:sz w:val="26"/>
                <w:szCs w:val="26"/>
                <w:lang w:val="ro-MD"/>
              </w:rPr>
              <w:t>m</w:t>
            </w:r>
            <w:r w:rsidRPr="0003727B">
              <w:rPr>
                <w:sz w:val="26"/>
                <w:szCs w:val="26"/>
                <w:lang w:val="ro-MD"/>
              </w:rPr>
              <w:t xml:space="preserve"> că formula de calcul pentru stabilirea compensați</w:t>
            </w:r>
            <w:r w:rsidR="00B14BE6">
              <w:rPr>
                <w:sz w:val="26"/>
                <w:szCs w:val="26"/>
                <w:lang w:val="ro-MD"/>
              </w:rPr>
              <w:t>ilor</w:t>
            </w:r>
            <w:r w:rsidRPr="0003727B">
              <w:rPr>
                <w:sz w:val="26"/>
                <w:szCs w:val="26"/>
                <w:lang w:val="ro-MD"/>
              </w:rPr>
              <w:t xml:space="preserve"> a fost modificată față de perioada rece a anului 2023-2024, respectiv, pentru sezonul rece 2024-</w:t>
            </w:r>
            <w:r w:rsidRPr="0074276A">
              <w:rPr>
                <w:sz w:val="26"/>
                <w:szCs w:val="26"/>
                <w:lang w:val="ro-MD"/>
              </w:rPr>
              <w:t>2025,</w:t>
            </w:r>
            <w:r w:rsidR="00B02752" w:rsidRPr="0074276A">
              <w:rPr>
                <w:sz w:val="26"/>
                <w:szCs w:val="26"/>
                <w:lang w:val="ro-MD"/>
              </w:rPr>
              <w:t xml:space="preserve"> </w:t>
            </w:r>
            <w:r w:rsidR="0074276A" w:rsidRPr="0074276A">
              <w:rPr>
                <w:sz w:val="26"/>
                <w:szCs w:val="26"/>
                <w:lang w:val="ro-MD"/>
              </w:rPr>
              <w:t>compensați</w:t>
            </w:r>
            <w:r w:rsidR="00B14BE6">
              <w:rPr>
                <w:sz w:val="26"/>
                <w:szCs w:val="26"/>
                <w:lang w:val="ro-MD"/>
              </w:rPr>
              <w:t>ile</w:t>
            </w:r>
            <w:r w:rsidR="0074276A" w:rsidRPr="0074276A">
              <w:rPr>
                <w:sz w:val="26"/>
                <w:szCs w:val="26"/>
                <w:lang w:val="ro-MD"/>
              </w:rPr>
              <w:t xml:space="preserve"> nu v</w:t>
            </w:r>
            <w:r w:rsidR="00B14BE6">
              <w:rPr>
                <w:sz w:val="26"/>
                <w:szCs w:val="26"/>
                <w:lang w:val="ro-MD"/>
              </w:rPr>
              <w:t>or</w:t>
            </w:r>
            <w:r w:rsidR="0074276A" w:rsidRPr="0074276A">
              <w:rPr>
                <w:sz w:val="26"/>
                <w:szCs w:val="26"/>
                <w:lang w:val="ro-MD"/>
              </w:rPr>
              <w:t xml:space="preserve"> mai fi legat</w:t>
            </w:r>
            <w:r w:rsidR="00B14BE6">
              <w:rPr>
                <w:sz w:val="26"/>
                <w:szCs w:val="26"/>
                <w:lang w:val="ro-MD"/>
              </w:rPr>
              <w:t>e</w:t>
            </w:r>
            <w:r w:rsidR="0074276A" w:rsidRPr="0074276A">
              <w:rPr>
                <w:sz w:val="26"/>
                <w:szCs w:val="26"/>
                <w:lang w:val="ro-MD"/>
              </w:rPr>
              <w:t xml:space="preserve"> de consumul efectiv de energie al beneficiarului, ci v</w:t>
            </w:r>
            <w:r w:rsidR="00B14BE6">
              <w:rPr>
                <w:sz w:val="26"/>
                <w:szCs w:val="26"/>
                <w:lang w:val="ro-MD"/>
              </w:rPr>
              <w:t>or</w:t>
            </w:r>
            <w:r w:rsidR="0074276A" w:rsidRPr="0074276A">
              <w:rPr>
                <w:sz w:val="26"/>
                <w:szCs w:val="26"/>
                <w:lang w:val="ro-MD"/>
              </w:rPr>
              <w:t xml:space="preserve"> fi calculat</w:t>
            </w:r>
            <w:r w:rsidR="00B14BE6">
              <w:rPr>
                <w:sz w:val="26"/>
                <w:szCs w:val="26"/>
                <w:lang w:val="ro-MD"/>
              </w:rPr>
              <w:t>e</w:t>
            </w:r>
            <w:r w:rsidR="0074276A" w:rsidRPr="0074276A">
              <w:rPr>
                <w:sz w:val="26"/>
                <w:szCs w:val="26"/>
                <w:lang w:val="ro-MD"/>
              </w:rPr>
              <w:t xml:space="preserve"> în funcție de normele de consum de energie, care urmează să fie aprobate, precum și de venit.</w:t>
            </w:r>
            <w:r w:rsidR="0074276A">
              <w:rPr>
                <w:sz w:val="26"/>
                <w:szCs w:val="26"/>
                <w:lang w:val="ro-MD"/>
              </w:rPr>
              <w:t xml:space="preserve"> </w:t>
            </w:r>
          </w:p>
          <w:p w14:paraId="2C4540C5" w14:textId="02AB3714" w:rsidR="00D65704" w:rsidRPr="0003727B" w:rsidRDefault="00E054BC" w:rsidP="005F37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ind w:firstLine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 xml:space="preserve">În acest context, </w:t>
            </w:r>
            <w:r w:rsidR="0074276A">
              <w:rPr>
                <w:sz w:val="26"/>
                <w:szCs w:val="26"/>
                <w:lang w:val="ro-MD"/>
              </w:rPr>
              <w:t>compensați</w:t>
            </w:r>
            <w:r w:rsidR="00B14BE6">
              <w:rPr>
                <w:sz w:val="26"/>
                <w:szCs w:val="26"/>
                <w:lang w:val="ro-MD"/>
              </w:rPr>
              <w:t>ile</w:t>
            </w:r>
            <w:r w:rsidR="0074276A">
              <w:rPr>
                <w:sz w:val="26"/>
                <w:szCs w:val="26"/>
                <w:lang w:val="ro-MD"/>
              </w:rPr>
              <w:t xml:space="preserve"> </w:t>
            </w:r>
            <w:r w:rsidR="00B14BE6" w:rsidRPr="0003727B">
              <w:rPr>
                <w:sz w:val="26"/>
                <w:szCs w:val="26"/>
                <w:lang w:val="ro-MD"/>
              </w:rPr>
              <w:t>gospodări</w:t>
            </w:r>
            <w:r w:rsidR="00B14BE6">
              <w:rPr>
                <w:sz w:val="26"/>
                <w:szCs w:val="26"/>
                <w:lang w:val="ro-MD"/>
              </w:rPr>
              <w:t>ilor</w:t>
            </w:r>
            <w:r w:rsidRPr="0003727B">
              <w:rPr>
                <w:sz w:val="26"/>
                <w:szCs w:val="26"/>
                <w:lang w:val="ro-MD"/>
              </w:rPr>
              <w:t xml:space="preserve"> pentru sezonul rece 2024-2025 v</w:t>
            </w:r>
            <w:r w:rsidR="00B14BE6">
              <w:rPr>
                <w:sz w:val="26"/>
                <w:szCs w:val="26"/>
                <w:lang w:val="ro-MD"/>
              </w:rPr>
              <w:t>or</w:t>
            </w:r>
            <w:r w:rsidRPr="0003727B">
              <w:rPr>
                <w:sz w:val="26"/>
                <w:szCs w:val="26"/>
                <w:lang w:val="ro-MD"/>
              </w:rPr>
              <w:t xml:space="preserve"> fi calculat</w:t>
            </w:r>
            <w:r w:rsidR="00B14BE6">
              <w:rPr>
                <w:sz w:val="26"/>
                <w:szCs w:val="26"/>
                <w:lang w:val="ro-MD"/>
              </w:rPr>
              <w:t>e</w:t>
            </w:r>
            <w:r w:rsidRPr="0003727B">
              <w:rPr>
                <w:sz w:val="26"/>
                <w:szCs w:val="26"/>
                <w:lang w:val="ro-MD"/>
              </w:rPr>
              <w:t xml:space="preserve"> individual pentru fiecare gospodărie în parte.</w:t>
            </w:r>
          </w:p>
          <w:p w14:paraId="1DE36B0C" w14:textId="6CE763E1" w:rsidR="00FC2A67" w:rsidRPr="0003727B" w:rsidRDefault="00FC2A67" w:rsidP="00803C09">
            <w:pPr>
              <w:pStyle w:val="ListParagraph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ind w:left="-113" w:firstLine="473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 xml:space="preserve">Prezenta </w:t>
            </w:r>
            <w:r w:rsidR="0078609C" w:rsidRPr="0003727B">
              <w:rPr>
                <w:sz w:val="26"/>
                <w:szCs w:val="26"/>
                <w:lang w:val="ro-MD"/>
              </w:rPr>
              <w:t>hotărâre</w:t>
            </w:r>
            <w:r w:rsidRPr="0003727B">
              <w:rPr>
                <w:sz w:val="26"/>
                <w:szCs w:val="26"/>
                <w:lang w:val="ro-MD"/>
              </w:rPr>
              <w:t xml:space="preserve"> urmează să intre în vigoare la data publicării în Monitorul</w:t>
            </w:r>
            <w:r w:rsidR="00803C09" w:rsidRPr="0003727B">
              <w:rPr>
                <w:sz w:val="26"/>
                <w:szCs w:val="26"/>
                <w:lang w:val="ro-MD"/>
              </w:rPr>
              <w:t xml:space="preserve"> </w:t>
            </w:r>
            <w:r w:rsidRPr="0003727B">
              <w:rPr>
                <w:sz w:val="26"/>
                <w:szCs w:val="26"/>
                <w:lang w:val="ro-MD"/>
              </w:rPr>
              <w:t>Oficial al Republicii Moldova, deoarece sistemul informațional „Vulnerabilitatea Energetică” trebuie ajustat pentru a se conforma noilor prevederi ale acestui proiect de</w:t>
            </w:r>
            <w:r w:rsidR="0078609C" w:rsidRPr="0003727B">
              <w:rPr>
                <w:sz w:val="26"/>
                <w:szCs w:val="26"/>
                <w:lang w:val="ro-MD"/>
              </w:rPr>
              <w:t xml:space="preserve"> </w:t>
            </w:r>
            <w:r w:rsidR="0078609C" w:rsidRPr="0003727B">
              <w:rPr>
                <w:sz w:val="26"/>
                <w:szCs w:val="26"/>
                <w:lang w:val="ro-MD"/>
              </w:rPr>
              <w:lastRenderedPageBreak/>
              <w:t>hotărâre</w:t>
            </w:r>
            <w:r w:rsidRPr="0003727B">
              <w:rPr>
                <w:sz w:val="26"/>
                <w:szCs w:val="26"/>
                <w:lang w:val="ro-MD"/>
              </w:rPr>
              <w:t>. Menționăm că timpul necesar pentru aceste ajustări este foarte limitat</w:t>
            </w:r>
            <w:r w:rsidR="0078609C" w:rsidRPr="0003727B">
              <w:rPr>
                <w:sz w:val="26"/>
                <w:szCs w:val="26"/>
                <w:lang w:val="ro-MD"/>
              </w:rPr>
              <w:t xml:space="preserve"> deoarece compensația se acordă pentru perioada noiembrie - martie</w:t>
            </w:r>
            <w:r w:rsidRPr="0003727B">
              <w:rPr>
                <w:sz w:val="26"/>
                <w:szCs w:val="26"/>
                <w:lang w:val="ro-MD"/>
              </w:rPr>
              <w:t xml:space="preserve">. </w:t>
            </w:r>
          </w:p>
        </w:tc>
      </w:tr>
      <w:tr w:rsidR="00FC2A67" w:rsidRPr="0003727B" w14:paraId="3D4616FB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25B51" w14:textId="77777777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lastRenderedPageBreak/>
              <w:t>3.2. Opțiunile alternative analizate și motivele pentru care acestea nu au fost luate în considerare</w:t>
            </w:r>
          </w:p>
        </w:tc>
      </w:tr>
      <w:tr w:rsidR="00FC2A67" w:rsidRPr="0003727B" w14:paraId="618CD0F9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E9F95" w14:textId="546A4B96" w:rsidR="00FC2A67" w:rsidRPr="0003727B" w:rsidRDefault="008B7A52" w:rsidP="00D03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ind w:firstLine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Nu au fost identificate opțiuni alternative pe domeniul de reglementare abordat.</w:t>
            </w:r>
            <w:r w:rsidR="00FC2A67" w:rsidRPr="0003727B">
              <w:rPr>
                <w:sz w:val="26"/>
                <w:szCs w:val="26"/>
                <w:lang w:val="ro-MD"/>
              </w:rPr>
              <w:t xml:space="preserve"> </w:t>
            </w:r>
          </w:p>
        </w:tc>
      </w:tr>
      <w:tr w:rsidR="00FC2A67" w:rsidRPr="0003727B" w14:paraId="2CFA3848" w14:textId="77777777" w:rsidTr="00E63039">
        <w:trPr>
          <w:trHeight w:val="381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C2FC" w14:textId="77777777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b/>
                <w:bCs/>
                <w:sz w:val="26"/>
                <w:szCs w:val="26"/>
                <w:lang w:val="ro-MD"/>
              </w:rPr>
            </w:pPr>
            <w:r w:rsidRPr="0003727B">
              <w:rPr>
                <w:b/>
                <w:bCs/>
                <w:sz w:val="26"/>
                <w:szCs w:val="26"/>
                <w:lang w:val="ro-MD"/>
              </w:rPr>
              <w:t xml:space="preserve">4. Analiza impactului de reglementare </w:t>
            </w:r>
          </w:p>
        </w:tc>
      </w:tr>
      <w:tr w:rsidR="00FC2A67" w:rsidRPr="0003727B" w14:paraId="46175659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DEA04" w14:textId="77777777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4.1. Impactul asupra sectorului public</w:t>
            </w:r>
          </w:p>
        </w:tc>
      </w:tr>
      <w:tr w:rsidR="00FC2A67" w:rsidRPr="0003727B" w14:paraId="66F8BA52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86555" w14:textId="76A5C687" w:rsidR="00FC2A67" w:rsidRPr="0003727B" w:rsidRDefault="008B7A52" w:rsidP="00D03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ind w:firstLine="596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 xml:space="preserve">Aprobarea </w:t>
            </w:r>
            <w:r w:rsidR="005E4E7D">
              <w:rPr>
                <w:sz w:val="26"/>
                <w:szCs w:val="26"/>
                <w:lang w:val="ro-MD"/>
              </w:rPr>
              <w:t xml:space="preserve">proiectului </w:t>
            </w:r>
            <w:r w:rsidRPr="0003727B">
              <w:rPr>
                <w:sz w:val="26"/>
                <w:szCs w:val="26"/>
                <w:lang w:val="ro-MD"/>
              </w:rPr>
              <w:t xml:space="preserve">va </w:t>
            </w:r>
            <w:r w:rsidR="00FC2A67" w:rsidRPr="0003727B">
              <w:rPr>
                <w:sz w:val="26"/>
                <w:szCs w:val="26"/>
                <w:lang w:val="ro-MD"/>
              </w:rPr>
              <w:t xml:space="preserve">simplifica administrarea compensațiilor pentru energie, oferind posibilitatea acordării acestora direct beneficiarului. </w:t>
            </w:r>
          </w:p>
          <w:p w14:paraId="42342EEB" w14:textId="281269E2" w:rsidR="00FC2A67" w:rsidRPr="0003727B" w:rsidRDefault="008B7A52" w:rsidP="00D03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ind w:firstLine="596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 xml:space="preserve">În acest mod </w:t>
            </w:r>
            <w:r w:rsidR="00FC2A67" w:rsidRPr="0003727B">
              <w:rPr>
                <w:sz w:val="26"/>
                <w:szCs w:val="26"/>
                <w:lang w:val="ro-MD"/>
              </w:rPr>
              <w:t>distribu</w:t>
            </w:r>
            <w:r w:rsidRPr="0003727B">
              <w:rPr>
                <w:sz w:val="26"/>
                <w:szCs w:val="26"/>
                <w:lang w:val="ro-MD"/>
              </w:rPr>
              <w:t>irea</w:t>
            </w:r>
            <w:r w:rsidR="00FC2A67" w:rsidRPr="0003727B">
              <w:rPr>
                <w:sz w:val="26"/>
                <w:szCs w:val="26"/>
                <w:lang w:val="ro-MD"/>
              </w:rPr>
              <w:t xml:space="preserve"> fondurilor publice</w:t>
            </w:r>
            <w:r w:rsidRPr="0003727B">
              <w:rPr>
                <w:sz w:val="26"/>
                <w:szCs w:val="26"/>
                <w:lang w:val="ro-MD"/>
              </w:rPr>
              <w:t xml:space="preserve"> va fi mai transparentă</w:t>
            </w:r>
            <w:r w:rsidR="00FC2A67" w:rsidRPr="0003727B">
              <w:rPr>
                <w:sz w:val="26"/>
                <w:szCs w:val="26"/>
                <w:lang w:val="ro-MD"/>
              </w:rPr>
              <w:t>.</w:t>
            </w:r>
          </w:p>
        </w:tc>
      </w:tr>
      <w:tr w:rsidR="00FC2A67" w:rsidRPr="0003727B" w14:paraId="7236AF13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CA88" w14:textId="77777777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4.2. Impactul financiar și argumentarea costurilor estimative</w:t>
            </w:r>
          </w:p>
        </w:tc>
      </w:tr>
      <w:tr w:rsidR="00FC2A67" w:rsidRPr="0003727B" w14:paraId="22A9FC0C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D4334" w14:textId="77777777" w:rsidR="0018330C" w:rsidRPr="00034F43" w:rsidRDefault="0018330C" w:rsidP="0018330C">
            <w:pPr>
              <w:tabs>
                <w:tab w:val="left" w:pos="1442"/>
                <w:tab w:val="left" w:pos="1708"/>
              </w:tabs>
              <w:adjustRightInd w:val="0"/>
              <w:ind w:firstLine="690"/>
              <w:rPr>
                <w:sz w:val="26"/>
                <w:szCs w:val="26"/>
                <w:lang w:val="ro-MD"/>
              </w:rPr>
            </w:pPr>
            <w:r w:rsidRPr="00034F43">
              <w:rPr>
                <w:sz w:val="26"/>
                <w:szCs w:val="26"/>
                <w:lang w:val="ro-MD"/>
              </w:rPr>
              <w:t>Pentru sezonul rece a anului 2024-2025, se va elabora un nou mecanism de acordare a compensațiilor pentru consumul de energie în temeiul Legii nr. 241/2022.</w:t>
            </w:r>
          </w:p>
          <w:p w14:paraId="4A405FDA" w14:textId="146BDC86" w:rsidR="00FC2A67" w:rsidRPr="0003727B" w:rsidRDefault="0018330C" w:rsidP="0018330C">
            <w:pPr>
              <w:tabs>
                <w:tab w:val="left" w:pos="1442"/>
                <w:tab w:val="left" w:pos="1708"/>
              </w:tabs>
              <w:adjustRightInd w:val="0"/>
              <w:ind w:firstLine="596"/>
              <w:rPr>
                <w:sz w:val="26"/>
                <w:szCs w:val="26"/>
                <w:lang w:val="ro-MD"/>
              </w:rPr>
            </w:pPr>
            <w:r w:rsidRPr="00034F43">
              <w:rPr>
                <w:sz w:val="26"/>
                <w:szCs w:val="26"/>
                <w:lang w:val="ro-MD"/>
              </w:rPr>
              <w:t>Respectiv, subliniem că costurile de implementare a proiectului (inclusiv cheltuieli de distribuire) se vor încadra în limita alocațiilor aprobate în CBTM 2025-2027.</w:t>
            </w:r>
            <w:r>
              <w:rPr>
                <w:sz w:val="26"/>
                <w:szCs w:val="26"/>
                <w:lang w:val="ro-MD"/>
              </w:rPr>
              <w:t xml:space="preserve"> </w:t>
            </w:r>
          </w:p>
        </w:tc>
      </w:tr>
      <w:tr w:rsidR="00FC2A67" w:rsidRPr="0003727B" w14:paraId="54F8526F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727A2" w14:textId="77777777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4.3. Impactul asupra sectorului privat</w:t>
            </w:r>
          </w:p>
        </w:tc>
      </w:tr>
      <w:tr w:rsidR="00FC2A67" w:rsidRPr="0003727B" w14:paraId="40269A32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CC1E1" w14:textId="237897A1" w:rsidR="00FC2A67" w:rsidRPr="0003727B" w:rsidRDefault="00086319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ind w:firstLine="731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Nu a fost identificat</w:t>
            </w:r>
          </w:p>
        </w:tc>
      </w:tr>
      <w:tr w:rsidR="00FC2A67" w:rsidRPr="0003727B" w14:paraId="3CB260D1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6589E" w14:textId="77777777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4.4. Impactul social</w:t>
            </w:r>
          </w:p>
        </w:tc>
      </w:tr>
      <w:tr w:rsidR="00FC2A67" w:rsidRPr="0003727B" w14:paraId="3A4A2AB0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12D77" w14:textId="144E3B91" w:rsidR="00FC2A67" w:rsidRPr="0003727B" w:rsidRDefault="009F03D0" w:rsidP="00613E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Implementarea acestor măsuri preventive de către Ministerul Muncii și Protecției Sociale va avea un impact social considerabil. Aceste măsuri vor asigura o distribuție eficientă și echitabilă a compensațiilor, minimizând riscurile de gestionare inadecvată. Totodată, măsurile vor promova echitatea socială, asigurând alocarea resurselor către cei care au cea mai mare nevoie, ceea ce va contribui la diminuarea inegalităților sociale</w:t>
            </w:r>
            <w:r w:rsidR="00613E7F" w:rsidRPr="0003727B">
              <w:rPr>
                <w:sz w:val="26"/>
                <w:szCs w:val="26"/>
                <w:lang w:val="ro-MD"/>
              </w:rPr>
              <w:t>.</w:t>
            </w:r>
            <w:r w:rsidR="005F77B4" w:rsidRPr="0003727B">
              <w:rPr>
                <w:sz w:val="26"/>
                <w:szCs w:val="26"/>
                <w:lang w:val="ro-MD"/>
              </w:rPr>
              <w:t xml:space="preserve"> </w:t>
            </w:r>
          </w:p>
        </w:tc>
      </w:tr>
      <w:tr w:rsidR="00FC2A67" w:rsidRPr="0003727B" w14:paraId="27DDBECB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8777" w14:textId="77777777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 xml:space="preserve">4.4.1. Impactul asupra datelor cu caracter personal </w:t>
            </w:r>
          </w:p>
        </w:tc>
      </w:tr>
      <w:tr w:rsidR="00FC2A67" w:rsidRPr="0003727B" w14:paraId="5B7DAABA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FE1F" w14:textId="66D9C3CB" w:rsidR="00FC2A67" w:rsidRPr="0003727B" w:rsidRDefault="00086319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Nu a fost identificat</w:t>
            </w:r>
          </w:p>
        </w:tc>
      </w:tr>
      <w:tr w:rsidR="00FC2A67" w:rsidRPr="0003727B" w14:paraId="776622E2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8123" w14:textId="77777777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4.4.2. Impactul asupra echității și egalității de gen</w:t>
            </w:r>
          </w:p>
        </w:tc>
      </w:tr>
      <w:tr w:rsidR="00FC2A67" w:rsidRPr="0003727B" w14:paraId="72866F4A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52C05" w14:textId="37FE28CB" w:rsidR="00FC2A67" w:rsidRPr="0003727B" w:rsidRDefault="00086319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Proiectul nu comportă riscuri de discriminare și nu are impact asupra echității și egalității de gen.</w:t>
            </w:r>
          </w:p>
        </w:tc>
      </w:tr>
      <w:tr w:rsidR="00FC2A67" w:rsidRPr="0003727B" w14:paraId="01814DEA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61EB" w14:textId="77777777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4.5. Impactul asupra mediului</w:t>
            </w:r>
          </w:p>
        </w:tc>
      </w:tr>
      <w:tr w:rsidR="00FC2A67" w:rsidRPr="0003727B" w14:paraId="2A492BB6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6BFCE" w14:textId="45EB752B" w:rsidR="00FC2A67" w:rsidRPr="0003727B" w:rsidRDefault="00056FE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Nu a fost identificat.</w:t>
            </w:r>
          </w:p>
        </w:tc>
      </w:tr>
      <w:tr w:rsidR="00FC2A67" w:rsidRPr="0003727B" w14:paraId="3A515186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EBD4F" w14:textId="77777777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4.6. Alte impacturi și informații relevante</w:t>
            </w:r>
          </w:p>
        </w:tc>
      </w:tr>
      <w:tr w:rsidR="00FC2A67" w:rsidRPr="0003727B" w14:paraId="175679ED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42A4" w14:textId="77777777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 xml:space="preserve"> Alte impacturi și informații relevante nu sunt.</w:t>
            </w:r>
          </w:p>
        </w:tc>
      </w:tr>
      <w:tr w:rsidR="00FC2A67" w:rsidRPr="0003727B" w14:paraId="18CAE9E2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4599" w14:textId="77777777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b/>
                <w:bCs/>
                <w:sz w:val="26"/>
                <w:szCs w:val="26"/>
                <w:lang w:val="ro-MD"/>
              </w:rPr>
            </w:pPr>
            <w:r w:rsidRPr="0003727B">
              <w:rPr>
                <w:b/>
                <w:bCs/>
                <w:sz w:val="26"/>
                <w:szCs w:val="26"/>
                <w:lang w:val="ro-MD"/>
              </w:rPr>
              <w:t xml:space="preserve">5. Compatibilitatea proiectului actului normativ cu legislația UE </w:t>
            </w:r>
          </w:p>
        </w:tc>
      </w:tr>
      <w:tr w:rsidR="00FC2A67" w:rsidRPr="0003727B" w14:paraId="018A9633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B3AC6" w14:textId="77777777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5.1. Măsuri normative necesare pentru transpunerea actelor juridice ale UE în legislația națională</w:t>
            </w:r>
          </w:p>
        </w:tc>
      </w:tr>
      <w:tr w:rsidR="00FC2A67" w:rsidRPr="0003727B" w14:paraId="66E677D8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D4F4" w14:textId="60D23FE4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Măsuri normative necesare pentru transpunerea actelor juridice ale UE în legislația națională nu sunt</w:t>
            </w:r>
            <w:r w:rsidR="00EC3F23" w:rsidRPr="0003727B">
              <w:rPr>
                <w:sz w:val="26"/>
                <w:szCs w:val="26"/>
                <w:lang w:val="ro-MD"/>
              </w:rPr>
              <w:t xml:space="preserve"> identificate</w:t>
            </w:r>
            <w:r w:rsidRPr="0003727B">
              <w:rPr>
                <w:sz w:val="26"/>
                <w:szCs w:val="26"/>
                <w:lang w:val="ro-MD"/>
              </w:rPr>
              <w:t>.</w:t>
            </w:r>
          </w:p>
        </w:tc>
      </w:tr>
      <w:tr w:rsidR="00FC2A67" w:rsidRPr="0003727B" w14:paraId="6F309AFE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1A8" w14:textId="77777777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5.2. Măsuri normative care urmăresc crearea cadrului juridic intern necesar pentru implementarea legislației UE</w:t>
            </w:r>
          </w:p>
        </w:tc>
      </w:tr>
      <w:tr w:rsidR="00FC2A67" w:rsidRPr="0003727B" w14:paraId="22ED166A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6EE9F" w14:textId="50EA13F2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Măsuri normative care urmăresc crearea cadrului juridic intern necesar pentru implementarea legislației UE nu sunt</w:t>
            </w:r>
            <w:r w:rsidR="00EC3F23" w:rsidRPr="0003727B">
              <w:rPr>
                <w:sz w:val="26"/>
                <w:szCs w:val="26"/>
                <w:lang w:val="ro-MD"/>
              </w:rPr>
              <w:t xml:space="preserve"> identificate</w:t>
            </w:r>
            <w:r w:rsidRPr="0003727B">
              <w:rPr>
                <w:sz w:val="26"/>
                <w:szCs w:val="26"/>
                <w:lang w:val="ro-MD"/>
              </w:rPr>
              <w:t>.</w:t>
            </w:r>
          </w:p>
        </w:tc>
      </w:tr>
      <w:tr w:rsidR="00FC2A67" w:rsidRPr="0003727B" w14:paraId="16CB6609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B360" w14:textId="77777777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b/>
                <w:bCs/>
                <w:sz w:val="26"/>
                <w:szCs w:val="26"/>
                <w:lang w:val="ro-MD"/>
              </w:rPr>
            </w:pPr>
            <w:r w:rsidRPr="0003727B">
              <w:rPr>
                <w:b/>
                <w:bCs/>
                <w:sz w:val="26"/>
                <w:szCs w:val="26"/>
                <w:lang w:val="ro-MD"/>
              </w:rPr>
              <w:t>6. Avizarea și consultarea publică a proiectului actului normativ</w:t>
            </w:r>
          </w:p>
        </w:tc>
      </w:tr>
      <w:tr w:rsidR="00FC2A67" w:rsidRPr="0003727B" w14:paraId="2EF0245A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61A00" w14:textId="75F15D7A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În scopul respectării prevederilor Legii nr. 239/2008 privind transparența în procesul decizional, anunțul privind inițierea procesului de elaborare a proiectului este plasat pe portalul guvernamental particip.gov.md unde poate fi accesat la următorul link:</w:t>
            </w:r>
            <w:r w:rsidR="00EC3F23" w:rsidRPr="0003727B">
              <w:rPr>
                <w:sz w:val="26"/>
                <w:szCs w:val="26"/>
                <w:lang w:val="ro-MD"/>
              </w:rPr>
              <w:t xml:space="preserve"> </w:t>
            </w:r>
          </w:p>
        </w:tc>
      </w:tr>
      <w:tr w:rsidR="00FC2A67" w:rsidRPr="0003727B" w14:paraId="5DF2D74D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F6CEE" w14:textId="77777777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b/>
                <w:bCs/>
                <w:sz w:val="26"/>
                <w:szCs w:val="26"/>
                <w:lang w:val="ro-MD"/>
              </w:rPr>
            </w:pPr>
            <w:r w:rsidRPr="0003727B">
              <w:rPr>
                <w:b/>
                <w:bCs/>
                <w:sz w:val="26"/>
                <w:szCs w:val="26"/>
                <w:lang w:val="ro-MD"/>
              </w:rPr>
              <w:lastRenderedPageBreak/>
              <w:t>7. Concluziile expertizelor</w:t>
            </w:r>
          </w:p>
        </w:tc>
      </w:tr>
      <w:tr w:rsidR="00FC2A67" w:rsidRPr="0003727B" w14:paraId="777E161D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F4E07" w14:textId="77777777" w:rsidR="0009306F" w:rsidRPr="0003727B" w:rsidRDefault="0009306F" w:rsidP="000930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Proiectul urmează a fi supus expertizei anticorupție de către Centrul Național</w:t>
            </w:r>
          </w:p>
          <w:p w14:paraId="336E036C" w14:textId="7E39EFBE" w:rsidR="0009306F" w:rsidRPr="0003727B" w:rsidRDefault="0009306F" w:rsidP="000930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ind w:firstLine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Anticorupție și expertizei juridice de către Ministerul Justiție.</w:t>
            </w:r>
          </w:p>
          <w:p w14:paraId="6162F77D" w14:textId="77777777" w:rsidR="0009306F" w:rsidRPr="0003727B" w:rsidRDefault="0009306F" w:rsidP="000930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ind w:firstLine="738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Informația privind rezultatele expertizelor anticorupție și juridice vor fi incluse</w:t>
            </w:r>
          </w:p>
          <w:p w14:paraId="72A9CF2E" w14:textId="78433BD2" w:rsidR="00FC2A67" w:rsidRPr="0003727B" w:rsidRDefault="0009306F" w:rsidP="000930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ind w:firstLine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după recepționarea rapoartelor de expertiză în sinteza obiecțiilor și propunerilor/recomandărilor la proiectul de hotărâre.</w:t>
            </w:r>
            <w:r w:rsidRPr="0003727B">
              <w:rPr>
                <w:b/>
                <w:bCs/>
                <w:sz w:val="26"/>
                <w:szCs w:val="26"/>
                <w:lang w:val="ro-MD"/>
              </w:rPr>
              <w:t xml:space="preserve"> </w:t>
            </w:r>
          </w:p>
        </w:tc>
      </w:tr>
      <w:tr w:rsidR="00FC2A67" w:rsidRPr="0003727B" w14:paraId="527C082B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340DC" w14:textId="77777777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b/>
                <w:bCs/>
                <w:sz w:val="26"/>
                <w:szCs w:val="26"/>
                <w:lang w:val="ro-MD"/>
              </w:rPr>
            </w:pPr>
            <w:r w:rsidRPr="0003727B">
              <w:rPr>
                <w:b/>
                <w:bCs/>
                <w:sz w:val="26"/>
                <w:szCs w:val="26"/>
                <w:lang w:val="ro-MD"/>
              </w:rPr>
              <w:t>8. Modul de încorporare a actului în cadrul normativ existent</w:t>
            </w:r>
          </w:p>
        </w:tc>
      </w:tr>
      <w:tr w:rsidR="00FC2A67" w:rsidRPr="0003727B" w14:paraId="1EA383FA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810" w14:textId="77777777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b/>
                <w:bCs/>
                <w:sz w:val="26"/>
                <w:szCs w:val="26"/>
                <w:lang w:val="ro-MD"/>
              </w:rPr>
            </w:pPr>
          </w:p>
        </w:tc>
      </w:tr>
      <w:tr w:rsidR="00FC2A67" w:rsidRPr="0003727B" w14:paraId="743B7489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D289" w14:textId="7E5A6024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 xml:space="preserve">Aprobarea proiectului de </w:t>
            </w:r>
            <w:r w:rsidR="00EC3F23" w:rsidRPr="0003727B">
              <w:rPr>
                <w:sz w:val="26"/>
                <w:szCs w:val="26"/>
                <w:lang w:val="ro-MD"/>
              </w:rPr>
              <w:t>hotărâre</w:t>
            </w:r>
            <w:r w:rsidRPr="0003727B">
              <w:rPr>
                <w:sz w:val="26"/>
                <w:szCs w:val="26"/>
                <w:lang w:val="ro-MD"/>
              </w:rPr>
              <w:t xml:space="preserve"> </w:t>
            </w:r>
            <w:r w:rsidR="00EC3F23" w:rsidRPr="0003727B">
              <w:rPr>
                <w:sz w:val="26"/>
                <w:szCs w:val="26"/>
                <w:lang w:val="ro-MD"/>
              </w:rPr>
              <w:t xml:space="preserve">nu </w:t>
            </w:r>
            <w:r w:rsidRPr="0003727B">
              <w:rPr>
                <w:sz w:val="26"/>
                <w:szCs w:val="26"/>
                <w:lang w:val="ro-MD"/>
              </w:rPr>
              <w:t xml:space="preserve">implică modificări și completări în </w:t>
            </w:r>
            <w:r w:rsidR="00EC3F23" w:rsidRPr="0003727B">
              <w:rPr>
                <w:sz w:val="26"/>
                <w:szCs w:val="26"/>
                <w:lang w:val="ro-MD"/>
              </w:rPr>
              <w:t xml:space="preserve">ale </w:t>
            </w:r>
            <w:r w:rsidRPr="0003727B">
              <w:rPr>
                <w:sz w:val="26"/>
                <w:szCs w:val="26"/>
                <w:lang w:val="ro-MD"/>
              </w:rPr>
              <w:t>actele normative în vigoare din domeniu.</w:t>
            </w:r>
          </w:p>
        </w:tc>
      </w:tr>
      <w:tr w:rsidR="00FC2A67" w:rsidRPr="0003727B" w14:paraId="1F9A87BA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9067" w14:textId="77777777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b/>
                <w:bCs/>
                <w:sz w:val="26"/>
                <w:szCs w:val="26"/>
                <w:lang w:val="ro-MD"/>
              </w:rPr>
            </w:pPr>
            <w:r w:rsidRPr="0003727B">
              <w:rPr>
                <w:b/>
                <w:bCs/>
                <w:sz w:val="26"/>
                <w:szCs w:val="26"/>
                <w:lang w:val="ro-MD"/>
              </w:rPr>
              <w:t>9. Măsurile necesare pentru implementarea prevederilor proiectului actului normativ</w:t>
            </w:r>
          </w:p>
        </w:tc>
      </w:tr>
      <w:tr w:rsidR="00FC2A67" w:rsidRPr="0003727B" w14:paraId="21927A72" w14:textId="77777777" w:rsidTr="00E6303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A8EA" w14:textId="77777777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Vor fi necesare măsuri de organizare și implementare a opțiunilor incluse pentru a atinge obiectivele stabilite.</w:t>
            </w:r>
          </w:p>
          <w:p w14:paraId="1F3DD148" w14:textId="0BC44BAA" w:rsidR="00FC2A67" w:rsidRPr="0003727B" w:rsidRDefault="00FC2A67" w:rsidP="00E630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  <w:tab w:val="left" w:pos="1442"/>
                <w:tab w:val="left" w:pos="1708"/>
              </w:tabs>
              <w:adjustRightInd w:val="0"/>
              <w:rPr>
                <w:sz w:val="26"/>
                <w:szCs w:val="26"/>
                <w:lang w:val="ro-MD"/>
              </w:rPr>
            </w:pPr>
            <w:r w:rsidRPr="0003727B">
              <w:rPr>
                <w:sz w:val="26"/>
                <w:szCs w:val="26"/>
                <w:lang w:val="ro-MD"/>
              </w:rPr>
              <w:t>Principale autorități implicate vor fi Ministerul Muncii și Protecției Sociale, Agențiile teritoriale de asistență socială și structurile lor subordonate și Casa Națională de Asigurări Sociale.</w:t>
            </w:r>
          </w:p>
        </w:tc>
      </w:tr>
    </w:tbl>
    <w:p w14:paraId="0B701F3D" w14:textId="77777777" w:rsidR="00FC2A67" w:rsidRPr="0003727B" w:rsidRDefault="00FC2A67" w:rsidP="00FC2A67">
      <w:pPr>
        <w:tabs>
          <w:tab w:val="left" w:pos="1442"/>
          <w:tab w:val="left" w:pos="1708"/>
        </w:tabs>
        <w:adjustRightInd w:val="0"/>
        <w:ind w:firstLine="0"/>
        <w:rPr>
          <w:b/>
          <w:bCs/>
          <w:sz w:val="26"/>
          <w:szCs w:val="26"/>
        </w:rPr>
      </w:pPr>
    </w:p>
    <w:p w14:paraId="676B26FF" w14:textId="77777777" w:rsidR="00FC2A67" w:rsidRPr="0003727B" w:rsidRDefault="00FC2A67" w:rsidP="00FC2A67">
      <w:pPr>
        <w:tabs>
          <w:tab w:val="left" w:pos="1442"/>
          <w:tab w:val="left" w:pos="1708"/>
        </w:tabs>
        <w:adjustRightInd w:val="0"/>
        <w:ind w:firstLine="0"/>
        <w:rPr>
          <w:b/>
          <w:bCs/>
          <w:sz w:val="26"/>
          <w:szCs w:val="26"/>
        </w:rPr>
      </w:pPr>
    </w:p>
    <w:p w14:paraId="14C3FB8D" w14:textId="77777777" w:rsidR="00FC2A67" w:rsidRPr="0003727B" w:rsidRDefault="00FC2A67" w:rsidP="00FC2A67">
      <w:pPr>
        <w:tabs>
          <w:tab w:val="left" w:pos="1442"/>
          <w:tab w:val="left" w:pos="1708"/>
        </w:tabs>
        <w:adjustRightInd w:val="0"/>
        <w:ind w:firstLine="0"/>
        <w:rPr>
          <w:b/>
          <w:bCs/>
          <w:sz w:val="26"/>
          <w:szCs w:val="26"/>
        </w:rPr>
      </w:pPr>
    </w:p>
    <w:p w14:paraId="3D960DD0" w14:textId="77777777" w:rsidR="00FC2A67" w:rsidRPr="0003727B" w:rsidRDefault="00FC2A67" w:rsidP="00FC2A67">
      <w:pPr>
        <w:tabs>
          <w:tab w:val="left" w:pos="1442"/>
          <w:tab w:val="left" w:pos="1708"/>
        </w:tabs>
        <w:adjustRightInd w:val="0"/>
        <w:ind w:firstLine="0"/>
        <w:rPr>
          <w:b/>
          <w:bCs/>
          <w:sz w:val="26"/>
          <w:szCs w:val="26"/>
        </w:rPr>
      </w:pPr>
    </w:p>
    <w:p w14:paraId="409CCA3E" w14:textId="12DBF18B" w:rsidR="00FC2A67" w:rsidRPr="0003727B" w:rsidRDefault="00FC2A67" w:rsidP="00FC2A67">
      <w:pPr>
        <w:tabs>
          <w:tab w:val="left" w:pos="1442"/>
          <w:tab w:val="left" w:pos="1708"/>
        </w:tabs>
        <w:adjustRightInd w:val="0"/>
        <w:ind w:firstLine="0"/>
        <w:rPr>
          <w:b/>
          <w:bCs/>
          <w:sz w:val="26"/>
          <w:szCs w:val="26"/>
        </w:rPr>
      </w:pPr>
      <w:r w:rsidRPr="0003727B">
        <w:rPr>
          <w:b/>
          <w:bCs/>
          <w:sz w:val="26"/>
          <w:szCs w:val="26"/>
        </w:rPr>
        <w:t xml:space="preserve">              Secretară de stat                                                            </w:t>
      </w:r>
      <w:r w:rsidR="009D4E37" w:rsidRPr="0003727B">
        <w:rPr>
          <w:b/>
          <w:bCs/>
          <w:sz w:val="26"/>
          <w:szCs w:val="26"/>
        </w:rPr>
        <w:t xml:space="preserve">          </w:t>
      </w:r>
      <w:r w:rsidRPr="0003727B">
        <w:rPr>
          <w:b/>
          <w:bCs/>
          <w:sz w:val="26"/>
          <w:szCs w:val="26"/>
        </w:rPr>
        <w:t xml:space="preserve"> </w:t>
      </w:r>
      <w:r w:rsidR="009D4E37" w:rsidRPr="0003727B">
        <w:rPr>
          <w:b/>
          <w:bCs/>
          <w:sz w:val="26"/>
          <w:szCs w:val="26"/>
        </w:rPr>
        <w:t>Corina AJDER</w:t>
      </w:r>
    </w:p>
    <w:p w14:paraId="66B76646" w14:textId="77777777" w:rsidR="005E08D8" w:rsidRPr="0003727B" w:rsidRDefault="005E08D8"/>
    <w:sectPr w:rsidR="005E08D8" w:rsidRPr="0003727B" w:rsidSect="00FC2A67">
      <w:headerReference w:type="default" r:id="rId7"/>
      <w:headerReference w:type="first" r:id="rId8"/>
      <w:pgSz w:w="11907" w:h="16840"/>
      <w:pgMar w:top="567" w:right="851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F3B6E" w14:textId="77777777" w:rsidR="00E83453" w:rsidRPr="004457CE" w:rsidRDefault="00E83453">
      <w:r w:rsidRPr="004457CE">
        <w:separator/>
      </w:r>
    </w:p>
  </w:endnote>
  <w:endnote w:type="continuationSeparator" w:id="0">
    <w:p w14:paraId="50B408B2" w14:textId="77777777" w:rsidR="00E83453" w:rsidRPr="004457CE" w:rsidRDefault="00E83453">
      <w:r w:rsidRPr="004457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78151" w14:textId="77777777" w:rsidR="00E83453" w:rsidRPr="004457CE" w:rsidRDefault="00E83453">
      <w:r w:rsidRPr="004457CE">
        <w:separator/>
      </w:r>
    </w:p>
  </w:footnote>
  <w:footnote w:type="continuationSeparator" w:id="0">
    <w:p w14:paraId="02769DF7" w14:textId="77777777" w:rsidR="00E83453" w:rsidRPr="004457CE" w:rsidRDefault="00E83453">
      <w:r w:rsidRPr="004457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772A8" w14:textId="77777777" w:rsidR="00F46EBA" w:rsidRPr="004457CE" w:rsidRDefault="00F46EBA" w:rsidP="009D4C0F">
    <w:pPr>
      <w:pStyle w:val="Header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BEBA6" w14:textId="77777777" w:rsidR="00F46EBA" w:rsidRPr="004457CE" w:rsidRDefault="00F46EBA">
    <w:pPr>
      <w:pStyle w:val="Header"/>
      <w:ind w:firstLine="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5658"/>
    <w:multiLevelType w:val="hybridMultilevel"/>
    <w:tmpl w:val="0148A852"/>
    <w:lvl w:ilvl="0" w:tplc="B1ACB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2C4EE5"/>
    <w:multiLevelType w:val="hybridMultilevel"/>
    <w:tmpl w:val="B83EAB84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63064"/>
    <w:multiLevelType w:val="hybridMultilevel"/>
    <w:tmpl w:val="92AA2B74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1651E"/>
    <w:multiLevelType w:val="hybridMultilevel"/>
    <w:tmpl w:val="B85E60EA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C360D"/>
    <w:multiLevelType w:val="hybridMultilevel"/>
    <w:tmpl w:val="873EFFEE"/>
    <w:lvl w:ilvl="0" w:tplc="08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789354A"/>
    <w:multiLevelType w:val="hybridMultilevel"/>
    <w:tmpl w:val="289AE784"/>
    <w:lvl w:ilvl="0" w:tplc="08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CF77E88"/>
    <w:multiLevelType w:val="hybridMultilevel"/>
    <w:tmpl w:val="86748A52"/>
    <w:lvl w:ilvl="0" w:tplc="F7D06E50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8941407"/>
    <w:multiLevelType w:val="hybridMultilevel"/>
    <w:tmpl w:val="F1C4A5FE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378309">
    <w:abstractNumId w:val="6"/>
  </w:num>
  <w:num w:numId="2" w16cid:durableId="1838878803">
    <w:abstractNumId w:val="5"/>
  </w:num>
  <w:num w:numId="3" w16cid:durableId="226771173">
    <w:abstractNumId w:val="0"/>
  </w:num>
  <w:num w:numId="4" w16cid:durableId="1073813316">
    <w:abstractNumId w:val="4"/>
  </w:num>
  <w:num w:numId="5" w16cid:durableId="2043749565">
    <w:abstractNumId w:val="3"/>
  </w:num>
  <w:num w:numId="6" w16cid:durableId="2109226635">
    <w:abstractNumId w:val="1"/>
  </w:num>
  <w:num w:numId="7" w16cid:durableId="1114713874">
    <w:abstractNumId w:val="7"/>
  </w:num>
  <w:num w:numId="8" w16cid:durableId="966394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67"/>
    <w:rsid w:val="0003727B"/>
    <w:rsid w:val="00056FE7"/>
    <w:rsid w:val="00086319"/>
    <w:rsid w:val="0009306F"/>
    <w:rsid w:val="000C1F5E"/>
    <w:rsid w:val="000E50E7"/>
    <w:rsid w:val="000F7A3B"/>
    <w:rsid w:val="00103723"/>
    <w:rsid w:val="00153F34"/>
    <w:rsid w:val="00164604"/>
    <w:rsid w:val="0018330C"/>
    <w:rsid w:val="00210A2E"/>
    <w:rsid w:val="00233F07"/>
    <w:rsid w:val="00280427"/>
    <w:rsid w:val="002A6B65"/>
    <w:rsid w:val="002C5F31"/>
    <w:rsid w:val="002D4BAA"/>
    <w:rsid w:val="002E7B2E"/>
    <w:rsid w:val="00300C6E"/>
    <w:rsid w:val="003558F5"/>
    <w:rsid w:val="003955F4"/>
    <w:rsid w:val="00404350"/>
    <w:rsid w:val="00416427"/>
    <w:rsid w:val="004457CE"/>
    <w:rsid w:val="00492F1C"/>
    <w:rsid w:val="00494B3A"/>
    <w:rsid w:val="004C537C"/>
    <w:rsid w:val="004D5E05"/>
    <w:rsid w:val="00556BFE"/>
    <w:rsid w:val="005A60F5"/>
    <w:rsid w:val="005B1AB8"/>
    <w:rsid w:val="005E08D8"/>
    <w:rsid w:val="005E4E7D"/>
    <w:rsid w:val="005F2DEF"/>
    <w:rsid w:val="005F37C8"/>
    <w:rsid w:val="005F77B4"/>
    <w:rsid w:val="00603D69"/>
    <w:rsid w:val="00613E7F"/>
    <w:rsid w:val="00613FC4"/>
    <w:rsid w:val="00650D22"/>
    <w:rsid w:val="006A041D"/>
    <w:rsid w:val="006E2D00"/>
    <w:rsid w:val="00702583"/>
    <w:rsid w:val="00722923"/>
    <w:rsid w:val="00732041"/>
    <w:rsid w:val="00734524"/>
    <w:rsid w:val="00734F22"/>
    <w:rsid w:val="0074276A"/>
    <w:rsid w:val="00764CF9"/>
    <w:rsid w:val="00766F54"/>
    <w:rsid w:val="0078609C"/>
    <w:rsid w:val="00797C8B"/>
    <w:rsid w:val="007A6642"/>
    <w:rsid w:val="007F16CF"/>
    <w:rsid w:val="00803C09"/>
    <w:rsid w:val="008046D0"/>
    <w:rsid w:val="00814862"/>
    <w:rsid w:val="00853AB6"/>
    <w:rsid w:val="00870BD5"/>
    <w:rsid w:val="008779E7"/>
    <w:rsid w:val="008B7A52"/>
    <w:rsid w:val="008F6909"/>
    <w:rsid w:val="008F6C8A"/>
    <w:rsid w:val="00935020"/>
    <w:rsid w:val="009663BC"/>
    <w:rsid w:val="00970011"/>
    <w:rsid w:val="009A1CD5"/>
    <w:rsid w:val="009B7866"/>
    <w:rsid w:val="009C1E11"/>
    <w:rsid w:val="009D4E37"/>
    <w:rsid w:val="009F03D0"/>
    <w:rsid w:val="00A000F0"/>
    <w:rsid w:val="00A21ECE"/>
    <w:rsid w:val="00A6560C"/>
    <w:rsid w:val="00B02752"/>
    <w:rsid w:val="00B14BE6"/>
    <w:rsid w:val="00B433B6"/>
    <w:rsid w:val="00B5099F"/>
    <w:rsid w:val="00B71DC0"/>
    <w:rsid w:val="00B72481"/>
    <w:rsid w:val="00BE095B"/>
    <w:rsid w:val="00C03B4A"/>
    <w:rsid w:val="00C333F7"/>
    <w:rsid w:val="00C656BC"/>
    <w:rsid w:val="00C75BDF"/>
    <w:rsid w:val="00C9778A"/>
    <w:rsid w:val="00CD3B13"/>
    <w:rsid w:val="00D0311C"/>
    <w:rsid w:val="00D63A32"/>
    <w:rsid w:val="00D65704"/>
    <w:rsid w:val="00D90846"/>
    <w:rsid w:val="00D9715D"/>
    <w:rsid w:val="00E054BC"/>
    <w:rsid w:val="00E063E0"/>
    <w:rsid w:val="00E1419C"/>
    <w:rsid w:val="00E83453"/>
    <w:rsid w:val="00EC3F23"/>
    <w:rsid w:val="00EE0156"/>
    <w:rsid w:val="00F04336"/>
    <w:rsid w:val="00F05537"/>
    <w:rsid w:val="00F46EBA"/>
    <w:rsid w:val="00FB163C"/>
    <w:rsid w:val="00FC2A67"/>
    <w:rsid w:val="00FE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3EAB"/>
  <w15:chartTrackingRefBased/>
  <w15:docId w15:val="{BE14499E-05E5-4641-AD32-06EB14FB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M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A6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A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A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A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A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A6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A6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A67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A67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A67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A6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A67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A6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A67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C2A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A6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A6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A6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C2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A67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C2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A67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FC2A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FC2A6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FC2A67"/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table" w:styleId="TableGrid">
    <w:name w:val="Table Grid"/>
    <w:basedOn w:val="TableNormal"/>
    <w:uiPriority w:val="39"/>
    <w:rsid w:val="00FC2A67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FC2A6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val="ro-RO"/>
    </w:rPr>
  </w:style>
  <w:style w:type="character" w:styleId="Hyperlink">
    <w:name w:val="Hyperlink"/>
    <w:basedOn w:val="DefaultParagraphFont"/>
    <w:uiPriority w:val="99"/>
    <w:unhideWhenUsed/>
    <w:rsid w:val="00FC2A67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5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0E7"/>
  </w:style>
  <w:style w:type="character" w:customStyle="1" w:styleId="CommentTextChar">
    <w:name w:val="Comment Text Char"/>
    <w:basedOn w:val="DefaultParagraphFont"/>
    <w:link w:val="CommentText"/>
    <w:uiPriority w:val="99"/>
    <w:rsid w:val="000E50E7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0E7"/>
    <w:rPr>
      <w:rFonts w:ascii="Times New Roman" w:eastAsia="Times New Roman" w:hAnsi="Times New Roman" w:cs="Times New Roman"/>
      <w:b/>
      <w:bCs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Directia Politici de Reducerea a Saraciei si Vulnerabilitatii Energetice</dc:creator>
  <cp:keywords/>
  <dc:description/>
  <cp:lastModifiedBy>Directia Politici de Reducerea a Saraciei si Vulnerabilitatii Energetice</cp:lastModifiedBy>
  <cp:revision>2</cp:revision>
  <dcterms:created xsi:type="dcterms:W3CDTF">2024-11-21T16:08:00Z</dcterms:created>
  <dcterms:modified xsi:type="dcterms:W3CDTF">2024-11-21T16:08:00Z</dcterms:modified>
</cp:coreProperties>
</file>