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2F8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DE CONCORDANȚĂ</w:t>
      </w:r>
    </w:p>
    <w:tbl>
      <w:tblPr>
        <w:tblStyle w:val="6"/>
        <w:tblpPr w:leftFromText="180" w:rightFromText="180" w:vertAnchor="text" w:horzAnchor="margin" w:tblpY="1489"/>
        <w:tblOverlap w:val="never"/>
        <w:tblW w:w="15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4398"/>
        <w:gridCol w:w="3379"/>
        <w:gridCol w:w="1440"/>
        <w:gridCol w:w="2127"/>
        <w:gridCol w:w="992"/>
        <w:gridCol w:w="1527"/>
      </w:tblGrid>
      <w:tr w14:paraId="7AFF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551" w:type="dxa"/>
          </w:tcPr>
          <w:p w14:paraId="1E5788BA">
            <w:pPr>
              <w:pStyle w:val="8"/>
              <w:numPr>
                <w:ilvl w:val="0"/>
                <w:numId w:val="1"/>
              </w:numPr>
              <w:jc w:val="both"/>
              <w:rPr>
                <w:rFonts w:ascii="Times New Roman" w:hAnsi="Times New Roman" w:cs="Times New Roman"/>
                <w:b/>
                <w:bCs/>
                <w:color w:val="000000"/>
              </w:rPr>
            </w:pPr>
          </w:p>
        </w:tc>
        <w:tc>
          <w:tcPr>
            <w:tcW w:w="13863" w:type="dxa"/>
            <w:gridSpan w:val="6"/>
          </w:tcPr>
          <w:p w14:paraId="693442BD">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Titlul actului Uniunii Europene, inclusiv cele mai recente amendamente incluse</w:t>
            </w:r>
          </w:p>
          <w:p w14:paraId="610AEBA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REGULAMENTUL delegat (UE) 2023/2104 din 4 iulie 2023 de modificare a Regulamentului delegat (UE) 2015/2402 în ceea ce privește revizuirea valorilor de referință armonizate ale randamentului pentru producția separată de energie electrică și termică, în aplicarea Directivei 2012/27/UE a Parlamentului European și a Consiliului</w:t>
            </w:r>
          </w:p>
        </w:tc>
      </w:tr>
      <w:tr w14:paraId="385A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51" w:type="dxa"/>
          </w:tcPr>
          <w:p w14:paraId="31A51E1E">
            <w:pPr>
              <w:pStyle w:val="9"/>
              <w:numPr>
                <w:ilvl w:val="0"/>
                <w:numId w:val="1"/>
              </w:numPr>
              <w:jc w:val="both"/>
              <w:rPr>
                <w:lang w:val="en-US"/>
              </w:rPr>
            </w:pPr>
          </w:p>
        </w:tc>
        <w:tc>
          <w:tcPr>
            <w:tcW w:w="13863" w:type="dxa"/>
            <w:gridSpan w:val="6"/>
          </w:tcPr>
          <w:p w14:paraId="5B115C72">
            <w:pPr>
              <w:pStyle w:val="7"/>
              <w:jc w:val="both"/>
              <w:rPr>
                <w:rFonts w:ascii="Times New Roman" w:hAnsi="Times New Roman" w:cs="Times New Roman"/>
              </w:rPr>
            </w:pPr>
            <w:r>
              <w:rPr>
                <w:rFonts w:ascii="Times New Roman" w:hAnsi="Times New Roman" w:cs="Times New Roman"/>
                <w:b/>
                <w:bCs/>
              </w:rPr>
              <w:t xml:space="preserve">Titlul proiectului de act normativ național </w:t>
            </w:r>
          </w:p>
          <w:p w14:paraId="44BA40F6">
            <w:pPr>
              <w:pStyle w:val="9"/>
              <w:jc w:val="both"/>
              <w:rPr>
                <w:b w:val="0"/>
                <w:bCs w:val="0"/>
                <w:lang w:val="en-US"/>
              </w:rPr>
            </w:pPr>
            <w:r>
              <w:rPr>
                <w:b w:val="0"/>
                <w:bCs w:val="0"/>
              </w:rPr>
              <w:t xml:space="preserve">Proiect de hotărâre </w:t>
            </w:r>
            <w:r>
              <w:rPr>
                <w:rFonts w:hint="default"/>
                <w:b w:val="0"/>
                <w:bCs w:val="0"/>
                <w:lang/>
              </w:rPr>
              <w:t xml:space="preserve">privind </w:t>
            </w:r>
            <w:r>
              <w:rPr>
                <w:b w:val="0"/>
                <w:bCs w:val="0"/>
              </w:rPr>
              <w:t xml:space="preserve">aprobarea Metodologiei pentru stabilirea cantităților de energie electrică produse în cogenerare de înaltă eficiență în vederea certificării prin garanții de origine și de modificare a Hotărârii Guvernului nr. 297/2016 cu privire la aprobarea valorilor de referinţă armonizate ale eficienţei pentru producerea separată de energie electrică şi termică  </w:t>
            </w:r>
          </w:p>
        </w:tc>
      </w:tr>
      <w:tr w14:paraId="4B0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51" w:type="dxa"/>
          </w:tcPr>
          <w:p w14:paraId="5BB22446">
            <w:pPr>
              <w:pStyle w:val="10"/>
              <w:numPr>
                <w:ilvl w:val="0"/>
                <w:numId w:val="1"/>
              </w:numPr>
              <w:spacing w:after="0" w:line="240" w:lineRule="auto"/>
              <w:rPr>
                <w:rFonts w:ascii="Times New Roman" w:hAnsi="Times New Roman" w:cs="Times New Roman"/>
                <w:b/>
                <w:bCs/>
                <w:sz w:val="24"/>
                <w:szCs w:val="24"/>
                <w:lang w:val="en-US"/>
              </w:rPr>
            </w:pPr>
          </w:p>
        </w:tc>
        <w:tc>
          <w:tcPr>
            <w:tcW w:w="13863" w:type="dxa"/>
            <w:gridSpan w:val="6"/>
          </w:tcPr>
          <w:p w14:paraId="7A279B91">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Gradul general de compatibilitate</w:t>
            </w:r>
          </w:p>
          <w:p w14:paraId="147441CF">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compatibil</w:t>
            </w:r>
          </w:p>
        </w:tc>
      </w:tr>
      <w:tr w14:paraId="650D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949" w:type="dxa"/>
            <w:gridSpan w:val="2"/>
          </w:tcPr>
          <w:p w14:paraId="0BA1A17E">
            <w:pPr>
              <w:pStyle w:val="7"/>
              <w:jc w:val="center"/>
              <w:rPr>
                <w:rFonts w:ascii="Times New Roman" w:hAnsi="Times New Roman" w:cs="Times New Roman"/>
              </w:rPr>
            </w:pPr>
            <w:r>
              <w:rPr>
                <w:rFonts w:ascii="Times New Roman" w:hAnsi="Times New Roman" w:cs="Times New Roman"/>
                <w:b/>
                <w:bCs/>
              </w:rPr>
              <w:t>Actul Uniunii Europene</w:t>
            </w:r>
          </w:p>
          <w:p w14:paraId="5AD3118D">
            <w:pPr>
              <w:spacing w:after="0" w:line="240" w:lineRule="auto"/>
              <w:jc w:val="center"/>
              <w:rPr>
                <w:rFonts w:ascii="Times New Roman" w:hAnsi="Times New Roman" w:cs="Times New Roman"/>
                <w:sz w:val="24"/>
                <w:szCs w:val="24"/>
                <w:lang w:val="en-US"/>
              </w:rPr>
            </w:pPr>
          </w:p>
        </w:tc>
        <w:tc>
          <w:tcPr>
            <w:tcW w:w="3379" w:type="dxa"/>
          </w:tcPr>
          <w:p w14:paraId="454D1A00">
            <w:pPr>
              <w:pStyle w:val="7"/>
              <w:jc w:val="center"/>
              <w:rPr>
                <w:rFonts w:ascii="Times New Roman" w:hAnsi="Times New Roman" w:cs="Times New Roman"/>
              </w:rPr>
            </w:pPr>
            <w:r>
              <w:rPr>
                <w:rFonts w:ascii="Times New Roman" w:hAnsi="Times New Roman" w:cs="Times New Roman"/>
                <w:b/>
                <w:bCs/>
              </w:rPr>
              <w:t>Proiectul de act normativ național</w:t>
            </w:r>
          </w:p>
          <w:p w14:paraId="6E5536E5">
            <w:pPr>
              <w:spacing w:after="0" w:line="240" w:lineRule="auto"/>
              <w:jc w:val="center"/>
              <w:rPr>
                <w:rFonts w:ascii="Times New Roman" w:hAnsi="Times New Roman" w:cs="Times New Roman"/>
                <w:sz w:val="24"/>
                <w:szCs w:val="24"/>
                <w:lang w:val="en-US"/>
              </w:rPr>
            </w:pPr>
          </w:p>
        </w:tc>
        <w:tc>
          <w:tcPr>
            <w:tcW w:w="1440" w:type="dxa"/>
          </w:tcPr>
          <w:p w14:paraId="5627E5E0">
            <w:pPr>
              <w:pStyle w:val="7"/>
              <w:jc w:val="center"/>
              <w:rPr>
                <w:rFonts w:ascii="Times New Roman" w:hAnsi="Times New Roman" w:cs="Times New Roman"/>
              </w:rPr>
            </w:pPr>
            <w:r>
              <w:rPr>
                <w:rFonts w:ascii="Times New Roman" w:hAnsi="Times New Roman" w:cs="Times New Roman"/>
                <w:b/>
                <w:bCs/>
              </w:rPr>
              <w:t>Gradul de compatibilitate</w:t>
            </w:r>
          </w:p>
        </w:tc>
        <w:tc>
          <w:tcPr>
            <w:tcW w:w="2127" w:type="dxa"/>
          </w:tcPr>
          <w:p w14:paraId="74B572B0">
            <w:pPr>
              <w:pStyle w:val="7"/>
              <w:jc w:val="center"/>
              <w:rPr>
                <w:rFonts w:ascii="Times New Roman" w:hAnsi="Times New Roman" w:cs="Times New Roman"/>
              </w:rPr>
            </w:pPr>
            <w:r>
              <w:rPr>
                <w:rFonts w:ascii="Times New Roman" w:hAnsi="Times New Roman" w:cs="Times New Roman"/>
                <w:b/>
                <w:bCs/>
              </w:rPr>
              <w:t>Diferențele</w:t>
            </w:r>
          </w:p>
          <w:p w14:paraId="57598C0F">
            <w:pPr>
              <w:spacing w:after="0" w:line="240" w:lineRule="auto"/>
              <w:jc w:val="center"/>
              <w:rPr>
                <w:rFonts w:ascii="Times New Roman" w:hAnsi="Times New Roman" w:cs="Times New Roman"/>
                <w:sz w:val="24"/>
                <w:szCs w:val="24"/>
                <w:lang w:val="ro-RO"/>
              </w:rPr>
            </w:pPr>
          </w:p>
        </w:tc>
        <w:tc>
          <w:tcPr>
            <w:tcW w:w="992" w:type="dxa"/>
          </w:tcPr>
          <w:p w14:paraId="119F1F08">
            <w:pPr>
              <w:pStyle w:val="7"/>
              <w:jc w:val="center"/>
              <w:rPr>
                <w:rFonts w:ascii="Times New Roman" w:hAnsi="Times New Roman" w:cs="Times New Roman"/>
              </w:rPr>
            </w:pPr>
            <w:r>
              <w:rPr>
                <w:rFonts w:ascii="Times New Roman" w:hAnsi="Times New Roman" w:cs="Times New Roman"/>
                <w:b/>
                <w:bCs/>
              </w:rPr>
              <w:t>Observațiile</w:t>
            </w:r>
          </w:p>
          <w:p w14:paraId="215F06D3">
            <w:pPr>
              <w:spacing w:after="0" w:line="240" w:lineRule="auto"/>
              <w:jc w:val="center"/>
              <w:rPr>
                <w:rFonts w:ascii="Times New Roman" w:hAnsi="Times New Roman" w:cs="Times New Roman"/>
                <w:sz w:val="24"/>
                <w:szCs w:val="24"/>
                <w:lang w:val="fr-FR"/>
              </w:rPr>
            </w:pPr>
          </w:p>
        </w:tc>
        <w:tc>
          <w:tcPr>
            <w:tcW w:w="1527" w:type="dxa"/>
          </w:tcPr>
          <w:p w14:paraId="251E632E">
            <w:pPr>
              <w:pStyle w:val="7"/>
              <w:jc w:val="center"/>
              <w:rPr>
                <w:rFonts w:ascii="Times New Roman" w:hAnsi="Times New Roman" w:cs="Times New Roman"/>
              </w:rPr>
            </w:pPr>
            <w:r>
              <w:rPr>
                <w:rFonts w:ascii="Times New Roman" w:hAnsi="Times New Roman" w:cs="Times New Roman"/>
                <w:b/>
                <w:bCs/>
              </w:rPr>
              <w:t>Autoritatea/</w:t>
            </w:r>
          </w:p>
          <w:p w14:paraId="55958B4B">
            <w:pPr>
              <w:spacing w:after="0" w:line="240" w:lineRule="auto"/>
              <w:jc w:val="center"/>
              <w:rPr>
                <w:rFonts w:ascii="Times New Roman" w:hAnsi="Times New Roman" w:cs="Times New Roman"/>
                <w:sz w:val="24"/>
                <w:szCs w:val="24"/>
                <w:lang w:val="fr-FR"/>
              </w:rPr>
            </w:pPr>
            <w:r>
              <w:rPr>
                <w:rFonts w:ascii="Times New Roman" w:hAnsi="Times New Roman" w:cs="Times New Roman"/>
                <w:b/>
                <w:bCs/>
                <w:sz w:val="24"/>
                <w:szCs w:val="24"/>
                <w:lang w:val="ru-RU"/>
              </w:rPr>
              <w:t>persoana responsabilă</w:t>
            </w:r>
          </w:p>
        </w:tc>
      </w:tr>
      <w:tr w14:paraId="00F1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949" w:type="dxa"/>
            <w:gridSpan w:val="2"/>
          </w:tcPr>
          <w:p w14:paraId="7137FD7A">
            <w:pPr>
              <w:pStyle w:val="7"/>
              <w:numPr>
                <w:ilvl w:val="0"/>
                <w:numId w:val="1"/>
              </w:numPr>
              <w:jc w:val="center"/>
              <w:rPr>
                <w:rFonts w:ascii="Times New Roman" w:hAnsi="Times New Roman" w:cs="Times New Roman"/>
                <w:b/>
                <w:bCs/>
              </w:rPr>
            </w:pPr>
          </w:p>
        </w:tc>
        <w:tc>
          <w:tcPr>
            <w:tcW w:w="3379" w:type="dxa"/>
          </w:tcPr>
          <w:p w14:paraId="0C0416B4">
            <w:pPr>
              <w:pStyle w:val="7"/>
              <w:numPr>
                <w:ilvl w:val="0"/>
                <w:numId w:val="1"/>
              </w:numPr>
              <w:jc w:val="center"/>
              <w:rPr>
                <w:rFonts w:ascii="Times New Roman" w:hAnsi="Times New Roman" w:cs="Times New Roman"/>
                <w:b/>
                <w:bCs/>
              </w:rPr>
            </w:pPr>
          </w:p>
        </w:tc>
        <w:tc>
          <w:tcPr>
            <w:tcW w:w="1440" w:type="dxa"/>
          </w:tcPr>
          <w:p w14:paraId="13E7B01D">
            <w:pPr>
              <w:pStyle w:val="7"/>
              <w:numPr>
                <w:ilvl w:val="0"/>
                <w:numId w:val="1"/>
              </w:numPr>
              <w:jc w:val="center"/>
              <w:rPr>
                <w:rFonts w:ascii="Times New Roman" w:hAnsi="Times New Roman" w:cs="Times New Roman"/>
                <w:b/>
                <w:bCs/>
              </w:rPr>
            </w:pPr>
          </w:p>
        </w:tc>
        <w:tc>
          <w:tcPr>
            <w:tcW w:w="2127" w:type="dxa"/>
          </w:tcPr>
          <w:p w14:paraId="3A5C0F45">
            <w:pPr>
              <w:pStyle w:val="10"/>
              <w:numPr>
                <w:ilvl w:val="0"/>
                <w:numId w:val="1"/>
              </w:numPr>
              <w:spacing w:after="0" w:line="240" w:lineRule="auto"/>
              <w:jc w:val="center"/>
              <w:rPr>
                <w:rFonts w:ascii="Times New Roman" w:hAnsi="Times New Roman" w:cs="Times New Roman"/>
                <w:b/>
                <w:sz w:val="24"/>
                <w:szCs w:val="24"/>
                <w:lang w:val="ro-RO"/>
              </w:rPr>
            </w:pPr>
          </w:p>
        </w:tc>
        <w:tc>
          <w:tcPr>
            <w:tcW w:w="992" w:type="dxa"/>
          </w:tcPr>
          <w:p w14:paraId="78C28F86">
            <w:pPr>
              <w:pStyle w:val="10"/>
              <w:numPr>
                <w:ilvl w:val="0"/>
                <w:numId w:val="1"/>
              </w:numPr>
              <w:spacing w:after="0" w:line="240" w:lineRule="auto"/>
              <w:jc w:val="center"/>
              <w:rPr>
                <w:rFonts w:ascii="Times New Roman" w:hAnsi="Times New Roman" w:cs="Times New Roman"/>
                <w:b/>
                <w:sz w:val="24"/>
                <w:szCs w:val="24"/>
                <w:lang w:val="ro-RO"/>
              </w:rPr>
            </w:pPr>
          </w:p>
        </w:tc>
        <w:tc>
          <w:tcPr>
            <w:tcW w:w="1527" w:type="dxa"/>
          </w:tcPr>
          <w:p w14:paraId="5B08F021">
            <w:pPr>
              <w:pStyle w:val="10"/>
              <w:numPr>
                <w:ilvl w:val="0"/>
                <w:numId w:val="1"/>
              </w:numPr>
              <w:spacing w:after="0" w:line="240" w:lineRule="auto"/>
              <w:jc w:val="center"/>
              <w:rPr>
                <w:rFonts w:ascii="Times New Roman" w:hAnsi="Times New Roman" w:cs="Times New Roman"/>
                <w:b/>
                <w:sz w:val="24"/>
                <w:szCs w:val="24"/>
                <w:lang w:val="ro-RO"/>
              </w:rPr>
            </w:pPr>
          </w:p>
        </w:tc>
      </w:tr>
      <w:tr w14:paraId="2DD5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949" w:type="dxa"/>
            <w:gridSpan w:val="2"/>
          </w:tcPr>
          <w:p w14:paraId="22631BA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REGULAMENTUL delegat (UE) 2023/2104 din 4 iulie 2023 de modificare a Regulamentului delegat (UE) 2015/2402 în ceea ce privește revizuirea valorilor de referință armonizate ale randamentului pentru producția separată de energie electrică și termică, în aplicarea Directivei 2012/27/UE a Parlamentului European și a Consiliului</w:t>
            </w:r>
          </w:p>
        </w:tc>
        <w:tc>
          <w:tcPr>
            <w:tcW w:w="3379" w:type="dxa"/>
          </w:tcPr>
          <w:p w14:paraId="4F28997A">
            <w:pPr>
              <w:pStyle w:val="7"/>
              <w:jc w:val="center"/>
              <w:rPr>
                <w:lang w:eastAsia="zh-CN"/>
              </w:rPr>
            </w:pPr>
            <w:r>
              <w:rPr>
                <w:rFonts w:ascii="Times New Roman" w:hAnsi="Times New Roman" w:cs="Times New Roman"/>
                <w:b/>
                <w:bCs/>
              </w:rPr>
              <w:t>Hotărârea Guvern pentru aprobarea Metodologiei pentru stabilirea cantităților de energie electrică produse în cogenerare de înaltă eficiență în vederea certificării prin garanții de origine și de modificare a Hotărârii Guvernului nr. 297/2016 cu privire la aprobarea valorilor de referinţă armonizate ale eficienţei pentru producerea separată de energie electrică şi termică</w:t>
            </w:r>
          </w:p>
        </w:tc>
        <w:tc>
          <w:tcPr>
            <w:tcW w:w="1440" w:type="dxa"/>
          </w:tcPr>
          <w:p w14:paraId="6394C5EB">
            <w:pPr>
              <w:pStyle w:val="7"/>
              <w:rPr>
                <w:rFonts w:ascii="Times New Roman" w:hAnsi="Times New Roman" w:cs="Times New Roman"/>
                <w:b/>
                <w:bCs/>
              </w:rPr>
            </w:pPr>
            <w:r>
              <w:rPr>
                <w:rFonts w:ascii="Times New Roman" w:hAnsi="Times New Roman" w:cs="Times New Roman"/>
                <w:b/>
                <w:bCs/>
              </w:rPr>
              <w:t xml:space="preserve">Compatibil </w:t>
            </w:r>
          </w:p>
        </w:tc>
        <w:tc>
          <w:tcPr>
            <w:tcW w:w="2127" w:type="dxa"/>
          </w:tcPr>
          <w:p w14:paraId="5D79B816">
            <w:pPr>
              <w:spacing w:after="0" w:line="240" w:lineRule="auto"/>
              <w:jc w:val="both"/>
              <w:rPr>
                <w:rFonts w:ascii="Times New Roman" w:hAnsi="Times New Roman" w:cs="Times New Roman"/>
                <w:b/>
                <w:sz w:val="24"/>
                <w:szCs w:val="24"/>
                <w:lang w:val="en-US"/>
              </w:rPr>
            </w:pPr>
          </w:p>
        </w:tc>
        <w:tc>
          <w:tcPr>
            <w:tcW w:w="992" w:type="dxa"/>
          </w:tcPr>
          <w:p w14:paraId="21981D87">
            <w:pPr>
              <w:spacing w:after="0" w:line="240" w:lineRule="auto"/>
              <w:rPr>
                <w:rFonts w:ascii="Times New Roman" w:hAnsi="Times New Roman" w:cs="Times New Roman"/>
                <w:b/>
                <w:sz w:val="24"/>
                <w:szCs w:val="24"/>
                <w:lang w:val="ro-RO"/>
              </w:rPr>
            </w:pPr>
          </w:p>
        </w:tc>
        <w:tc>
          <w:tcPr>
            <w:tcW w:w="1527" w:type="dxa"/>
          </w:tcPr>
          <w:p w14:paraId="63B18F58">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14:paraId="02E4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949" w:type="dxa"/>
            <w:gridSpan w:val="2"/>
          </w:tcPr>
          <w:p w14:paraId="23CE44A9">
            <w:pPr>
              <w:spacing w:after="0" w:line="240" w:lineRule="auto"/>
              <w:jc w:val="center"/>
              <w:rPr>
                <w:rFonts w:ascii="Times New Roman" w:hAnsi="Times New Roman" w:cs="Times New Roman"/>
                <w:i/>
                <w:iCs/>
                <w:sz w:val="24"/>
                <w:szCs w:val="24"/>
                <w:lang w:val="zh-CN"/>
              </w:rPr>
            </w:pPr>
            <w:r>
              <w:rPr>
                <w:rFonts w:ascii="Times New Roman" w:hAnsi="Times New Roman" w:cs="Times New Roman"/>
                <w:i/>
                <w:iCs/>
                <w:sz w:val="24"/>
                <w:szCs w:val="24"/>
                <w:lang w:val="zh-CN"/>
              </w:rPr>
              <w:t>Articolul 1</w:t>
            </w:r>
          </w:p>
          <w:p w14:paraId="3B2CD0D3">
            <w:p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Regulamentul delegat (UE) 2015/2402 se modifică după cum urmează:</w:t>
            </w:r>
          </w:p>
          <w:p w14:paraId="415408CB">
            <w:p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Anexele I și II se înlocuiesc cu textul din anexa I la prezentul regulament;</w:t>
            </w:r>
          </w:p>
          <w:p w14:paraId="21B70859">
            <w:pPr>
              <w:spacing w:after="0" w:line="240" w:lineRule="auto"/>
              <w:jc w:val="both"/>
              <w:rPr>
                <w:rFonts w:ascii="Times New Roman" w:hAnsi="Times New Roman" w:cs="Times New Roman"/>
                <w:b/>
                <w:bCs/>
                <w:sz w:val="24"/>
                <w:szCs w:val="24"/>
                <w:lang w:val="zh-CN"/>
              </w:rPr>
            </w:pPr>
            <w:r>
              <w:rPr>
                <w:rFonts w:ascii="Times New Roman" w:hAnsi="Times New Roman" w:cs="Times New Roman"/>
                <w:sz w:val="24"/>
                <w:szCs w:val="24"/>
                <w:lang w:val="zh-CN"/>
              </w:rPr>
              <w:t>Anexa IV se înlocuiește cu textul din anexa II la prezentul regulament.</w:t>
            </w:r>
          </w:p>
        </w:tc>
        <w:tc>
          <w:tcPr>
            <w:tcW w:w="3379" w:type="dxa"/>
          </w:tcPr>
          <w:p w14:paraId="05C8139B">
            <w:pPr>
              <w:pStyle w:val="7"/>
              <w:jc w:val="center"/>
              <w:rPr>
                <w:rFonts w:ascii="Times New Roman" w:hAnsi="Times New Roman" w:cs="Times New Roman"/>
                <w:b/>
                <w:bCs/>
              </w:rPr>
            </w:pPr>
          </w:p>
        </w:tc>
        <w:tc>
          <w:tcPr>
            <w:tcW w:w="1440" w:type="dxa"/>
          </w:tcPr>
          <w:p w14:paraId="67A4C98B">
            <w:pPr>
              <w:pStyle w:val="7"/>
              <w:rPr>
                <w:rFonts w:ascii="Times New Roman" w:hAnsi="Times New Roman" w:cs="Times New Roman"/>
                <w:b/>
                <w:bCs/>
              </w:rPr>
            </w:pPr>
            <w:r>
              <w:rPr>
                <w:rFonts w:ascii="Times New Roman" w:hAnsi="Times New Roman" w:cs="Times New Roman"/>
                <w:b/>
                <w:bCs/>
              </w:rPr>
              <w:t>Nu este aplicabil</w:t>
            </w:r>
          </w:p>
        </w:tc>
        <w:tc>
          <w:tcPr>
            <w:tcW w:w="2127" w:type="dxa"/>
          </w:tcPr>
          <w:p w14:paraId="37D4C817">
            <w:pPr>
              <w:spacing w:after="0" w:line="240" w:lineRule="auto"/>
              <w:jc w:val="both"/>
              <w:rPr>
                <w:rFonts w:ascii="Times New Roman" w:hAnsi="Times New Roman" w:cs="Times New Roman"/>
                <w:b/>
                <w:sz w:val="24"/>
                <w:szCs w:val="24"/>
                <w:lang w:val="en-US"/>
              </w:rPr>
            </w:pPr>
          </w:p>
        </w:tc>
        <w:tc>
          <w:tcPr>
            <w:tcW w:w="992" w:type="dxa"/>
          </w:tcPr>
          <w:p w14:paraId="790CF816">
            <w:pPr>
              <w:spacing w:after="0" w:line="240" w:lineRule="auto"/>
              <w:rPr>
                <w:rFonts w:ascii="Times New Roman" w:hAnsi="Times New Roman" w:cs="Times New Roman"/>
                <w:b/>
                <w:sz w:val="24"/>
                <w:szCs w:val="24"/>
                <w:lang w:val="ro-RO"/>
              </w:rPr>
            </w:pPr>
          </w:p>
        </w:tc>
        <w:tc>
          <w:tcPr>
            <w:tcW w:w="1527" w:type="dxa"/>
          </w:tcPr>
          <w:p w14:paraId="01966D1D">
            <w:pPr>
              <w:spacing w:after="0" w:line="240" w:lineRule="auto"/>
              <w:jc w:val="center"/>
              <w:rPr>
                <w:rFonts w:ascii="Times New Roman" w:hAnsi="Times New Roman" w:cs="Times New Roman"/>
                <w:b/>
                <w:sz w:val="24"/>
                <w:szCs w:val="24"/>
                <w:lang w:val="ro-RO"/>
              </w:rPr>
            </w:pPr>
          </w:p>
        </w:tc>
      </w:tr>
      <w:tr w14:paraId="50B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949" w:type="dxa"/>
            <w:gridSpan w:val="2"/>
          </w:tcPr>
          <w:p w14:paraId="7840037F">
            <w:pPr>
              <w:pStyle w:val="22"/>
              <w:shd w:val="clear" w:color="auto" w:fill="FFFFFF"/>
              <w:spacing w:before="0" w:beforeAutospacing="0" w:after="0" w:afterAutospacing="0"/>
              <w:jc w:val="center"/>
              <w:rPr>
                <w:i/>
                <w:iCs/>
                <w:color w:val="000000"/>
                <w:lang w:val="en-US"/>
              </w:rPr>
            </w:pPr>
            <w:r>
              <w:rPr>
                <w:i/>
                <w:iCs/>
                <w:color w:val="000000"/>
                <w:lang w:val="en-US"/>
              </w:rPr>
              <w:t>Articolul 2</w:t>
            </w:r>
          </w:p>
          <w:p w14:paraId="4AD3051D">
            <w:pPr>
              <w:pStyle w:val="23"/>
              <w:shd w:val="clear" w:color="auto" w:fill="FFFFFF"/>
              <w:spacing w:before="0" w:beforeAutospacing="0" w:after="0" w:afterAutospacing="0"/>
              <w:jc w:val="both"/>
              <w:rPr>
                <w:color w:val="000000"/>
                <w:lang w:val="en-US"/>
              </w:rPr>
            </w:pPr>
            <w:r>
              <w:rPr>
                <w:color w:val="000000"/>
                <w:lang w:val="en-US"/>
              </w:rPr>
              <w:t>Prezentul regulament intră în vigoare în a douăzecea zi de la data publicării în </w:t>
            </w:r>
            <w:r>
              <w:rPr>
                <w:rStyle w:val="24"/>
                <w:i/>
                <w:iCs/>
                <w:color w:val="000000"/>
                <w:lang w:val="en-US"/>
              </w:rPr>
              <w:t>Jurnalul Oficial al Uniunii Europene</w:t>
            </w:r>
            <w:r>
              <w:rPr>
                <w:color w:val="000000"/>
                <w:lang w:val="en-US"/>
              </w:rPr>
              <w:t>.</w:t>
            </w:r>
          </w:p>
          <w:p w14:paraId="1C780B9E">
            <w:pPr>
              <w:pStyle w:val="23"/>
              <w:shd w:val="clear" w:color="auto" w:fill="FFFFFF"/>
              <w:spacing w:before="0" w:beforeAutospacing="0" w:after="0" w:afterAutospacing="0"/>
              <w:jc w:val="both"/>
              <w:rPr>
                <w:color w:val="000000"/>
                <w:lang w:val="en-US"/>
              </w:rPr>
            </w:pPr>
            <w:r>
              <w:rPr>
                <w:color w:val="000000"/>
                <w:lang w:val="en-US"/>
              </w:rPr>
              <w:t>Se aplică de la 1 ianuarie 2024.</w:t>
            </w:r>
          </w:p>
          <w:p w14:paraId="12BFF264">
            <w:pPr>
              <w:pStyle w:val="23"/>
              <w:shd w:val="clear" w:color="auto" w:fill="FFFFFF"/>
              <w:spacing w:before="0" w:beforeAutospacing="0" w:after="0" w:afterAutospacing="0"/>
              <w:jc w:val="both"/>
              <w:rPr>
                <w:i/>
                <w:iCs/>
                <w:color w:val="000000"/>
                <w:lang w:val="en-US"/>
              </w:rPr>
            </w:pPr>
            <w:r>
              <w:rPr>
                <w:color w:val="000000"/>
                <w:lang w:val="en-US"/>
              </w:rPr>
              <w:t>Prezentul regulament este obligatoriu în toate elementele sale și se aplică direct în toate statele membre.</w:t>
            </w:r>
          </w:p>
        </w:tc>
        <w:tc>
          <w:tcPr>
            <w:tcW w:w="3379" w:type="dxa"/>
          </w:tcPr>
          <w:p w14:paraId="68C2AFFB">
            <w:pPr>
              <w:pStyle w:val="7"/>
              <w:jc w:val="center"/>
              <w:rPr>
                <w:rFonts w:ascii="Times New Roman" w:hAnsi="Times New Roman" w:cs="Times New Roman"/>
                <w:b/>
                <w:bCs/>
              </w:rPr>
            </w:pPr>
          </w:p>
        </w:tc>
        <w:tc>
          <w:tcPr>
            <w:tcW w:w="1440" w:type="dxa"/>
          </w:tcPr>
          <w:p w14:paraId="0FE61F3B">
            <w:pPr>
              <w:pStyle w:val="7"/>
              <w:rPr>
                <w:rFonts w:ascii="Times New Roman" w:hAnsi="Times New Roman" w:cs="Times New Roman"/>
                <w:b/>
                <w:bCs/>
              </w:rPr>
            </w:pPr>
            <w:r>
              <w:rPr>
                <w:rFonts w:ascii="Times New Roman" w:hAnsi="Times New Roman" w:cs="Times New Roman"/>
                <w:b/>
                <w:bCs/>
              </w:rPr>
              <w:t>Nu este aplicabil</w:t>
            </w:r>
          </w:p>
        </w:tc>
        <w:tc>
          <w:tcPr>
            <w:tcW w:w="2127" w:type="dxa"/>
          </w:tcPr>
          <w:p w14:paraId="0A48D542">
            <w:pPr>
              <w:spacing w:after="0" w:line="240" w:lineRule="auto"/>
              <w:jc w:val="both"/>
              <w:rPr>
                <w:rFonts w:ascii="Times New Roman" w:hAnsi="Times New Roman" w:cs="Times New Roman"/>
                <w:b/>
                <w:sz w:val="24"/>
                <w:szCs w:val="24"/>
                <w:lang w:val="en-US"/>
              </w:rPr>
            </w:pPr>
          </w:p>
        </w:tc>
        <w:tc>
          <w:tcPr>
            <w:tcW w:w="992" w:type="dxa"/>
          </w:tcPr>
          <w:p w14:paraId="2729E8A5">
            <w:pPr>
              <w:spacing w:after="0" w:line="240" w:lineRule="auto"/>
              <w:rPr>
                <w:rFonts w:ascii="Times New Roman" w:hAnsi="Times New Roman" w:cs="Times New Roman"/>
                <w:b/>
                <w:sz w:val="24"/>
                <w:szCs w:val="24"/>
                <w:lang w:val="ro-RO"/>
              </w:rPr>
            </w:pPr>
          </w:p>
        </w:tc>
        <w:tc>
          <w:tcPr>
            <w:tcW w:w="1527" w:type="dxa"/>
          </w:tcPr>
          <w:p w14:paraId="0DCEC71B">
            <w:pPr>
              <w:spacing w:after="0" w:line="240" w:lineRule="auto"/>
              <w:jc w:val="center"/>
              <w:rPr>
                <w:rFonts w:ascii="Times New Roman" w:hAnsi="Times New Roman" w:cs="Times New Roman"/>
                <w:b/>
                <w:sz w:val="24"/>
                <w:szCs w:val="24"/>
                <w:lang w:val="ro-RO"/>
              </w:rPr>
            </w:pPr>
          </w:p>
        </w:tc>
      </w:tr>
      <w:tr w14:paraId="773F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949" w:type="dxa"/>
            <w:gridSpan w:val="2"/>
          </w:tcPr>
          <w:p w14:paraId="19B1E3E2">
            <w:pPr>
              <w:pStyle w:val="26"/>
              <w:shd w:val="clear" w:color="auto" w:fill="FFFFFF"/>
              <w:spacing w:before="0" w:beforeAutospacing="0" w:after="0" w:afterAutospacing="0"/>
              <w:jc w:val="center"/>
              <w:rPr>
                <w:b/>
                <w:bCs/>
                <w:color w:val="000000"/>
                <w:lang w:val="en-US"/>
              </w:rPr>
            </w:pPr>
            <w:r>
              <w:rPr>
                <w:b/>
                <w:bCs/>
                <w:color w:val="000000"/>
                <w:lang w:val="en-US"/>
              </w:rPr>
              <w:t>ANEXA I</w:t>
            </w:r>
          </w:p>
          <w:p w14:paraId="588017DD">
            <w:pPr>
              <w:pStyle w:val="26"/>
              <w:shd w:val="clear" w:color="auto" w:fill="FFFFFF"/>
              <w:spacing w:before="0" w:beforeAutospacing="0" w:after="0" w:afterAutospacing="0"/>
              <w:jc w:val="center"/>
              <w:rPr>
                <w:b/>
                <w:bCs/>
                <w:i/>
                <w:iCs/>
                <w:color w:val="000000"/>
                <w:lang w:val="en-US"/>
              </w:rPr>
            </w:pPr>
            <w:r>
              <w:rPr>
                <w:b/>
                <w:bCs/>
                <w:i/>
                <w:iCs/>
                <w:color w:val="000000"/>
                <w:lang w:val="en-US"/>
              </w:rPr>
              <w:t>„ANEXA I</w:t>
            </w:r>
          </w:p>
          <w:p w14:paraId="45204D0E">
            <w:pPr>
              <w:pStyle w:val="26"/>
              <w:shd w:val="clear" w:color="auto" w:fill="FFFFFF"/>
              <w:spacing w:before="0" w:beforeAutospacing="0" w:after="0" w:afterAutospacing="0"/>
              <w:jc w:val="center"/>
              <w:rPr>
                <w:b/>
                <w:bCs/>
                <w:i/>
                <w:iCs/>
                <w:color w:val="000000"/>
                <w:lang w:val="en-US"/>
              </w:rPr>
            </w:pPr>
            <w:r>
              <w:rPr>
                <w:b/>
                <w:bCs/>
                <w:i/>
                <w:iCs/>
                <w:color w:val="000000"/>
                <w:lang w:val="en-US"/>
              </w:rPr>
              <w:t>Valorile de referință armonizate ale randamentului pentru producția separată de energie electrică</w:t>
            </w:r>
          </w:p>
          <w:p w14:paraId="0338EEC7">
            <w:pPr>
              <w:pStyle w:val="26"/>
              <w:shd w:val="clear" w:color="auto" w:fill="FFFFFF"/>
              <w:spacing w:before="0" w:beforeAutospacing="0" w:after="0" w:afterAutospacing="0"/>
              <w:jc w:val="center"/>
              <w:rPr>
                <w:b/>
                <w:bCs/>
                <w:i/>
                <w:iCs/>
                <w:color w:val="000000"/>
                <w:lang w:val="en-US"/>
              </w:rPr>
            </w:pPr>
            <w:r>
              <w:rPr>
                <w:b/>
                <w:bCs/>
                <w:i/>
                <w:iCs/>
                <w:color w:val="000000"/>
                <w:lang w:val="en-US"/>
              </w:rPr>
              <w:t>(menționate la articolul 1)</w:t>
            </w:r>
          </w:p>
          <w:p w14:paraId="3A2CEFDB">
            <w:pPr>
              <w:pStyle w:val="23"/>
              <w:shd w:val="clear" w:color="auto" w:fill="FFFFFF"/>
              <w:spacing w:before="0" w:beforeAutospacing="0" w:after="0" w:afterAutospacing="0"/>
              <w:jc w:val="both"/>
              <w:rPr>
                <w:color w:val="000000"/>
                <w:lang w:val="en-US"/>
              </w:rPr>
            </w:pPr>
            <w:r>
              <w:rPr>
                <w:color w:val="000000"/>
                <w:lang w:val="en-US"/>
              </w:rPr>
              <w:t>În tabelul de mai jos, valorile de referință armonizate ale randamentului pentru producția separată de energie electrică se bazează pe puterea calorifică netă și condițiile atmosferice ISO standard (temperatură ambiantă de 15 °C, 1,013 bari, umiditate relativă de 60 %):</w:t>
            </w:r>
          </w:p>
          <w:tbl>
            <w:tblPr>
              <w:tblStyle w:val="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05"/>
              <w:gridCol w:w="701"/>
              <w:gridCol w:w="2639"/>
              <w:gridCol w:w="615"/>
              <w:gridCol w:w="517"/>
              <w:gridCol w:w="740"/>
            </w:tblGrid>
            <w:tr w14:paraId="63CC56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68FA7ACD">
                  <w:pPr>
                    <w:pStyle w:val="23"/>
                    <w:spacing w:before="120" w:beforeAutospacing="0" w:after="0" w:afterAutospacing="0"/>
                    <w:jc w:val="both"/>
                  </w:pPr>
                  <w:r>
                    <w:t> </w:t>
                  </w:r>
                </w:p>
              </w:tc>
              <w:tc>
                <w:tcPr>
                  <w:tcW w:w="1179"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6C45FDEF">
                  <w:pPr>
                    <w:pStyle w:val="27"/>
                    <w:spacing w:before="60" w:beforeAutospacing="0" w:after="60" w:afterAutospacing="0"/>
                    <w:ind w:right="195"/>
                    <w:jc w:val="center"/>
                    <w:rPr>
                      <w:b/>
                      <w:bCs/>
                    </w:rPr>
                  </w:pPr>
                  <w:r>
                    <w:rPr>
                      <w:b/>
                      <w:bCs/>
                    </w:rPr>
                    <w:t>Categorie</w:t>
                  </w:r>
                </w:p>
              </w:tc>
              <w:tc>
                <w:tcPr>
                  <w:tcW w:w="4510"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542BB681">
                  <w:pPr>
                    <w:pStyle w:val="27"/>
                    <w:spacing w:before="60" w:beforeAutospacing="0" w:after="60" w:afterAutospacing="0"/>
                    <w:ind w:right="195"/>
                    <w:jc w:val="center"/>
                    <w:rPr>
                      <w:b/>
                      <w:bCs/>
                    </w:rPr>
                  </w:pPr>
                  <w:r>
                    <w:rPr>
                      <w:b/>
                      <w:bCs/>
                    </w:rPr>
                    <w:t>Sursa de energie</w:t>
                  </w:r>
                </w:p>
              </w:tc>
              <w:tc>
                <w:tcPr>
                  <w:tcW w:w="3142" w:type="dxa"/>
                  <w:gridSpan w:val="3"/>
                  <w:tcBorders>
                    <w:top w:val="single" w:color="000000" w:sz="6" w:space="0"/>
                    <w:left w:val="single" w:color="000000" w:sz="6" w:space="0"/>
                    <w:bottom w:val="single" w:color="000000" w:sz="6" w:space="0"/>
                    <w:right w:val="single" w:color="000000" w:sz="6" w:space="0"/>
                  </w:tcBorders>
                  <w:shd w:val="clear" w:color="auto" w:fill="auto"/>
                </w:tcPr>
                <w:p w14:paraId="2C05564B">
                  <w:pPr>
                    <w:pStyle w:val="27"/>
                    <w:spacing w:before="60" w:beforeAutospacing="0" w:after="60" w:afterAutospacing="0"/>
                    <w:ind w:right="195"/>
                    <w:jc w:val="center"/>
                    <w:rPr>
                      <w:b/>
                      <w:bCs/>
                    </w:rPr>
                  </w:pPr>
                  <w:r>
                    <w:rPr>
                      <w:b/>
                      <w:bCs/>
                    </w:rPr>
                    <w:t>Anul construcției</w:t>
                  </w:r>
                </w:p>
              </w:tc>
            </w:tr>
            <w:tr w14:paraId="3B1EC7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11F9C35">
                  <w:pPr>
                    <w:rPr>
                      <w:rFonts w:ascii="Times New Roman" w:hAnsi="Times New Roman" w:cs="Times New Roman"/>
                      <w:sz w:val="24"/>
                      <w:szCs w:val="24"/>
                    </w:rPr>
                  </w:pPr>
                </w:p>
              </w:tc>
              <w:tc>
                <w:tcPr>
                  <w:tcW w:w="117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4B87512">
                  <w:pPr>
                    <w:rPr>
                      <w:rFonts w:ascii="Times New Roman" w:hAnsi="Times New Roman" w:cs="Times New Roman"/>
                      <w:b/>
                      <w:bCs/>
                      <w:sz w:val="24"/>
                      <w:szCs w:val="24"/>
                    </w:rPr>
                  </w:pPr>
                </w:p>
              </w:tc>
              <w:tc>
                <w:tcPr>
                  <w:tcW w:w="451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37008E2">
                  <w:pPr>
                    <w:rPr>
                      <w:rFonts w:ascii="Times New Roman" w:hAnsi="Times New Roman" w:cs="Times New Roman"/>
                      <w:b/>
                      <w:bCs/>
                      <w:sz w:val="24"/>
                      <w:szCs w:val="24"/>
                    </w:rPr>
                  </w:pP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0C119BAC">
                  <w:pPr>
                    <w:pStyle w:val="27"/>
                    <w:spacing w:before="60" w:beforeAutospacing="0" w:after="60" w:afterAutospacing="0"/>
                    <w:ind w:right="195"/>
                    <w:jc w:val="center"/>
                    <w:rPr>
                      <w:b/>
                      <w:bCs/>
                    </w:rPr>
                  </w:pPr>
                  <w:r>
                    <w:rPr>
                      <w:b/>
                      <w:bCs/>
                    </w:rPr>
                    <w:t>Înainte de 2016</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1A8DD999">
                  <w:pPr>
                    <w:pStyle w:val="27"/>
                    <w:spacing w:before="60" w:beforeAutospacing="0" w:after="60" w:afterAutospacing="0"/>
                    <w:ind w:right="195"/>
                    <w:jc w:val="center"/>
                    <w:rPr>
                      <w:b/>
                      <w:bCs/>
                    </w:rPr>
                  </w:pPr>
                  <w:r>
                    <w:rPr>
                      <w:b/>
                      <w:bCs/>
                    </w:rPr>
                    <w:t>2016-2023</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4EE17A54">
                  <w:pPr>
                    <w:pStyle w:val="27"/>
                    <w:spacing w:before="60" w:beforeAutospacing="0" w:after="60" w:afterAutospacing="0"/>
                    <w:ind w:right="195"/>
                    <w:jc w:val="center"/>
                    <w:rPr>
                      <w:b/>
                      <w:bCs/>
                    </w:rPr>
                  </w:pPr>
                  <w:r>
                    <w:rPr>
                      <w:b/>
                      <w:bCs/>
                    </w:rPr>
                    <w:t>Începând cu 2024</w:t>
                  </w:r>
                </w:p>
              </w:tc>
            </w:tr>
            <w:tr w14:paraId="0E58D6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26E1E56C">
                  <w:pPr>
                    <w:pStyle w:val="28"/>
                    <w:spacing w:before="60" w:beforeAutospacing="0" w:after="60" w:afterAutospacing="0"/>
                  </w:pPr>
                  <w:r>
                    <w:rPr>
                      <w:rStyle w:val="29"/>
                      <w:b/>
                      <w:bCs/>
                    </w:rPr>
                    <w:t>Solide</w:t>
                  </w: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432B1D73">
                  <w:pPr>
                    <w:pStyle w:val="28"/>
                    <w:spacing w:before="60" w:beforeAutospacing="0" w:after="60" w:afterAutospacing="0"/>
                  </w:pPr>
                  <w:r>
                    <w:t>S1</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6815ADF9">
                  <w:pPr>
                    <w:pStyle w:val="28"/>
                    <w:spacing w:before="60" w:beforeAutospacing="0" w:after="60" w:afterAutospacing="0"/>
                  </w:pPr>
                  <w:r>
                    <w:t>Cărbune superior, inclusiv antracit, cărbune bituminos, cărbune sub-bituminos, cocs, semicocs, cocs de petrol</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22C02A90">
                  <w:pPr>
                    <w:pStyle w:val="30"/>
                    <w:spacing w:before="60" w:beforeAutospacing="0" w:after="60" w:afterAutospacing="0"/>
                    <w:ind w:right="195"/>
                    <w:jc w:val="right"/>
                  </w:pPr>
                  <w:r>
                    <w:t>44,2</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412D8884">
                  <w:pPr>
                    <w:pStyle w:val="30"/>
                    <w:spacing w:before="60" w:beforeAutospacing="0" w:after="60" w:afterAutospacing="0"/>
                    <w:ind w:right="195"/>
                    <w:jc w:val="right"/>
                  </w:pPr>
                  <w:r>
                    <w:t>44,2</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0ADAFE42">
                  <w:pPr>
                    <w:pStyle w:val="30"/>
                    <w:spacing w:before="60" w:beforeAutospacing="0" w:after="60" w:afterAutospacing="0"/>
                    <w:ind w:right="195"/>
                    <w:jc w:val="right"/>
                  </w:pPr>
                  <w:r>
                    <w:t>53,0</w:t>
                  </w:r>
                </w:p>
              </w:tc>
            </w:tr>
            <w:tr w14:paraId="5F5BE7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123691A">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4683C557">
                  <w:pPr>
                    <w:pStyle w:val="28"/>
                    <w:spacing w:before="60" w:beforeAutospacing="0" w:after="60" w:afterAutospacing="0"/>
                  </w:pPr>
                  <w:r>
                    <w:t>S2</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48366B9B">
                  <w:pPr>
                    <w:pStyle w:val="28"/>
                    <w:spacing w:before="60" w:beforeAutospacing="0" w:after="60" w:afterAutospacing="0"/>
                  </w:pPr>
                  <w:r>
                    <w:t>Lignit, brichete de lignit, șisturi bituminoase</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6ACAE5CF">
                  <w:pPr>
                    <w:pStyle w:val="30"/>
                    <w:spacing w:before="60" w:beforeAutospacing="0" w:after="60" w:afterAutospacing="0"/>
                    <w:ind w:right="195"/>
                    <w:jc w:val="right"/>
                  </w:pPr>
                  <w:r>
                    <w:t>41,8</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04DF2180">
                  <w:pPr>
                    <w:pStyle w:val="30"/>
                    <w:spacing w:before="60" w:beforeAutospacing="0" w:after="60" w:afterAutospacing="0"/>
                    <w:ind w:right="195"/>
                    <w:jc w:val="right"/>
                  </w:pPr>
                  <w:r>
                    <w:t>41,8</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7F14E32B">
                  <w:pPr>
                    <w:pStyle w:val="30"/>
                    <w:spacing w:before="60" w:beforeAutospacing="0" w:after="60" w:afterAutospacing="0"/>
                    <w:ind w:right="195"/>
                    <w:jc w:val="right"/>
                  </w:pPr>
                  <w:r>
                    <w:t>53,0</w:t>
                  </w:r>
                </w:p>
              </w:tc>
            </w:tr>
            <w:tr w14:paraId="0BB3B4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3C35B30">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588E3194">
                  <w:pPr>
                    <w:pStyle w:val="28"/>
                    <w:spacing w:before="60" w:beforeAutospacing="0" w:after="60" w:afterAutospacing="0"/>
                  </w:pPr>
                  <w:r>
                    <w:t>S3</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6210DF3E">
                  <w:pPr>
                    <w:pStyle w:val="28"/>
                    <w:spacing w:before="60" w:beforeAutospacing="0" w:after="60" w:afterAutospacing="0"/>
                  </w:pPr>
                  <w:r>
                    <w:t>Turbă, brichete de turbă</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3C513D9E">
                  <w:pPr>
                    <w:pStyle w:val="30"/>
                    <w:spacing w:before="60" w:beforeAutospacing="0" w:after="60" w:afterAutospacing="0"/>
                    <w:ind w:right="195"/>
                    <w:jc w:val="right"/>
                  </w:pPr>
                  <w:r>
                    <w:t>39,0</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13B5A60D">
                  <w:pPr>
                    <w:pStyle w:val="30"/>
                    <w:spacing w:before="60" w:beforeAutospacing="0" w:after="60" w:afterAutospacing="0"/>
                    <w:ind w:right="195"/>
                    <w:jc w:val="right"/>
                  </w:pPr>
                  <w:r>
                    <w:t>39,0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3AAFF76C">
                  <w:pPr>
                    <w:pStyle w:val="30"/>
                    <w:spacing w:before="60" w:beforeAutospacing="0" w:after="60" w:afterAutospacing="0"/>
                    <w:ind w:right="195"/>
                    <w:jc w:val="right"/>
                  </w:pPr>
                  <w:r>
                    <w:t>53,0</w:t>
                  </w:r>
                </w:p>
              </w:tc>
            </w:tr>
            <w:tr w14:paraId="771405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825B938">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2A3F5151">
                  <w:pPr>
                    <w:pStyle w:val="28"/>
                    <w:spacing w:before="60" w:beforeAutospacing="0" w:after="60" w:afterAutospacing="0"/>
                  </w:pPr>
                  <w:r>
                    <w:t>S4</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5A1F5E33">
                  <w:pPr>
                    <w:pStyle w:val="28"/>
                    <w:spacing w:before="60" w:beforeAutospacing="0" w:after="60" w:afterAutospacing="0"/>
                  </w:pPr>
                  <w:r>
                    <w:t>Biomasă uscată, inclusiv lemn și alte tipuri de biomasă solidă, inclusiv brichete și pelete de lemn, așchii de lemn uscate, deșeuri de lemn curate și uscate, coji de nuci și sâmburi de măsline și de alte drupe</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006DB933">
                  <w:pPr>
                    <w:pStyle w:val="30"/>
                    <w:spacing w:before="60" w:beforeAutospacing="0" w:after="60" w:afterAutospacing="0"/>
                    <w:ind w:right="195"/>
                    <w:jc w:val="right"/>
                  </w:pPr>
                  <w:r>
                    <w:t>33,0</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0C6697DF">
                  <w:pPr>
                    <w:pStyle w:val="30"/>
                    <w:spacing w:before="60" w:beforeAutospacing="0" w:after="60" w:afterAutospacing="0"/>
                    <w:ind w:right="195"/>
                    <w:jc w:val="right"/>
                  </w:pPr>
                  <w:r>
                    <w:t>37,0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56DCFE48">
                  <w:pPr>
                    <w:pStyle w:val="30"/>
                    <w:spacing w:before="60" w:beforeAutospacing="0" w:after="60" w:afterAutospacing="0"/>
                    <w:ind w:right="195"/>
                    <w:jc w:val="right"/>
                  </w:pPr>
                  <w:r>
                    <w:t>37,0</w:t>
                  </w:r>
                </w:p>
              </w:tc>
            </w:tr>
            <w:tr w14:paraId="7C8F66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61C6E21">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1BB9DE4D">
                  <w:pPr>
                    <w:pStyle w:val="28"/>
                    <w:spacing w:before="60" w:beforeAutospacing="0" w:after="60" w:afterAutospacing="0"/>
                  </w:pPr>
                  <w:r>
                    <w:t>S5</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4492028B">
                  <w:pPr>
                    <w:pStyle w:val="28"/>
                    <w:spacing w:before="60" w:beforeAutospacing="0" w:after="60" w:afterAutospacing="0"/>
                  </w:pPr>
                  <w:r>
                    <w:t>Alte tipuri de biomasă solidă, inclusiv toate tipurile de lemn neincluse în categoria S4, precum și leșia neagră și leșia cu sulfit.</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30786EC8">
                  <w:pPr>
                    <w:pStyle w:val="30"/>
                    <w:spacing w:before="60" w:beforeAutospacing="0" w:after="60" w:afterAutospacing="0"/>
                    <w:ind w:right="195"/>
                    <w:jc w:val="right"/>
                  </w:pPr>
                  <w:r>
                    <w:t>25,0</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173EB1CB">
                  <w:pPr>
                    <w:pStyle w:val="30"/>
                    <w:spacing w:before="60" w:beforeAutospacing="0" w:after="60" w:afterAutospacing="0"/>
                    <w:ind w:right="195"/>
                    <w:jc w:val="right"/>
                  </w:pPr>
                  <w:r>
                    <w:t>30,0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5B3788FE">
                  <w:pPr>
                    <w:pStyle w:val="30"/>
                    <w:spacing w:before="60" w:beforeAutospacing="0" w:after="60" w:afterAutospacing="0"/>
                    <w:ind w:right="195"/>
                    <w:jc w:val="right"/>
                  </w:pPr>
                  <w:r>
                    <w:t>30,0</w:t>
                  </w:r>
                </w:p>
              </w:tc>
            </w:tr>
            <w:tr w14:paraId="69C5E1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46470A5">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3C422EA7">
                  <w:pPr>
                    <w:pStyle w:val="28"/>
                    <w:spacing w:before="60" w:beforeAutospacing="0" w:after="60" w:afterAutospacing="0"/>
                  </w:pPr>
                  <w:r>
                    <w:t>S6</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520485CC">
                  <w:pPr>
                    <w:pStyle w:val="28"/>
                    <w:spacing w:before="60" w:beforeAutospacing="0" w:after="60" w:afterAutospacing="0"/>
                  </w:pPr>
                  <w:r>
                    <w:t>Deșeuri municipale și industriale (neregenerabile, de origine nebiologică, cum ar fi materialele plastice, cauciucul și alte materiale sintetice) și deșeurile regenerabile/biodegradabile</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128DC7BE">
                  <w:pPr>
                    <w:pStyle w:val="30"/>
                    <w:spacing w:before="60" w:beforeAutospacing="0" w:after="60" w:afterAutospacing="0"/>
                    <w:ind w:right="195"/>
                    <w:jc w:val="right"/>
                  </w:pPr>
                  <w:r>
                    <w:t>25,0</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64347553">
                  <w:pPr>
                    <w:pStyle w:val="30"/>
                    <w:spacing w:before="60" w:beforeAutospacing="0" w:after="60" w:afterAutospacing="0"/>
                    <w:ind w:right="195"/>
                    <w:jc w:val="right"/>
                  </w:pPr>
                  <w:r>
                    <w:t>25,0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4B85DEEC">
                  <w:pPr>
                    <w:pStyle w:val="30"/>
                    <w:spacing w:before="60" w:beforeAutospacing="0" w:after="60" w:afterAutospacing="0"/>
                    <w:ind w:right="195"/>
                    <w:jc w:val="right"/>
                  </w:pPr>
                  <w:r>
                    <w:t>25,0</w:t>
                  </w:r>
                </w:p>
              </w:tc>
            </w:tr>
            <w:tr w14:paraId="7896D4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676A7B38">
                  <w:pPr>
                    <w:pStyle w:val="28"/>
                    <w:spacing w:before="60" w:beforeAutospacing="0" w:after="60" w:afterAutospacing="0"/>
                  </w:pPr>
                  <w:r>
                    <w:rPr>
                      <w:rStyle w:val="29"/>
                      <w:b/>
                      <w:bCs/>
                    </w:rPr>
                    <w:t>Lichide</w:t>
                  </w: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7B05F87E">
                  <w:pPr>
                    <w:pStyle w:val="28"/>
                    <w:spacing w:before="60" w:beforeAutospacing="0" w:after="60" w:afterAutospacing="0"/>
                  </w:pPr>
                  <w:r>
                    <w:t>L7</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2F1B0238">
                  <w:pPr>
                    <w:pStyle w:val="28"/>
                    <w:spacing w:before="60" w:beforeAutospacing="0" w:after="60" w:afterAutospacing="0"/>
                  </w:pPr>
                  <w:r>
                    <w:t>Păcură grea, motorină/carburant diesel, alte produse petroliere</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3A30EF58">
                  <w:pPr>
                    <w:pStyle w:val="30"/>
                    <w:spacing w:before="60" w:beforeAutospacing="0" w:after="60" w:afterAutospacing="0"/>
                    <w:ind w:right="195"/>
                    <w:jc w:val="right"/>
                  </w:pPr>
                  <w:r>
                    <w:t>44,2</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025AC403">
                  <w:pPr>
                    <w:pStyle w:val="30"/>
                    <w:spacing w:before="60" w:beforeAutospacing="0" w:after="60" w:afterAutospacing="0"/>
                    <w:ind w:right="195"/>
                    <w:jc w:val="right"/>
                  </w:pPr>
                  <w:r>
                    <w:t>44,2</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6F1E4DAD">
                  <w:pPr>
                    <w:pStyle w:val="30"/>
                    <w:spacing w:before="60" w:beforeAutospacing="0" w:after="60" w:afterAutospacing="0"/>
                    <w:ind w:right="195"/>
                    <w:jc w:val="right"/>
                  </w:pPr>
                  <w:r>
                    <w:t>53,0</w:t>
                  </w:r>
                </w:p>
              </w:tc>
            </w:tr>
            <w:tr w14:paraId="652E88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D66A79B">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7638BDCC">
                  <w:pPr>
                    <w:pStyle w:val="28"/>
                    <w:spacing w:before="60" w:beforeAutospacing="0" w:after="60" w:afterAutospacing="0"/>
                  </w:pPr>
                  <w:r>
                    <w:t>L8</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79D628CD">
                  <w:pPr>
                    <w:pStyle w:val="28"/>
                    <w:spacing w:before="60" w:beforeAutospacing="0" w:after="60" w:afterAutospacing="0"/>
                  </w:pPr>
                  <w:r>
                    <w:t>Biolichide, inclusiv biometanol, bioetanol, biobutanol, biodiesel și alți biocombustibili și toate e-lichidele</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27E83DAE">
                  <w:pPr>
                    <w:pStyle w:val="30"/>
                    <w:spacing w:before="60" w:beforeAutospacing="0" w:after="60" w:afterAutospacing="0"/>
                    <w:ind w:right="195"/>
                    <w:jc w:val="right"/>
                  </w:pPr>
                  <w:r>
                    <w:t>44,2</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139303C5">
                  <w:pPr>
                    <w:pStyle w:val="30"/>
                    <w:spacing w:before="60" w:beforeAutospacing="0" w:after="60" w:afterAutospacing="0"/>
                    <w:ind w:right="195"/>
                    <w:jc w:val="right"/>
                  </w:pPr>
                  <w:r>
                    <w:t>44,2</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0A0461F4">
                  <w:pPr>
                    <w:pStyle w:val="30"/>
                    <w:spacing w:before="60" w:beforeAutospacing="0" w:after="60" w:afterAutospacing="0"/>
                    <w:ind w:right="195"/>
                    <w:jc w:val="right"/>
                  </w:pPr>
                  <w:r>
                    <w:t>44,2</w:t>
                  </w:r>
                </w:p>
              </w:tc>
            </w:tr>
            <w:tr w14:paraId="4C708D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5416061">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781B4446">
                  <w:pPr>
                    <w:pStyle w:val="28"/>
                    <w:spacing w:before="60" w:beforeAutospacing="0" w:after="60" w:afterAutospacing="0"/>
                  </w:pPr>
                  <w:r>
                    <w:t>L9</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491725DE">
                  <w:pPr>
                    <w:pStyle w:val="28"/>
                    <w:spacing w:before="60" w:beforeAutospacing="0" w:after="60" w:afterAutospacing="0"/>
                  </w:pPr>
                  <w:r>
                    <w:t>Deșeuri lichide, inclusiv deșeuri biodegradabile și neregenerabile (inclusiv seu, grăsime și borhot).</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181499FB">
                  <w:pPr>
                    <w:pStyle w:val="30"/>
                    <w:spacing w:before="60" w:beforeAutospacing="0" w:after="60" w:afterAutospacing="0"/>
                    <w:ind w:right="195"/>
                    <w:jc w:val="right"/>
                  </w:pPr>
                  <w:r>
                    <w:t>25,0</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6963EDF9">
                  <w:pPr>
                    <w:pStyle w:val="30"/>
                    <w:spacing w:before="60" w:beforeAutospacing="0" w:after="60" w:afterAutospacing="0"/>
                    <w:ind w:right="195"/>
                    <w:jc w:val="right"/>
                  </w:pPr>
                  <w:r>
                    <w:t>29,0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39AD67B6">
                  <w:pPr>
                    <w:pStyle w:val="30"/>
                    <w:spacing w:before="60" w:beforeAutospacing="0" w:after="60" w:afterAutospacing="0"/>
                    <w:ind w:right="195"/>
                    <w:jc w:val="right"/>
                  </w:pPr>
                  <w:r>
                    <w:t>29,0</w:t>
                  </w:r>
                </w:p>
              </w:tc>
            </w:tr>
            <w:tr w14:paraId="3E9558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14EE8669">
                  <w:pPr>
                    <w:pStyle w:val="28"/>
                    <w:spacing w:before="60" w:beforeAutospacing="0" w:after="60" w:afterAutospacing="0"/>
                  </w:pPr>
                  <w:r>
                    <w:rPr>
                      <w:rStyle w:val="29"/>
                      <w:b/>
                      <w:bCs/>
                    </w:rPr>
                    <w:t>Gazoase</w:t>
                  </w: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1DA72EA2">
                  <w:pPr>
                    <w:pStyle w:val="28"/>
                    <w:spacing w:before="60" w:beforeAutospacing="0" w:after="60" w:afterAutospacing="0"/>
                  </w:pPr>
                  <w:r>
                    <w:t>G10</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31B4B114">
                  <w:pPr>
                    <w:pStyle w:val="28"/>
                    <w:spacing w:before="60" w:beforeAutospacing="0" w:after="60" w:afterAutospacing="0"/>
                  </w:pPr>
                  <w:r>
                    <w:t>Gaz natural, GPL, GNL și biometan</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7BFA16E4">
                  <w:pPr>
                    <w:pStyle w:val="30"/>
                    <w:spacing w:before="60" w:beforeAutospacing="0" w:after="60" w:afterAutospacing="0"/>
                    <w:ind w:right="195"/>
                    <w:jc w:val="right"/>
                  </w:pPr>
                  <w:r>
                    <w:t>52,5</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444D25BC">
                  <w:pPr>
                    <w:pStyle w:val="30"/>
                    <w:spacing w:before="60" w:beforeAutospacing="0" w:after="60" w:afterAutospacing="0"/>
                    <w:ind w:right="195"/>
                    <w:jc w:val="right"/>
                  </w:pPr>
                  <w:r>
                    <w:t>53,0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5EAD6F58">
                  <w:pPr>
                    <w:pStyle w:val="30"/>
                    <w:spacing w:before="60" w:beforeAutospacing="0" w:after="60" w:afterAutospacing="0"/>
                    <w:ind w:right="195"/>
                    <w:jc w:val="right"/>
                  </w:pPr>
                  <w:r>
                    <w:t>53,0</w:t>
                  </w:r>
                </w:p>
              </w:tc>
            </w:tr>
            <w:tr w14:paraId="0C9A0C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27DE9BB">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337C5232">
                  <w:pPr>
                    <w:pStyle w:val="28"/>
                    <w:spacing w:before="60" w:beforeAutospacing="0" w:after="60" w:afterAutospacing="0"/>
                  </w:pPr>
                  <w:r>
                    <w:t>G11A</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436A28E6">
                  <w:pPr>
                    <w:pStyle w:val="28"/>
                    <w:spacing w:before="60" w:beforeAutospacing="0" w:after="60" w:afterAutospacing="0"/>
                  </w:pPr>
                  <w:r>
                    <w:t>Hidrogen tranzacționat</w:t>
                  </w:r>
                  <w:r>
                    <w:fldChar w:fldCharType="begin"/>
                  </w:r>
                  <w:r>
                    <w:instrText xml:space="preserve"> HYPERLINK "https://eur-lex.europa.eu/legal-content/RO/TXT/HTML/?uri=OJ:L_202302104" \l "ntr1-L_202302104RO.000302-E0001" </w:instrText>
                  </w:r>
                  <w:r>
                    <w:fldChar w:fldCharType="separate"/>
                  </w:r>
                  <w:r>
                    <w:rPr>
                      <w:rStyle w:val="4"/>
                      <w:color w:val="337AB7"/>
                    </w:rPr>
                    <w:t> (</w:t>
                  </w:r>
                  <w:r>
                    <w:rPr>
                      <w:rStyle w:val="31"/>
                      <w:color w:val="337AB7"/>
                      <w:vertAlign w:val="superscript"/>
                    </w:rPr>
                    <w:t>1</w:t>
                  </w:r>
                  <w:r>
                    <w:rPr>
                      <w:rStyle w:val="4"/>
                      <w:color w:val="337AB7"/>
                    </w:rPr>
                    <w:t>)</w:t>
                  </w:r>
                  <w:r>
                    <w:rPr>
                      <w:rStyle w:val="4"/>
                      <w:color w:val="337AB7"/>
                    </w:rPr>
                    <w:fldChar w:fldCharType="end"/>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5AAFDD24">
                  <w:pPr>
                    <w:pStyle w:val="30"/>
                    <w:spacing w:before="60" w:beforeAutospacing="0" w:after="60" w:afterAutospacing="0"/>
                    <w:ind w:right="195"/>
                    <w:jc w:val="right"/>
                  </w:pPr>
                  <w:r>
                    <w:t>44,2</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27C382E6">
                  <w:pPr>
                    <w:pStyle w:val="30"/>
                    <w:spacing w:before="60" w:beforeAutospacing="0" w:after="60" w:afterAutospacing="0"/>
                    <w:ind w:right="195"/>
                    <w:jc w:val="right"/>
                  </w:pPr>
                  <w:r>
                    <w:t>44,2</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12817CB6">
                  <w:pPr>
                    <w:pStyle w:val="30"/>
                    <w:spacing w:before="60" w:beforeAutospacing="0" w:after="60" w:afterAutospacing="0"/>
                    <w:ind w:right="195"/>
                    <w:jc w:val="right"/>
                  </w:pPr>
                  <w:r>
                    <w:t>53,0</w:t>
                  </w:r>
                </w:p>
              </w:tc>
            </w:tr>
            <w:tr w14:paraId="5132FF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CE67D9C">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016D74D6">
                  <w:pPr>
                    <w:pStyle w:val="28"/>
                    <w:spacing w:before="60" w:beforeAutospacing="0" w:after="60" w:afterAutospacing="0"/>
                  </w:pPr>
                  <w:r>
                    <w:t>G11B</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5F27DAD5">
                  <w:pPr>
                    <w:pStyle w:val="28"/>
                    <w:spacing w:before="60" w:beforeAutospacing="0" w:after="60" w:afterAutospacing="0"/>
                  </w:pPr>
                  <w:r>
                    <w:t>Gaze de rafinărie, gaz de sinteză, hidrogen (produs secundar), e-gaze</w:t>
                  </w:r>
                  <w:r>
                    <w:fldChar w:fldCharType="begin"/>
                  </w:r>
                  <w:r>
                    <w:instrText xml:space="preserve"> HYPERLINK "https://eur-lex.europa.eu/legal-content/RO/TXT/HTML/?uri=OJ:L_202302104" \l "ntr2-L_202302104RO.000302-E0002" </w:instrText>
                  </w:r>
                  <w:r>
                    <w:fldChar w:fldCharType="separate"/>
                  </w:r>
                  <w:r>
                    <w:rPr>
                      <w:rStyle w:val="4"/>
                      <w:color w:val="337AB7"/>
                    </w:rPr>
                    <w:t> (</w:t>
                  </w:r>
                  <w:r>
                    <w:rPr>
                      <w:rStyle w:val="31"/>
                      <w:color w:val="337AB7"/>
                      <w:vertAlign w:val="superscript"/>
                    </w:rPr>
                    <w:t>2</w:t>
                  </w:r>
                  <w:r>
                    <w:rPr>
                      <w:rStyle w:val="4"/>
                      <w:color w:val="337AB7"/>
                    </w:rPr>
                    <w:t>)</w:t>
                  </w:r>
                  <w:r>
                    <w:rPr>
                      <w:rStyle w:val="4"/>
                      <w:color w:val="337AB7"/>
                    </w:rPr>
                    <w:fldChar w:fldCharType="end"/>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1702F3DA">
                  <w:pPr>
                    <w:pStyle w:val="30"/>
                    <w:spacing w:before="60" w:beforeAutospacing="0" w:after="60" w:afterAutospacing="0"/>
                    <w:ind w:right="195"/>
                    <w:jc w:val="right"/>
                  </w:pPr>
                  <w:r>
                    <w:t>44,2</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6751A24C">
                  <w:pPr>
                    <w:pStyle w:val="30"/>
                    <w:spacing w:before="60" w:beforeAutospacing="0" w:after="60" w:afterAutospacing="0"/>
                    <w:ind w:right="195"/>
                    <w:jc w:val="right"/>
                  </w:pPr>
                  <w:r>
                    <w:t>44,2</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41CC2EFA">
                  <w:pPr>
                    <w:pStyle w:val="30"/>
                    <w:spacing w:before="60" w:beforeAutospacing="0" w:after="60" w:afterAutospacing="0"/>
                    <w:ind w:right="195"/>
                    <w:jc w:val="right"/>
                  </w:pPr>
                  <w:r>
                    <w:t>44,2</w:t>
                  </w:r>
                </w:p>
              </w:tc>
            </w:tr>
            <w:tr w14:paraId="791B68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C8DBED6">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54DEE884">
                  <w:pPr>
                    <w:pStyle w:val="28"/>
                    <w:spacing w:before="60" w:beforeAutospacing="0" w:after="60" w:afterAutospacing="0"/>
                  </w:pPr>
                  <w:r>
                    <w:t>G12</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068AE274">
                  <w:pPr>
                    <w:pStyle w:val="28"/>
                    <w:spacing w:before="60" w:beforeAutospacing="0" w:after="60" w:afterAutospacing="0"/>
                  </w:pPr>
                  <w:r>
                    <w:t>Biogaz provenit din digestia anaerobă, de la depozitele de deșeuri și de la instalațiile de epurare a apelor uzate</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191E2F18">
                  <w:pPr>
                    <w:pStyle w:val="30"/>
                    <w:spacing w:before="60" w:beforeAutospacing="0" w:after="60" w:afterAutospacing="0"/>
                    <w:ind w:right="195"/>
                    <w:jc w:val="right"/>
                  </w:pPr>
                  <w:r>
                    <w:t>42,0</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360172FA">
                  <w:pPr>
                    <w:pStyle w:val="30"/>
                    <w:spacing w:before="60" w:beforeAutospacing="0" w:after="60" w:afterAutospacing="0"/>
                    <w:ind w:right="195"/>
                    <w:jc w:val="right"/>
                  </w:pPr>
                  <w:r>
                    <w:t>42,0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70A4B0B1">
                  <w:pPr>
                    <w:pStyle w:val="30"/>
                    <w:spacing w:before="60" w:beforeAutospacing="0" w:after="60" w:afterAutospacing="0"/>
                    <w:ind w:right="195"/>
                    <w:jc w:val="right"/>
                  </w:pPr>
                  <w:r>
                    <w:t>42,0</w:t>
                  </w:r>
                </w:p>
              </w:tc>
            </w:tr>
            <w:tr w14:paraId="3A1B60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B7BDD2F">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49E11DE1">
                  <w:pPr>
                    <w:pStyle w:val="28"/>
                    <w:spacing w:before="60" w:beforeAutospacing="0" w:after="60" w:afterAutospacing="0"/>
                  </w:pPr>
                  <w:r>
                    <w:t>G13</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5C44175B">
                  <w:pPr>
                    <w:pStyle w:val="28"/>
                    <w:spacing w:before="60" w:beforeAutospacing="0" w:after="60" w:afterAutospacing="0"/>
                  </w:pPr>
                  <w:r>
                    <w:t>Gaz de cocserie, gaz de furnal, gaze de mină, precum și alte gaze recuperate (cu excepția gazului de rafinărie)</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3B40D700">
                  <w:pPr>
                    <w:pStyle w:val="30"/>
                    <w:spacing w:before="60" w:beforeAutospacing="0" w:after="60" w:afterAutospacing="0"/>
                    <w:ind w:right="195"/>
                    <w:jc w:val="right"/>
                  </w:pPr>
                  <w:r>
                    <w:t>35,0</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4184E5C7">
                  <w:pPr>
                    <w:pStyle w:val="30"/>
                    <w:spacing w:before="60" w:beforeAutospacing="0" w:after="60" w:afterAutospacing="0"/>
                    <w:ind w:right="195"/>
                    <w:jc w:val="right"/>
                  </w:pPr>
                  <w:r>
                    <w:t>35,0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226FE7C6">
                  <w:pPr>
                    <w:pStyle w:val="30"/>
                    <w:spacing w:before="60" w:beforeAutospacing="0" w:after="60" w:afterAutospacing="0"/>
                    <w:ind w:right="195"/>
                    <w:jc w:val="right"/>
                  </w:pPr>
                  <w:r>
                    <w:t>35,0</w:t>
                  </w:r>
                </w:p>
              </w:tc>
            </w:tr>
            <w:tr w14:paraId="7B55DD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4758030B">
                  <w:pPr>
                    <w:pStyle w:val="28"/>
                    <w:spacing w:before="60" w:beforeAutospacing="0" w:after="60" w:afterAutospacing="0"/>
                  </w:pPr>
                  <w:r>
                    <w:rPr>
                      <w:rStyle w:val="29"/>
                      <w:b/>
                      <w:bCs/>
                    </w:rPr>
                    <w:t>Altele</w:t>
                  </w: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16799A0F">
                  <w:pPr>
                    <w:pStyle w:val="28"/>
                    <w:spacing w:before="60" w:beforeAutospacing="0" w:after="60" w:afterAutospacing="0"/>
                  </w:pPr>
                  <w:r>
                    <w:t>O14A</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5217FBDA">
                  <w:pPr>
                    <w:pStyle w:val="28"/>
                    <w:spacing w:before="60" w:beforeAutospacing="0" w:after="60" w:afterAutospacing="0"/>
                  </w:pPr>
                  <w:r>
                    <w:t>Căldura reziduală, inclusiv gazele de evacuare rezultate din procese, produs al reacțiilor chimice exoterme (temperatură de intrare &gt; 200 °C)</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7D25C231">
                  <w:pPr>
                    <w:pStyle w:val="23"/>
                    <w:spacing w:before="120" w:beforeAutospacing="0" w:after="0" w:afterAutospacing="0"/>
                    <w:jc w:val="both"/>
                  </w:pPr>
                  <w:r>
                    <w:t> </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2C97D680">
                  <w:pPr>
                    <w:pStyle w:val="30"/>
                    <w:spacing w:before="60" w:beforeAutospacing="0" w:after="60" w:afterAutospacing="0"/>
                    <w:ind w:right="195"/>
                    <w:jc w:val="right"/>
                  </w:pPr>
                  <w:r>
                    <w:t>30,0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580CBA59">
                  <w:pPr>
                    <w:pStyle w:val="30"/>
                    <w:spacing w:before="60" w:beforeAutospacing="0" w:after="60" w:afterAutospacing="0"/>
                    <w:ind w:right="195"/>
                    <w:jc w:val="right"/>
                  </w:pPr>
                  <w:r>
                    <w:t>30,0</w:t>
                  </w:r>
                </w:p>
              </w:tc>
            </w:tr>
            <w:tr w14:paraId="21028C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83153AE">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0763F2EF">
                  <w:pPr>
                    <w:pStyle w:val="28"/>
                    <w:spacing w:before="60" w:beforeAutospacing="0" w:after="60" w:afterAutospacing="0"/>
                  </w:pPr>
                  <w:r>
                    <w:t>O14B</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206B818F">
                  <w:pPr>
                    <w:pStyle w:val="28"/>
                    <w:spacing w:before="60" w:beforeAutospacing="0" w:after="60" w:afterAutospacing="0"/>
                  </w:pPr>
                  <w:r>
                    <w:t>Căldura reziduală, inclusiv gazele de evacuare rezultate din procese, produs al reacțiilor chimice exoterme (temperatură de intrare &lt; 200 °C)</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57561068">
                  <w:pPr>
                    <w:pStyle w:val="23"/>
                    <w:spacing w:before="120" w:beforeAutospacing="0" w:after="0" w:afterAutospacing="0"/>
                    <w:jc w:val="both"/>
                  </w:pPr>
                  <w:r>
                    <w:t> </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1BC04E3C">
                  <w:pPr>
                    <w:pStyle w:val="30"/>
                    <w:spacing w:before="60" w:beforeAutospacing="0" w:after="60" w:afterAutospacing="0"/>
                    <w:ind w:right="195"/>
                    <w:jc w:val="right"/>
                  </w:pPr>
                  <w:r>
                    <w:t>30,0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3B860F37">
                  <w:pPr>
                    <w:pStyle w:val="30"/>
                    <w:spacing w:before="60" w:beforeAutospacing="0" w:after="60" w:afterAutospacing="0"/>
                    <w:ind w:right="195"/>
                    <w:jc w:val="right"/>
                  </w:pPr>
                  <w:r>
                    <w:t>20,0</w:t>
                  </w:r>
                </w:p>
              </w:tc>
            </w:tr>
            <w:tr w14:paraId="1A931D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9D0C93E">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59C54576">
                  <w:pPr>
                    <w:pStyle w:val="28"/>
                    <w:spacing w:before="60" w:beforeAutospacing="0" w:after="60" w:afterAutospacing="0"/>
                  </w:pPr>
                  <w:r>
                    <w:t>O15</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0006961D">
                  <w:pPr>
                    <w:pStyle w:val="28"/>
                    <w:spacing w:before="60" w:beforeAutospacing="0" w:after="60" w:afterAutospacing="0"/>
                  </w:pPr>
                  <w:r>
                    <w:t>Energie nucleară</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17B98CA3">
                  <w:pPr>
                    <w:pStyle w:val="23"/>
                    <w:spacing w:before="120" w:beforeAutospacing="0" w:after="0" w:afterAutospacing="0"/>
                    <w:jc w:val="both"/>
                  </w:pPr>
                  <w:r>
                    <w:t> </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4455023D">
                  <w:pPr>
                    <w:pStyle w:val="30"/>
                    <w:spacing w:before="60" w:beforeAutospacing="0" w:after="60" w:afterAutospacing="0"/>
                    <w:ind w:right="195"/>
                    <w:jc w:val="right"/>
                  </w:pPr>
                  <w:r>
                    <w:t>33,0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0C43A810">
                  <w:pPr>
                    <w:pStyle w:val="30"/>
                    <w:spacing w:before="60" w:beforeAutospacing="0" w:after="60" w:afterAutospacing="0"/>
                    <w:ind w:right="195"/>
                    <w:jc w:val="right"/>
                  </w:pPr>
                  <w:r>
                    <w:t>33,0</w:t>
                  </w:r>
                </w:p>
              </w:tc>
            </w:tr>
            <w:tr w14:paraId="4DE997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8D2CCAC">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6A0291FD">
                  <w:pPr>
                    <w:pStyle w:val="28"/>
                    <w:spacing w:before="60" w:beforeAutospacing="0" w:after="60" w:afterAutospacing="0"/>
                  </w:pPr>
                  <w:r>
                    <w:t>O16</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7FA776E4">
                  <w:pPr>
                    <w:pStyle w:val="28"/>
                    <w:spacing w:before="60" w:beforeAutospacing="0" w:after="60" w:afterAutospacing="0"/>
                  </w:pPr>
                  <w:r>
                    <w:t>Energie termică solară</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5688FCD1">
                  <w:pPr>
                    <w:pStyle w:val="23"/>
                    <w:spacing w:before="120" w:beforeAutospacing="0" w:after="0" w:afterAutospacing="0"/>
                    <w:jc w:val="both"/>
                  </w:pPr>
                  <w:r>
                    <w:t> </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6057BEA8">
                  <w:pPr>
                    <w:pStyle w:val="30"/>
                    <w:spacing w:before="60" w:beforeAutospacing="0" w:after="60" w:afterAutospacing="0"/>
                    <w:ind w:right="195"/>
                    <w:jc w:val="right"/>
                  </w:pPr>
                  <w:r>
                    <w:t>30,0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213A1FFB">
                  <w:pPr>
                    <w:pStyle w:val="30"/>
                    <w:spacing w:before="60" w:beforeAutospacing="0" w:after="60" w:afterAutospacing="0"/>
                    <w:ind w:right="195"/>
                    <w:jc w:val="right"/>
                  </w:pPr>
                  <w:r>
                    <w:t>30,0</w:t>
                  </w:r>
                </w:p>
              </w:tc>
            </w:tr>
            <w:tr w14:paraId="0D78EB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56DC516">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2F2E97AA">
                  <w:pPr>
                    <w:pStyle w:val="28"/>
                    <w:spacing w:before="60" w:beforeAutospacing="0" w:after="60" w:afterAutospacing="0"/>
                  </w:pPr>
                  <w:r>
                    <w:t>O17</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297D10DA">
                  <w:pPr>
                    <w:pStyle w:val="28"/>
                    <w:spacing w:before="60" w:beforeAutospacing="0" w:after="60" w:afterAutospacing="0"/>
                  </w:pPr>
                  <w:r>
                    <w:t>Energie geotermică</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3DFC4899">
                  <w:pPr>
                    <w:pStyle w:val="23"/>
                    <w:spacing w:before="120" w:beforeAutospacing="0" w:after="0" w:afterAutospacing="0"/>
                    <w:jc w:val="both"/>
                  </w:pPr>
                  <w:r>
                    <w:t> </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1279E16A">
                  <w:pPr>
                    <w:pStyle w:val="30"/>
                    <w:spacing w:before="60" w:beforeAutospacing="0" w:after="60" w:afterAutospacing="0"/>
                    <w:ind w:right="195"/>
                    <w:jc w:val="right"/>
                  </w:pPr>
                  <w:r>
                    <w:t>19,5</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68C94C17">
                  <w:pPr>
                    <w:pStyle w:val="30"/>
                    <w:spacing w:before="60" w:beforeAutospacing="0" w:after="60" w:afterAutospacing="0"/>
                    <w:ind w:right="195"/>
                    <w:jc w:val="right"/>
                  </w:pPr>
                  <w:r>
                    <w:t>19,5</w:t>
                  </w:r>
                </w:p>
              </w:tc>
            </w:tr>
            <w:tr w14:paraId="4EE5FF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42"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2E0B2CA">
                  <w:pPr>
                    <w:rPr>
                      <w:rFonts w:ascii="Times New Roman" w:hAnsi="Times New Roman" w:cs="Times New Roman"/>
                      <w:sz w:val="24"/>
                      <w:szCs w:val="24"/>
                    </w:rPr>
                  </w:pPr>
                </w:p>
              </w:tc>
              <w:tc>
                <w:tcPr>
                  <w:tcW w:w="1179" w:type="dxa"/>
                  <w:tcBorders>
                    <w:top w:val="single" w:color="000000" w:sz="6" w:space="0"/>
                    <w:left w:val="single" w:color="000000" w:sz="6" w:space="0"/>
                    <w:bottom w:val="single" w:color="000000" w:sz="6" w:space="0"/>
                    <w:right w:val="single" w:color="000000" w:sz="6" w:space="0"/>
                  </w:tcBorders>
                  <w:shd w:val="clear" w:color="auto" w:fill="auto"/>
                </w:tcPr>
                <w:p w14:paraId="3137E7DE">
                  <w:pPr>
                    <w:pStyle w:val="28"/>
                    <w:spacing w:before="60" w:beforeAutospacing="0" w:after="60" w:afterAutospacing="0"/>
                  </w:pPr>
                  <w:r>
                    <w:t>O18</w:t>
                  </w:r>
                </w:p>
              </w:tc>
              <w:tc>
                <w:tcPr>
                  <w:tcW w:w="4510" w:type="dxa"/>
                  <w:tcBorders>
                    <w:top w:val="single" w:color="000000" w:sz="6" w:space="0"/>
                    <w:left w:val="single" w:color="000000" w:sz="6" w:space="0"/>
                    <w:bottom w:val="single" w:color="000000" w:sz="6" w:space="0"/>
                    <w:right w:val="single" w:color="000000" w:sz="6" w:space="0"/>
                  </w:tcBorders>
                  <w:shd w:val="clear" w:color="auto" w:fill="auto"/>
                </w:tcPr>
                <w:p w14:paraId="48C70C7C">
                  <w:pPr>
                    <w:pStyle w:val="28"/>
                    <w:spacing w:before="60" w:beforeAutospacing="0" w:after="60" w:afterAutospacing="0"/>
                  </w:pPr>
                  <w:r>
                    <w:t>Alți combustibili care nu au fost menționați anterior</w:t>
                  </w:r>
                </w:p>
              </w:tc>
              <w:tc>
                <w:tcPr>
                  <w:tcW w:w="1032" w:type="dxa"/>
                  <w:tcBorders>
                    <w:top w:val="single" w:color="000000" w:sz="6" w:space="0"/>
                    <w:left w:val="single" w:color="000000" w:sz="6" w:space="0"/>
                    <w:bottom w:val="single" w:color="000000" w:sz="6" w:space="0"/>
                    <w:right w:val="single" w:color="000000" w:sz="6" w:space="0"/>
                  </w:tcBorders>
                  <w:shd w:val="clear" w:color="auto" w:fill="auto"/>
                </w:tcPr>
                <w:p w14:paraId="1736CCE9">
                  <w:pPr>
                    <w:pStyle w:val="23"/>
                    <w:spacing w:before="120" w:beforeAutospacing="0" w:after="0" w:afterAutospacing="0"/>
                    <w:jc w:val="both"/>
                  </w:pPr>
                  <w:r>
                    <w:t> </w:t>
                  </w:r>
                </w:p>
              </w:tc>
              <w:tc>
                <w:tcPr>
                  <w:tcW w:w="863" w:type="dxa"/>
                  <w:tcBorders>
                    <w:top w:val="single" w:color="000000" w:sz="6" w:space="0"/>
                    <w:left w:val="single" w:color="000000" w:sz="6" w:space="0"/>
                    <w:bottom w:val="single" w:color="000000" w:sz="6" w:space="0"/>
                    <w:right w:val="single" w:color="000000" w:sz="6" w:space="0"/>
                  </w:tcBorders>
                  <w:shd w:val="clear" w:color="auto" w:fill="auto"/>
                </w:tcPr>
                <w:p w14:paraId="2C5FD4A5">
                  <w:pPr>
                    <w:pStyle w:val="30"/>
                    <w:spacing w:before="60" w:beforeAutospacing="0" w:after="60" w:afterAutospacing="0"/>
                    <w:ind w:right="195"/>
                    <w:jc w:val="right"/>
                  </w:pPr>
                  <w:r>
                    <w:t>30,0</w:t>
                  </w:r>
                </w:p>
              </w:tc>
              <w:tc>
                <w:tcPr>
                  <w:tcW w:w="1247" w:type="dxa"/>
                  <w:tcBorders>
                    <w:top w:val="single" w:color="000000" w:sz="6" w:space="0"/>
                    <w:left w:val="single" w:color="000000" w:sz="6" w:space="0"/>
                    <w:bottom w:val="single" w:color="000000" w:sz="6" w:space="0"/>
                    <w:right w:val="single" w:color="000000" w:sz="6" w:space="0"/>
                  </w:tcBorders>
                  <w:shd w:val="clear" w:color="auto" w:fill="auto"/>
                </w:tcPr>
                <w:p w14:paraId="736D9B26">
                  <w:pPr>
                    <w:pStyle w:val="30"/>
                    <w:spacing w:before="60" w:beforeAutospacing="0" w:after="60" w:afterAutospacing="0"/>
                    <w:ind w:right="195"/>
                    <w:jc w:val="right"/>
                  </w:pPr>
                  <w:r>
                    <w:t>30,0</w:t>
                  </w:r>
                </w:p>
              </w:tc>
            </w:tr>
          </w:tbl>
          <w:p w14:paraId="26110AE7">
            <w:pPr>
              <w:pStyle w:val="22"/>
              <w:shd w:val="clear" w:color="auto" w:fill="FFFFFF"/>
              <w:spacing w:before="0" w:beforeAutospacing="0" w:after="0" w:afterAutospacing="0"/>
              <w:jc w:val="center"/>
              <w:rPr>
                <w:i/>
                <w:iCs/>
                <w:color w:val="000000"/>
                <w:lang w:val="ru-RU"/>
              </w:rPr>
            </w:pPr>
          </w:p>
        </w:tc>
        <w:tc>
          <w:tcPr>
            <w:tcW w:w="3379" w:type="dxa"/>
          </w:tcPr>
          <w:p w14:paraId="3834113B">
            <w:pPr>
              <w:pStyle w:val="5"/>
              <w:tabs>
                <w:tab w:val="left" w:pos="1134"/>
              </w:tabs>
              <w:ind w:firstLine="0"/>
              <w:rPr>
                <w:lang w:val="en-US" w:eastAsia="zh-CN"/>
              </w:rPr>
            </w:pPr>
            <w:r>
              <w:rPr>
                <w:lang w:val="en-US" w:eastAsia="zh-CN"/>
              </w:rPr>
              <w:t>1) Tabelul 1 de la Anexa nr. 1 va avea următorul cuprins: (</w:t>
            </w:r>
            <w:r>
              <w:rPr>
                <w:i/>
                <w:iCs/>
                <w:lang w:val="en-US" w:eastAsia="zh-CN"/>
              </w:rPr>
              <w:t>a se vedea Anexa nr. 1 la prezentul Tabel de concordanță</w:t>
            </w:r>
            <w:r>
              <w:rPr>
                <w:lang w:val="en-US" w:eastAsia="zh-CN"/>
              </w:rPr>
              <w:t>)</w:t>
            </w:r>
          </w:p>
          <w:p w14:paraId="60463D08">
            <w:pPr>
              <w:pStyle w:val="5"/>
              <w:tabs>
                <w:tab w:val="left" w:pos="1134"/>
              </w:tabs>
              <w:ind w:firstLine="0"/>
              <w:rPr>
                <w:lang w:val="en-US" w:eastAsia="zh-CN"/>
              </w:rPr>
            </w:pPr>
          </w:p>
          <w:p w14:paraId="76DC01B4">
            <w:pPr>
              <w:pStyle w:val="7"/>
              <w:jc w:val="center"/>
              <w:rPr>
                <w:rFonts w:ascii="Times New Roman" w:hAnsi="Times New Roman" w:cs="Times New Roman"/>
                <w:b/>
                <w:bCs/>
              </w:rPr>
            </w:pPr>
          </w:p>
        </w:tc>
        <w:tc>
          <w:tcPr>
            <w:tcW w:w="1440" w:type="dxa"/>
          </w:tcPr>
          <w:p w14:paraId="713A42A9">
            <w:pPr>
              <w:pStyle w:val="7"/>
              <w:rPr>
                <w:rFonts w:ascii="Times New Roman" w:hAnsi="Times New Roman" w:cs="Times New Roman"/>
                <w:b/>
                <w:bCs/>
              </w:rPr>
            </w:pPr>
            <w:r>
              <w:rPr>
                <w:rFonts w:ascii="Times New Roman" w:hAnsi="Times New Roman" w:cs="Times New Roman"/>
                <w:b/>
                <w:bCs/>
              </w:rPr>
              <w:t xml:space="preserve">Compatibil </w:t>
            </w:r>
          </w:p>
        </w:tc>
        <w:tc>
          <w:tcPr>
            <w:tcW w:w="2127" w:type="dxa"/>
          </w:tcPr>
          <w:p w14:paraId="631C395D">
            <w:pPr>
              <w:spacing w:after="0" w:line="240" w:lineRule="auto"/>
              <w:jc w:val="both"/>
              <w:rPr>
                <w:rFonts w:ascii="Times New Roman" w:hAnsi="Times New Roman" w:cs="Times New Roman"/>
                <w:b/>
                <w:sz w:val="24"/>
                <w:szCs w:val="24"/>
                <w:lang w:val="en-US"/>
              </w:rPr>
            </w:pPr>
            <w:r>
              <w:rPr>
                <w:rFonts w:ascii="Times New Roman" w:hAnsi="Times New Roman"/>
                <w:sz w:val="24"/>
                <w:szCs w:val="24"/>
                <w:lang w:val="ro-RO"/>
              </w:rPr>
              <w:t>Au fost excluse doar acele tipuri de combustibil care nu se utilizează pe teritoriul Republicii Moldova.</w:t>
            </w:r>
          </w:p>
        </w:tc>
        <w:tc>
          <w:tcPr>
            <w:tcW w:w="992" w:type="dxa"/>
          </w:tcPr>
          <w:p w14:paraId="4CD19B3F">
            <w:pPr>
              <w:spacing w:after="0" w:line="240" w:lineRule="auto"/>
              <w:rPr>
                <w:rFonts w:ascii="Times New Roman" w:hAnsi="Times New Roman" w:cs="Times New Roman"/>
                <w:b/>
                <w:sz w:val="24"/>
                <w:szCs w:val="24"/>
                <w:lang w:val="ro-RO"/>
              </w:rPr>
            </w:pPr>
          </w:p>
        </w:tc>
        <w:tc>
          <w:tcPr>
            <w:tcW w:w="1527" w:type="dxa"/>
          </w:tcPr>
          <w:p w14:paraId="203DA066">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14:paraId="3FE7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949" w:type="dxa"/>
            <w:gridSpan w:val="2"/>
          </w:tcPr>
          <w:p w14:paraId="0F1D2E0A">
            <w:pPr>
              <w:pStyle w:val="26"/>
              <w:shd w:val="clear" w:color="auto" w:fill="FFFFFF"/>
              <w:spacing w:before="0" w:beforeAutospacing="0" w:after="0" w:afterAutospacing="0"/>
              <w:jc w:val="center"/>
              <w:rPr>
                <w:b/>
                <w:bCs/>
                <w:i/>
                <w:iCs/>
                <w:color w:val="000000"/>
                <w:lang w:val="en-US"/>
              </w:rPr>
            </w:pPr>
            <w:r>
              <w:rPr>
                <w:b/>
                <w:bCs/>
                <w:i/>
                <w:iCs/>
                <w:color w:val="000000"/>
                <w:lang w:val="zh-CN"/>
              </w:rPr>
              <w:t>A</w:t>
            </w:r>
            <w:r>
              <w:rPr>
                <w:b/>
                <w:bCs/>
                <w:i/>
                <w:iCs/>
                <w:color w:val="000000"/>
                <w:lang w:val="en-US"/>
              </w:rPr>
              <w:t>NEXA II</w:t>
            </w:r>
          </w:p>
          <w:p w14:paraId="6D7BE07D">
            <w:pPr>
              <w:pStyle w:val="26"/>
              <w:shd w:val="clear" w:color="auto" w:fill="FFFFFF"/>
              <w:spacing w:before="0" w:beforeAutospacing="0" w:after="0" w:afterAutospacing="0"/>
              <w:jc w:val="center"/>
              <w:rPr>
                <w:b/>
                <w:bCs/>
                <w:i/>
                <w:iCs/>
                <w:color w:val="000000"/>
                <w:lang w:val="en-US"/>
              </w:rPr>
            </w:pPr>
            <w:r>
              <w:rPr>
                <w:b/>
                <w:bCs/>
                <w:i/>
                <w:iCs/>
                <w:color w:val="000000"/>
                <w:lang w:val="en-US"/>
              </w:rPr>
              <w:t>Valorile de referință armonizate ale randamentului pentru producția separată de energie termică</w:t>
            </w:r>
          </w:p>
          <w:p w14:paraId="446017B7">
            <w:pPr>
              <w:pStyle w:val="26"/>
              <w:shd w:val="clear" w:color="auto" w:fill="FFFFFF"/>
              <w:spacing w:before="0" w:beforeAutospacing="0" w:after="0" w:afterAutospacing="0"/>
              <w:jc w:val="center"/>
              <w:rPr>
                <w:b/>
                <w:bCs/>
                <w:i/>
                <w:iCs/>
                <w:color w:val="000000"/>
                <w:lang w:val="en-US"/>
              </w:rPr>
            </w:pPr>
            <w:r>
              <w:rPr>
                <w:b/>
                <w:bCs/>
                <w:i/>
                <w:iCs/>
                <w:color w:val="000000"/>
                <w:lang w:val="en-US"/>
              </w:rPr>
              <w:t>(menționate la articolul 1)</w:t>
            </w:r>
          </w:p>
          <w:p w14:paraId="357AAE82">
            <w:pPr>
              <w:pStyle w:val="23"/>
              <w:shd w:val="clear" w:color="auto" w:fill="FFFFFF"/>
              <w:spacing w:before="0" w:beforeAutospacing="0" w:after="0" w:afterAutospacing="0"/>
              <w:jc w:val="both"/>
              <w:rPr>
                <w:color w:val="000000"/>
                <w:lang w:val="en-US"/>
              </w:rPr>
            </w:pPr>
            <w:r>
              <w:rPr>
                <w:color w:val="000000"/>
                <w:lang w:val="en-US"/>
              </w:rPr>
              <w:t>În tabelul de mai jos, valorile de referință armonizate ale randamentului pentru producția separată de energie termică se bazează pe puterea calorifică netă și condițiile atmosferice ISO standard (temperatură ambiantă de 15 °C, 1,013 bari, umiditate relativă de 60 %):</w:t>
            </w:r>
          </w:p>
          <w:tbl>
            <w:tblPr>
              <w:tblStyle w:val="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51"/>
              <w:gridCol w:w="231"/>
              <w:gridCol w:w="1103"/>
              <w:gridCol w:w="316"/>
              <w:gridCol w:w="445"/>
              <w:gridCol w:w="583"/>
              <w:gridCol w:w="316"/>
              <w:gridCol w:w="445"/>
              <w:gridCol w:w="583"/>
              <w:gridCol w:w="316"/>
              <w:gridCol w:w="445"/>
              <w:gridCol w:w="583"/>
            </w:tblGrid>
            <w:tr w14:paraId="322E11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8"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Pr>
                <w:p w14:paraId="3E8581B3">
                  <w:pPr>
                    <w:pStyle w:val="27"/>
                    <w:spacing w:before="60" w:beforeAutospacing="0" w:after="60" w:afterAutospacing="0"/>
                    <w:ind w:right="195"/>
                    <w:jc w:val="center"/>
                    <w:rPr>
                      <w:b/>
                      <w:bCs/>
                    </w:rPr>
                  </w:pPr>
                  <w:r>
                    <w:rPr>
                      <w:b/>
                      <w:bCs/>
                    </w:rPr>
                    <w:t>Categorie</w:t>
                  </w:r>
                </w:p>
              </w:tc>
              <w:tc>
                <w:tcPr>
                  <w:tcW w:w="1901"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22CD8D04">
                  <w:pPr>
                    <w:pStyle w:val="27"/>
                    <w:spacing w:before="60" w:beforeAutospacing="0" w:after="60" w:afterAutospacing="0"/>
                    <w:ind w:right="195"/>
                    <w:jc w:val="center"/>
                    <w:rPr>
                      <w:b/>
                      <w:bCs/>
                    </w:rPr>
                  </w:pPr>
                  <w:r>
                    <w:rPr>
                      <w:b/>
                      <w:bCs/>
                    </w:rPr>
                    <w:t>Sursa de energie</w:t>
                  </w:r>
                </w:p>
              </w:tc>
              <w:tc>
                <w:tcPr>
                  <w:tcW w:w="6804" w:type="dxa"/>
                  <w:gridSpan w:val="9"/>
                  <w:tcBorders>
                    <w:top w:val="single" w:color="000000" w:sz="6" w:space="0"/>
                    <w:left w:val="single" w:color="000000" w:sz="6" w:space="0"/>
                    <w:bottom w:val="single" w:color="000000" w:sz="6" w:space="0"/>
                    <w:right w:val="single" w:color="000000" w:sz="6" w:space="0"/>
                  </w:tcBorders>
                  <w:shd w:val="clear" w:color="auto" w:fill="auto"/>
                </w:tcPr>
                <w:p w14:paraId="42A795E4">
                  <w:pPr>
                    <w:pStyle w:val="27"/>
                    <w:spacing w:before="60" w:beforeAutospacing="0" w:after="60" w:afterAutospacing="0"/>
                    <w:ind w:right="195"/>
                    <w:jc w:val="center"/>
                    <w:rPr>
                      <w:b/>
                      <w:bCs/>
                    </w:rPr>
                  </w:pPr>
                  <w:r>
                    <w:rPr>
                      <w:b/>
                      <w:bCs/>
                    </w:rPr>
                    <w:t>Anul construcției</w:t>
                  </w:r>
                </w:p>
              </w:tc>
            </w:tr>
            <w:tr w14:paraId="0D105C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8"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C658574">
                  <w:pPr>
                    <w:rPr>
                      <w:rFonts w:ascii="Times New Roman" w:hAnsi="Times New Roman" w:cs="Times New Roman"/>
                      <w:b/>
                      <w:bCs/>
                      <w:sz w:val="24"/>
                      <w:szCs w:val="24"/>
                    </w:rPr>
                  </w:pPr>
                </w:p>
              </w:tc>
              <w:tc>
                <w:tcPr>
                  <w:tcW w:w="190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DBD8470">
                  <w:pPr>
                    <w:rPr>
                      <w:rFonts w:ascii="Times New Roman" w:hAnsi="Times New Roman" w:cs="Times New Roman"/>
                      <w:b/>
                      <w:bCs/>
                      <w:sz w:val="24"/>
                      <w:szCs w:val="24"/>
                    </w:rPr>
                  </w:pPr>
                </w:p>
              </w:tc>
              <w:tc>
                <w:tcPr>
                  <w:tcW w:w="2268" w:type="dxa"/>
                  <w:gridSpan w:val="3"/>
                  <w:tcBorders>
                    <w:top w:val="single" w:color="000000" w:sz="6" w:space="0"/>
                    <w:left w:val="single" w:color="000000" w:sz="6" w:space="0"/>
                    <w:bottom w:val="single" w:color="000000" w:sz="6" w:space="0"/>
                    <w:right w:val="single" w:color="000000" w:sz="6" w:space="0"/>
                  </w:tcBorders>
                  <w:shd w:val="clear" w:color="auto" w:fill="auto"/>
                </w:tcPr>
                <w:p w14:paraId="7A8E9998">
                  <w:pPr>
                    <w:pStyle w:val="27"/>
                    <w:spacing w:before="60" w:beforeAutospacing="0" w:after="60" w:afterAutospacing="0"/>
                    <w:ind w:right="195"/>
                    <w:jc w:val="center"/>
                    <w:rPr>
                      <w:b/>
                      <w:bCs/>
                    </w:rPr>
                  </w:pPr>
                  <w:r>
                    <w:rPr>
                      <w:b/>
                      <w:bCs/>
                    </w:rPr>
                    <w:t>Înainte de 2016</w:t>
                  </w:r>
                </w:p>
              </w:tc>
              <w:tc>
                <w:tcPr>
                  <w:tcW w:w="2268" w:type="dxa"/>
                  <w:gridSpan w:val="3"/>
                  <w:tcBorders>
                    <w:top w:val="single" w:color="000000" w:sz="6" w:space="0"/>
                    <w:left w:val="single" w:color="000000" w:sz="6" w:space="0"/>
                    <w:bottom w:val="single" w:color="000000" w:sz="6" w:space="0"/>
                    <w:right w:val="single" w:color="000000" w:sz="6" w:space="0"/>
                  </w:tcBorders>
                  <w:shd w:val="clear" w:color="auto" w:fill="auto"/>
                </w:tcPr>
                <w:p w14:paraId="4BA76569">
                  <w:pPr>
                    <w:pStyle w:val="27"/>
                    <w:spacing w:before="60" w:beforeAutospacing="0" w:after="60" w:afterAutospacing="0"/>
                    <w:ind w:right="195"/>
                    <w:jc w:val="center"/>
                    <w:rPr>
                      <w:b/>
                      <w:bCs/>
                    </w:rPr>
                  </w:pPr>
                  <w:r>
                    <w:rPr>
                      <w:b/>
                      <w:bCs/>
                    </w:rPr>
                    <w:t>2016-2023</w:t>
                  </w:r>
                </w:p>
              </w:tc>
              <w:tc>
                <w:tcPr>
                  <w:tcW w:w="2268" w:type="dxa"/>
                  <w:gridSpan w:val="3"/>
                  <w:tcBorders>
                    <w:top w:val="single" w:color="000000" w:sz="6" w:space="0"/>
                    <w:left w:val="single" w:color="000000" w:sz="6" w:space="0"/>
                    <w:bottom w:val="single" w:color="000000" w:sz="6" w:space="0"/>
                    <w:right w:val="single" w:color="000000" w:sz="6" w:space="0"/>
                  </w:tcBorders>
                  <w:shd w:val="clear" w:color="auto" w:fill="auto"/>
                </w:tcPr>
                <w:p w14:paraId="6FEA5D76">
                  <w:pPr>
                    <w:pStyle w:val="27"/>
                    <w:spacing w:before="60" w:beforeAutospacing="0" w:after="60" w:afterAutospacing="0"/>
                    <w:ind w:right="195"/>
                    <w:jc w:val="center"/>
                    <w:rPr>
                      <w:b/>
                      <w:bCs/>
                    </w:rPr>
                  </w:pPr>
                  <w:r>
                    <w:rPr>
                      <w:b/>
                      <w:bCs/>
                    </w:rPr>
                    <w:t>Începând cu 2024</w:t>
                  </w:r>
                </w:p>
              </w:tc>
            </w:tr>
            <w:tr w14:paraId="70A8A9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68"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7B66C15">
                  <w:pPr>
                    <w:rPr>
                      <w:rFonts w:ascii="Times New Roman" w:hAnsi="Times New Roman" w:cs="Times New Roman"/>
                      <w:b/>
                      <w:bCs/>
                      <w:sz w:val="24"/>
                      <w:szCs w:val="24"/>
                    </w:rPr>
                  </w:pPr>
                </w:p>
              </w:tc>
              <w:tc>
                <w:tcPr>
                  <w:tcW w:w="1901"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C5D3B18">
                  <w:pPr>
                    <w:rPr>
                      <w:rFonts w:ascii="Times New Roman" w:hAnsi="Times New Roman" w:cs="Times New Roman"/>
                      <w:b/>
                      <w:bCs/>
                      <w:sz w:val="24"/>
                      <w:szCs w:val="24"/>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5FB0DCE9">
                  <w:pPr>
                    <w:pStyle w:val="27"/>
                    <w:spacing w:before="60" w:beforeAutospacing="0" w:after="60" w:afterAutospacing="0"/>
                    <w:ind w:right="195"/>
                    <w:jc w:val="center"/>
                    <w:rPr>
                      <w:b/>
                      <w:bCs/>
                    </w:rPr>
                  </w:pPr>
                  <w:r>
                    <w:rPr>
                      <w:b/>
                      <w:bCs/>
                    </w:rPr>
                    <w:t>Apă caldă</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F17C4A4">
                  <w:pPr>
                    <w:pStyle w:val="27"/>
                    <w:spacing w:before="60" w:beforeAutospacing="0" w:after="60" w:afterAutospacing="0"/>
                    <w:ind w:right="195"/>
                    <w:jc w:val="center"/>
                    <w:rPr>
                      <w:b/>
                      <w:bCs/>
                    </w:rPr>
                  </w:pPr>
                  <w:r>
                    <w:rPr>
                      <w:b/>
                      <w:bCs/>
                    </w:rPr>
                    <w:t>Aburi</w:t>
                  </w:r>
                  <w:r>
                    <w:fldChar w:fldCharType="begin"/>
                  </w:r>
                  <w:r>
                    <w:instrText xml:space="preserve"> HYPERLINK "https://eur-lex.europa.eu/legal-content/RO/TXT/HTML/?uri=OJ:L_202302104" \l "ntr3-L_202302104RO.000501-E0001" </w:instrText>
                  </w:r>
                  <w:r>
                    <w:fldChar w:fldCharType="separate"/>
                  </w:r>
                  <w:r>
                    <w:rPr>
                      <w:rStyle w:val="4"/>
                      <w:b/>
                      <w:bCs/>
                      <w:color w:val="337AB7"/>
                    </w:rPr>
                    <w:t> (</w:t>
                  </w:r>
                  <w:r>
                    <w:rPr>
                      <w:rStyle w:val="31"/>
                      <w:b/>
                      <w:bCs/>
                      <w:color w:val="337AB7"/>
                      <w:vertAlign w:val="superscript"/>
                    </w:rPr>
                    <w:t>3</w:t>
                  </w:r>
                  <w:r>
                    <w:rPr>
                      <w:rStyle w:val="4"/>
                      <w:b/>
                      <w:bCs/>
                      <w:color w:val="337AB7"/>
                    </w:rPr>
                    <w:t>)</w:t>
                  </w:r>
                  <w:r>
                    <w:rPr>
                      <w:rStyle w:val="4"/>
                      <w:b/>
                      <w:bCs/>
                      <w:color w:val="337AB7"/>
                    </w:rPr>
                    <w:fldChar w:fldCharType="end"/>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DDF93ED">
                  <w:pPr>
                    <w:pStyle w:val="27"/>
                    <w:spacing w:before="60" w:beforeAutospacing="0" w:after="60" w:afterAutospacing="0"/>
                    <w:ind w:right="195"/>
                    <w:jc w:val="center"/>
                    <w:rPr>
                      <w:b/>
                      <w:bCs/>
                    </w:rPr>
                  </w:pPr>
                  <w:r>
                    <w:rPr>
                      <w:b/>
                      <w:bCs/>
                    </w:rPr>
                    <w:t>Utilizarea directă a gazelor de evacuare</w:t>
                  </w:r>
                  <w:r>
                    <w:fldChar w:fldCharType="begin"/>
                  </w:r>
                  <w:r>
                    <w:instrText xml:space="preserve"> HYPERLINK "https://eur-lex.europa.eu/legal-content/RO/TXT/HTML/?uri=OJ:L_202302104" \l "ntr4-L_202302104RO.000501-E0002" </w:instrText>
                  </w:r>
                  <w:r>
                    <w:fldChar w:fldCharType="separate"/>
                  </w:r>
                  <w:r>
                    <w:rPr>
                      <w:rStyle w:val="4"/>
                      <w:b/>
                      <w:bCs/>
                      <w:color w:val="337AB7"/>
                    </w:rPr>
                    <w:t> (</w:t>
                  </w:r>
                  <w:r>
                    <w:rPr>
                      <w:rStyle w:val="31"/>
                      <w:b/>
                      <w:bCs/>
                      <w:color w:val="337AB7"/>
                      <w:vertAlign w:val="superscript"/>
                    </w:rPr>
                    <w:t>4</w:t>
                  </w:r>
                  <w:r>
                    <w:rPr>
                      <w:rStyle w:val="4"/>
                      <w:b/>
                      <w:bCs/>
                      <w:color w:val="337AB7"/>
                    </w:rPr>
                    <w:t>)</w:t>
                  </w:r>
                  <w:r>
                    <w:rPr>
                      <w:rStyle w:val="4"/>
                      <w:b/>
                      <w:bCs/>
                      <w:color w:val="337AB7"/>
                    </w:rPr>
                    <w:fldChar w:fldCharType="end"/>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53AEED3">
                  <w:pPr>
                    <w:pStyle w:val="27"/>
                    <w:spacing w:before="60" w:beforeAutospacing="0" w:after="60" w:afterAutospacing="0"/>
                    <w:ind w:right="195"/>
                    <w:jc w:val="center"/>
                    <w:rPr>
                      <w:b/>
                      <w:bCs/>
                    </w:rPr>
                  </w:pPr>
                  <w:r>
                    <w:rPr>
                      <w:b/>
                      <w:bCs/>
                    </w:rPr>
                    <w:t>Apă caldă</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0E8D4B8">
                  <w:pPr>
                    <w:pStyle w:val="27"/>
                    <w:spacing w:before="60" w:beforeAutospacing="0" w:after="60" w:afterAutospacing="0"/>
                    <w:ind w:right="195"/>
                    <w:jc w:val="center"/>
                    <w:rPr>
                      <w:b/>
                      <w:bCs/>
                    </w:rPr>
                  </w:pPr>
                  <w:r>
                    <w:rPr>
                      <w:b/>
                      <w:bCs/>
                    </w:rPr>
                    <w:t>Aburi</w:t>
                  </w:r>
                  <w:r>
                    <w:fldChar w:fldCharType="begin"/>
                  </w:r>
                  <w:r>
                    <w:instrText xml:space="preserve"> HYPERLINK "https://eur-lex.europa.eu/legal-content/RO/TXT/HTML/?uri=OJ:L_202302104" \l "ntr3-L_202302104RO.000501-E0001" </w:instrText>
                  </w:r>
                  <w:r>
                    <w:fldChar w:fldCharType="separate"/>
                  </w:r>
                  <w:r>
                    <w:rPr>
                      <w:rStyle w:val="4"/>
                      <w:b/>
                      <w:bCs/>
                      <w:color w:val="337AB7"/>
                    </w:rPr>
                    <w:t> (</w:t>
                  </w:r>
                  <w:r>
                    <w:rPr>
                      <w:rStyle w:val="31"/>
                      <w:b/>
                      <w:bCs/>
                      <w:color w:val="337AB7"/>
                      <w:vertAlign w:val="superscript"/>
                    </w:rPr>
                    <w:t>3</w:t>
                  </w:r>
                  <w:r>
                    <w:rPr>
                      <w:rStyle w:val="4"/>
                      <w:b/>
                      <w:bCs/>
                      <w:color w:val="337AB7"/>
                    </w:rPr>
                    <w:t>)</w:t>
                  </w:r>
                  <w:r>
                    <w:rPr>
                      <w:rStyle w:val="4"/>
                      <w:b/>
                      <w:bCs/>
                      <w:color w:val="337AB7"/>
                    </w:rPr>
                    <w:fldChar w:fldCharType="end"/>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F3555EE">
                  <w:pPr>
                    <w:pStyle w:val="27"/>
                    <w:spacing w:before="60" w:beforeAutospacing="0" w:after="60" w:afterAutospacing="0"/>
                    <w:ind w:right="195"/>
                    <w:jc w:val="center"/>
                    <w:rPr>
                      <w:b/>
                      <w:bCs/>
                    </w:rPr>
                  </w:pPr>
                  <w:r>
                    <w:rPr>
                      <w:b/>
                      <w:bCs/>
                    </w:rPr>
                    <w:t>Utilizarea directă a gazelor de evacuare</w:t>
                  </w:r>
                  <w:r>
                    <w:fldChar w:fldCharType="begin"/>
                  </w:r>
                  <w:r>
                    <w:instrText xml:space="preserve"> HYPERLINK "https://eur-lex.europa.eu/legal-content/RO/TXT/HTML/?uri=OJ:L_202302104" \l "ntr4-L_202302104RO.000501-E0002" </w:instrText>
                  </w:r>
                  <w:r>
                    <w:fldChar w:fldCharType="separate"/>
                  </w:r>
                  <w:r>
                    <w:rPr>
                      <w:rStyle w:val="4"/>
                      <w:b/>
                      <w:bCs/>
                      <w:color w:val="337AB7"/>
                    </w:rPr>
                    <w:t> (</w:t>
                  </w:r>
                  <w:r>
                    <w:rPr>
                      <w:rStyle w:val="31"/>
                      <w:b/>
                      <w:bCs/>
                      <w:color w:val="337AB7"/>
                      <w:vertAlign w:val="superscript"/>
                    </w:rPr>
                    <w:t>4</w:t>
                  </w:r>
                  <w:r>
                    <w:rPr>
                      <w:rStyle w:val="4"/>
                      <w:b/>
                      <w:bCs/>
                      <w:color w:val="337AB7"/>
                    </w:rPr>
                    <w:t>)</w:t>
                  </w:r>
                  <w:r>
                    <w:rPr>
                      <w:rStyle w:val="4"/>
                      <w:b/>
                      <w:bCs/>
                      <w:color w:val="337AB7"/>
                    </w:rPr>
                    <w:fldChar w:fldCharType="end"/>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6C2E896A">
                  <w:pPr>
                    <w:pStyle w:val="27"/>
                    <w:spacing w:before="60" w:beforeAutospacing="0" w:after="60" w:afterAutospacing="0"/>
                    <w:ind w:right="195"/>
                    <w:jc w:val="center"/>
                    <w:rPr>
                      <w:b/>
                      <w:bCs/>
                    </w:rPr>
                  </w:pPr>
                  <w:r>
                    <w:rPr>
                      <w:b/>
                      <w:bCs/>
                    </w:rPr>
                    <w:t>Apă caldă</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05A8E62">
                  <w:pPr>
                    <w:pStyle w:val="27"/>
                    <w:spacing w:before="60" w:beforeAutospacing="0" w:after="60" w:afterAutospacing="0"/>
                    <w:ind w:right="195"/>
                    <w:jc w:val="center"/>
                    <w:rPr>
                      <w:b/>
                      <w:bCs/>
                    </w:rPr>
                  </w:pPr>
                  <w:r>
                    <w:rPr>
                      <w:b/>
                      <w:bCs/>
                    </w:rPr>
                    <w:t>Aburi</w:t>
                  </w:r>
                  <w:r>
                    <w:fldChar w:fldCharType="begin"/>
                  </w:r>
                  <w:r>
                    <w:instrText xml:space="preserve"> HYPERLINK "https://eur-lex.europa.eu/legal-content/RO/TXT/HTML/?uri=OJ:L_202302104" \l "ntr3-L_202302104RO.000501-E0001" </w:instrText>
                  </w:r>
                  <w:r>
                    <w:fldChar w:fldCharType="separate"/>
                  </w:r>
                  <w:r>
                    <w:rPr>
                      <w:rStyle w:val="4"/>
                      <w:b/>
                      <w:bCs/>
                      <w:color w:val="337AB7"/>
                    </w:rPr>
                    <w:t> (</w:t>
                  </w:r>
                  <w:r>
                    <w:rPr>
                      <w:rStyle w:val="31"/>
                      <w:b/>
                      <w:bCs/>
                      <w:color w:val="337AB7"/>
                      <w:vertAlign w:val="superscript"/>
                    </w:rPr>
                    <w:t>3</w:t>
                  </w:r>
                  <w:r>
                    <w:rPr>
                      <w:rStyle w:val="4"/>
                      <w:b/>
                      <w:bCs/>
                      <w:color w:val="337AB7"/>
                    </w:rPr>
                    <w:t>)</w:t>
                  </w:r>
                  <w:r>
                    <w:rPr>
                      <w:rStyle w:val="4"/>
                      <w:b/>
                      <w:bCs/>
                      <w:color w:val="337AB7"/>
                    </w:rPr>
                    <w:fldChar w:fldCharType="end"/>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D152E94">
                  <w:pPr>
                    <w:pStyle w:val="27"/>
                    <w:spacing w:before="60" w:beforeAutospacing="0" w:after="60" w:afterAutospacing="0"/>
                    <w:ind w:right="195"/>
                    <w:jc w:val="center"/>
                    <w:rPr>
                      <w:b/>
                      <w:bCs/>
                    </w:rPr>
                  </w:pPr>
                  <w:r>
                    <w:rPr>
                      <w:b/>
                      <w:bCs/>
                    </w:rPr>
                    <w:t>Utilizarea directă a gazelor de evacuare</w:t>
                  </w:r>
                  <w:r>
                    <w:fldChar w:fldCharType="begin"/>
                  </w:r>
                  <w:r>
                    <w:instrText xml:space="preserve"> HYPERLINK "https://eur-lex.europa.eu/legal-content/RO/TXT/HTML/?uri=OJ:L_202302104" \l "ntr4-L_202302104RO.000501-E0002" </w:instrText>
                  </w:r>
                  <w:r>
                    <w:fldChar w:fldCharType="separate"/>
                  </w:r>
                  <w:r>
                    <w:rPr>
                      <w:rStyle w:val="4"/>
                      <w:b/>
                      <w:bCs/>
                      <w:color w:val="337AB7"/>
                    </w:rPr>
                    <w:t> (</w:t>
                  </w:r>
                  <w:r>
                    <w:rPr>
                      <w:rStyle w:val="31"/>
                      <w:b/>
                      <w:bCs/>
                      <w:color w:val="337AB7"/>
                      <w:vertAlign w:val="superscript"/>
                    </w:rPr>
                    <w:t>4</w:t>
                  </w:r>
                  <w:r>
                    <w:rPr>
                      <w:rStyle w:val="4"/>
                      <w:b/>
                      <w:bCs/>
                      <w:color w:val="337AB7"/>
                    </w:rPr>
                    <w:t>)</w:t>
                  </w:r>
                  <w:r>
                    <w:rPr>
                      <w:rStyle w:val="4"/>
                      <w:b/>
                      <w:bCs/>
                      <w:color w:val="337AB7"/>
                    </w:rPr>
                    <w:fldChar w:fldCharType="end"/>
                  </w:r>
                </w:p>
              </w:tc>
            </w:tr>
            <w:tr w14:paraId="7104A7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117F3783">
                  <w:pPr>
                    <w:pStyle w:val="28"/>
                    <w:spacing w:before="60" w:beforeAutospacing="0" w:after="60" w:afterAutospacing="0"/>
                  </w:pPr>
                  <w:r>
                    <w:rPr>
                      <w:rStyle w:val="29"/>
                      <w:b/>
                      <w:bCs/>
                    </w:rPr>
                    <w:t>Solide</w:t>
                  </w: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588169D7">
                  <w:pPr>
                    <w:pStyle w:val="28"/>
                    <w:spacing w:before="60" w:beforeAutospacing="0" w:after="60" w:afterAutospacing="0"/>
                  </w:pPr>
                  <w:r>
                    <w:t>S1</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77C6415B">
                  <w:pPr>
                    <w:pStyle w:val="28"/>
                    <w:spacing w:before="60" w:beforeAutospacing="0" w:after="60" w:afterAutospacing="0"/>
                  </w:pPr>
                  <w:r>
                    <w:t>Cărbune superior, inclusiv antracit, cărbune bituminos, cărbune sub-bituminos, cocs, semicocs, cocs de petrol</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BC6419D">
                  <w:pPr>
                    <w:pStyle w:val="30"/>
                    <w:spacing w:before="60" w:beforeAutospacing="0" w:after="60" w:afterAutospacing="0"/>
                    <w:ind w:right="195"/>
                    <w:jc w:val="right"/>
                  </w:pPr>
                  <w:r>
                    <w:t>88</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4FCFD9C2">
                  <w:pPr>
                    <w:pStyle w:val="30"/>
                    <w:spacing w:before="60" w:beforeAutospacing="0" w:after="60" w:afterAutospacing="0"/>
                    <w:ind w:right="195"/>
                    <w:jc w:val="right"/>
                  </w:pPr>
                  <w:r>
                    <w:t>83</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73E1CA61">
                  <w:pPr>
                    <w:pStyle w:val="30"/>
                    <w:spacing w:before="60" w:beforeAutospacing="0" w:after="60" w:afterAutospacing="0"/>
                    <w:ind w:right="195"/>
                    <w:jc w:val="right"/>
                  </w:pPr>
                  <w:r>
                    <w:t>80</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81DE273">
                  <w:pPr>
                    <w:pStyle w:val="30"/>
                    <w:spacing w:before="60" w:beforeAutospacing="0" w:after="60" w:afterAutospacing="0"/>
                    <w:ind w:right="195"/>
                    <w:jc w:val="right"/>
                  </w:pPr>
                  <w:r>
                    <w:t>88</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D852F50">
                  <w:pPr>
                    <w:pStyle w:val="30"/>
                    <w:spacing w:before="60" w:beforeAutospacing="0" w:after="60" w:afterAutospacing="0"/>
                    <w:ind w:right="195"/>
                    <w:jc w:val="right"/>
                  </w:pPr>
                  <w:r>
                    <w:t>83</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29751297">
                  <w:pPr>
                    <w:pStyle w:val="30"/>
                    <w:spacing w:before="60" w:beforeAutospacing="0" w:after="60" w:afterAutospacing="0"/>
                    <w:ind w:right="195"/>
                    <w:jc w:val="right"/>
                  </w:pPr>
                  <w:r>
                    <w:t>80</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B56EE85">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2109189E">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750236FE">
                  <w:pPr>
                    <w:pStyle w:val="30"/>
                    <w:spacing w:before="60" w:beforeAutospacing="0" w:after="60" w:afterAutospacing="0"/>
                    <w:ind w:right="195"/>
                    <w:jc w:val="right"/>
                  </w:pPr>
                  <w:r>
                    <w:t>84</w:t>
                  </w:r>
                </w:p>
              </w:tc>
            </w:tr>
            <w:tr w14:paraId="6017C0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A89BCCB">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711CA98F">
                  <w:pPr>
                    <w:pStyle w:val="28"/>
                    <w:spacing w:before="60" w:beforeAutospacing="0" w:after="60" w:afterAutospacing="0"/>
                  </w:pPr>
                  <w:r>
                    <w:t>S2</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73A1CFC7">
                  <w:pPr>
                    <w:pStyle w:val="28"/>
                    <w:spacing w:before="60" w:beforeAutospacing="0" w:after="60" w:afterAutospacing="0"/>
                  </w:pPr>
                  <w:r>
                    <w:t>Lignit, brichete de lignit, șisturi bituminoase</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21ACF6D0">
                  <w:pPr>
                    <w:pStyle w:val="30"/>
                    <w:spacing w:before="60" w:beforeAutospacing="0" w:after="60" w:afterAutospacing="0"/>
                    <w:ind w:right="195"/>
                    <w:jc w:val="right"/>
                  </w:pPr>
                  <w:r>
                    <w:t>86</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0385443C">
                  <w:pPr>
                    <w:pStyle w:val="30"/>
                    <w:spacing w:before="60" w:beforeAutospacing="0" w:after="60" w:afterAutospacing="0"/>
                    <w:ind w:right="195"/>
                    <w:jc w:val="right"/>
                  </w:pPr>
                  <w:r>
                    <w:t>81</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2A976DE4">
                  <w:pPr>
                    <w:pStyle w:val="30"/>
                    <w:spacing w:before="60" w:beforeAutospacing="0" w:after="60" w:afterAutospacing="0"/>
                    <w:ind w:right="195"/>
                    <w:jc w:val="right"/>
                  </w:pPr>
                  <w:r>
                    <w:t>78</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E5F913B">
                  <w:pPr>
                    <w:pStyle w:val="30"/>
                    <w:spacing w:before="60" w:beforeAutospacing="0" w:after="60" w:afterAutospacing="0"/>
                    <w:ind w:right="195"/>
                    <w:jc w:val="right"/>
                  </w:pPr>
                  <w:r>
                    <w:t>86</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03535044">
                  <w:pPr>
                    <w:pStyle w:val="30"/>
                    <w:spacing w:before="60" w:beforeAutospacing="0" w:after="60" w:afterAutospacing="0"/>
                    <w:ind w:right="195"/>
                    <w:jc w:val="right"/>
                  </w:pPr>
                  <w:r>
                    <w:t>81</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2E3AED49">
                  <w:pPr>
                    <w:pStyle w:val="30"/>
                    <w:spacing w:before="60" w:beforeAutospacing="0" w:after="60" w:afterAutospacing="0"/>
                    <w:ind w:right="195"/>
                    <w:jc w:val="right"/>
                  </w:pPr>
                  <w:r>
                    <w:t>78</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25ADE649">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B68440E">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A079625">
                  <w:pPr>
                    <w:pStyle w:val="30"/>
                    <w:spacing w:before="60" w:beforeAutospacing="0" w:after="60" w:afterAutospacing="0"/>
                    <w:ind w:right="195"/>
                    <w:jc w:val="right"/>
                  </w:pPr>
                  <w:r>
                    <w:t>84</w:t>
                  </w:r>
                </w:p>
              </w:tc>
            </w:tr>
            <w:tr w14:paraId="22F160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A49EE73">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514D78CF">
                  <w:pPr>
                    <w:pStyle w:val="28"/>
                    <w:spacing w:before="60" w:beforeAutospacing="0" w:after="60" w:afterAutospacing="0"/>
                  </w:pPr>
                  <w:r>
                    <w:t>S3</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24207E88">
                  <w:pPr>
                    <w:pStyle w:val="28"/>
                    <w:spacing w:before="60" w:beforeAutospacing="0" w:after="60" w:afterAutospacing="0"/>
                  </w:pPr>
                  <w:r>
                    <w:t>Turbă, brichete de turbă</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DA2FF60">
                  <w:pPr>
                    <w:pStyle w:val="30"/>
                    <w:spacing w:before="60" w:beforeAutospacing="0" w:after="60" w:afterAutospacing="0"/>
                    <w:ind w:right="195"/>
                    <w:jc w:val="right"/>
                  </w:pPr>
                  <w:r>
                    <w:t>86</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412BC2CB">
                  <w:pPr>
                    <w:pStyle w:val="30"/>
                    <w:spacing w:before="60" w:beforeAutospacing="0" w:after="60" w:afterAutospacing="0"/>
                    <w:ind w:right="195"/>
                    <w:jc w:val="right"/>
                  </w:pPr>
                  <w:r>
                    <w:t>81</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6DCB312">
                  <w:pPr>
                    <w:pStyle w:val="30"/>
                    <w:spacing w:before="60" w:beforeAutospacing="0" w:after="60" w:afterAutospacing="0"/>
                    <w:ind w:right="195"/>
                    <w:jc w:val="right"/>
                  </w:pPr>
                  <w:r>
                    <w:t>78</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1BCEA4C4">
                  <w:pPr>
                    <w:pStyle w:val="30"/>
                    <w:spacing w:before="60" w:beforeAutospacing="0" w:after="60" w:afterAutospacing="0"/>
                    <w:ind w:right="195"/>
                    <w:jc w:val="right"/>
                  </w:pPr>
                  <w:r>
                    <w:t>86</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193A3E8">
                  <w:pPr>
                    <w:pStyle w:val="30"/>
                    <w:spacing w:before="60" w:beforeAutospacing="0" w:after="60" w:afterAutospacing="0"/>
                    <w:ind w:right="195"/>
                    <w:jc w:val="right"/>
                  </w:pPr>
                  <w:r>
                    <w:t>81</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7803D7AA">
                  <w:pPr>
                    <w:pStyle w:val="30"/>
                    <w:spacing w:before="60" w:beforeAutospacing="0" w:after="60" w:afterAutospacing="0"/>
                    <w:ind w:right="195"/>
                    <w:jc w:val="right"/>
                  </w:pPr>
                  <w:r>
                    <w:t>78</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46759389">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27A9D57F">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970441A">
                  <w:pPr>
                    <w:pStyle w:val="30"/>
                    <w:spacing w:before="60" w:beforeAutospacing="0" w:after="60" w:afterAutospacing="0"/>
                    <w:ind w:right="195"/>
                    <w:jc w:val="right"/>
                  </w:pPr>
                  <w:r>
                    <w:t>84</w:t>
                  </w:r>
                </w:p>
              </w:tc>
            </w:tr>
            <w:tr w14:paraId="7F9F4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111E986">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47388D86">
                  <w:pPr>
                    <w:pStyle w:val="28"/>
                    <w:spacing w:before="60" w:beforeAutospacing="0" w:after="60" w:afterAutospacing="0"/>
                  </w:pPr>
                  <w:r>
                    <w:t>S4</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5F9A3155">
                  <w:pPr>
                    <w:pStyle w:val="28"/>
                    <w:spacing w:before="60" w:beforeAutospacing="0" w:after="60" w:afterAutospacing="0"/>
                  </w:pPr>
                  <w:r>
                    <w:t>Biomasă uscată, inclusiv lemn și alte tipuri de biomasă solidă, inclusiv brichete și pelete de lemn, așchii de lemn uscate, deșeuri de lemn curate și uscate, coji de nuci și sâmburi de măsline și de alte drupe</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9637A0C">
                  <w:pPr>
                    <w:pStyle w:val="30"/>
                    <w:spacing w:before="60" w:beforeAutospacing="0" w:after="60" w:afterAutospacing="0"/>
                    <w:ind w:right="195"/>
                    <w:jc w:val="right"/>
                  </w:pPr>
                  <w:r>
                    <w:t>86</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84DF4FA">
                  <w:pPr>
                    <w:pStyle w:val="30"/>
                    <w:spacing w:before="60" w:beforeAutospacing="0" w:after="60" w:afterAutospacing="0"/>
                    <w:ind w:right="195"/>
                    <w:jc w:val="right"/>
                  </w:pPr>
                  <w:r>
                    <w:t>81</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21BBF3C3">
                  <w:pPr>
                    <w:pStyle w:val="30"/>
                    <w:spacing w:before="60" w:beforeAutospacing="0" w:after="60" w:afterAutospacing="0"/>
                    <w:ind w:right="195"/>
                    <w:jc w:val="right"/>
                  </w:pPr>
                  <w:r>
                    <w:t>78</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42834A9E">
                  <w:pPr>
                    <w:pStyle w:val="30"/>
                    <w:spacing w:before="60" w:beforeAutospacing="0" w:after="60" w:afterAutospacing="0"/>
                    <w:ind w:right="195"/>
                    <w:jc w:val="right"/>
                  </w:pPr>
                  <w:r>
                    <w:t>86</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41D273E1">
                  <w:pPr>
                    <w:pStyle w:val="30"/>
                    <w:spacing w:before="60" w:beforeAutospacing="0" w:after="60" w:afterAutospacing="0"/>
                    <w:ind w:right="195"/>
                    <w:jc w:val="right"/>
                  </w:pPr>
                  <w:r>
                    <w:t>81</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1B44878">
                  <w:pPr>
                    <w:pStyle w:val="30"/>
                    <w:spacing w:before="60" w:beforeAutospacing="0" w:after="60" w:afterAutospacing="0"/>
                    <w:ind w:right="195"/>
                    <w:jc w:val="right"/>
                  </w:pPr>
                  <w:r>
                    <w:t>78</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C4CF33E">
                  <w:pPr>
                    <w:pStyle w:val="30"/>
                    <w:spacing w:before="60" w:beforeAutospacing="0" w:after="60" w:afterAutospacing="0"/>
                    <w:ind w:right="195"/>
                    <w:jc w:val="right"/>
                  </w:pPr>
                  <w:r>
                    <w:t>86</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F1C6E95">
                  <w:pPr>
                    <w:pStyle w:val="30"/>
                    <w:spacing w:before="60" w:beforeAutospacing="0" w:after="60" w:afterAutospacing="0"/>
                    <w:ind w:right="195"/>
                    <w:jc w:val="right"/>
                  </w:pPr>
                  <w:r>
                    <w:t>81</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0CB3AE6">
                  <w:pPr>
                    <w:pStyle w:val="30"/>
                    <w:spacing w:before="60" w:beforeAutospacing="0" w:after="60" w:afterAutospacing="0"/>
                    <w:ind w:right="195"/>
                    <w:jc w:val="right"/>
                  </w:pPr>
                  <w:r>
                    <w:t>78</w:t>
                  </w:r>
                </w:p>
              </w:tc>
            </w:tr>
            <w:tr w14:paraId="48385E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D175502">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2324F762">
                  <w:pPr>
                    <w:pStyle w:val="28"/>
                    <w:spacing w:before="60" w:beforeAutospacing="0" w:after="60" w:afterAutospacing="0"/>
                  </w:pPr>
                  <w:r>
                    <w:t>S5</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5C333348">
                  <w:pPr>
                    <w:pStyle w:val="28"/>
                    <w:spacing w:before="60" w:beforeAutospacing="0" w:after="60" w:afterAutospacing="0"/>
                  </w:pPr>
                  <w:r>
                    <w:t>Alte tipuri de biomasă solidă, inclusiv toate tipurile de lemn neincluse în categoria S4, precum și leșia neagră și leșia cu sulfit.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3433257">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3EEFDA3">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72851B5F">
                  <w:pPr>
                    <w:pStyle w:val="30"/>
                    <w:spacing w:before="60" w:beforeAutospacing="0" w:after="60" w:afterAutospacing="0"/>
                    <w:ind w:right="195"/>
                    <w:jc w:val="right"/>
                  </w:pPr>
                  <w:r>
                    <w:t>72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7777FE73">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1697431">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559B63BA">
                  <w:pPr>
                    <w:pStyle w:val="30"/>
                    <w:spacing w:before="60" w:beforeAutospacing="0" w:after="60" w:afterAutospacing="0"/>
                    <w:ind w:right="195"/>
                    <w:jc w:val="right"/>
                  </w:pPr>
                  <w:r>
                    <w:t>72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454DADF0">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016A215">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F54EDED">
                  <w:pPr>
                    <w:pStyle w:val="30"/>
                    <w:spacing w:before="60" w:beforeAutospacing="0" w:after="60" w:afterAutospacing="0"/>
                    <w:ind w:right="195"/>
                    <w:jc w:val="right"/>
                  </w:pPr>
                  <w:r>
                    <w:t>72</w:t>
                  </w:r>
                </w:p>
              </w:tc>
            </w:tr>
            <w:tr w14:paraId="674CA1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59FD03F">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4F04C24C">
                  <w:pPr>
                    <w:pStyle w:val="28"/>
                    <w:spacing w:before="60" w:beforeAutospacing="0" w:after="60" w:afterAutospacing="0"/>
                  </w:pPr>
                  <w:r>
                    <w:t>S6</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049ECD68">
                  <w:pPr>
                    <w:pStyle w:val="28"/>
                    <w:spacing w:before="60" w:beforeAutospacing="0" w:after="60" w:afterAutospacing="0"/>
                  </w:pPr>
                  <w:r>
                    <w:t>Deșeuri municipale și industriale (neregenerabile, de origine nebiologică, cum ar fi materialele plastice, cauciucul și alte materiale sintetice) și deșeurile regenerabile/biodegradabile</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5B3AC28E">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7846AF21">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AB97442">
                  <w:pPr>
                    <w:pStyle w:val="30"/>
                    <w:spacing w:before="60" w:beforeAutospacing="0" w:after="60" w:afterAutospacing="0"/>
                    <w:ind w:right="195"/>
                    <w:jc w:val="right"/>
                  </w:pPr>
                  <w:r>
                    <w:t>72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47ADD7C6">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733BB1ED">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5425B99F">
                  <w:pPr>
                    <w:pStyle w:val="30"/>
                    <w:spacing w:before="60" w:beforeAutospacing="0" w:after="60" w:afterAutospacing="0"/>
                    <w:ind w:right="195"/>
                    <w:jc w:val="right"/>
                  </w:pPr>
                  <w:r>
                    <w:t>72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464EF196">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D96E5C0">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0F8E3ED">
                  <w:pPr>
                    <w:pStyle w:val="30"/>
                    <w:spacing w:before="60" w:beforeAutospacing="0" w:after="60" w:afterAutospacing="0"/>
                    <w:ind w:right="195"/>
                    <w:jc w:val="right"/>
                  </w:pPr>
                  <w:r>
                    <w:t>72</w:t>
                  </w:r>
                </w:p>
              </w:tc>
            </w:tr>
            <w:tr w14:paraId="44E84E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01CF863B">
                  <w:pPr>
                    <w:pStyle w:val="28"/>
                    <w:spacing w:before="60" w:beforeAutospacing="0" w:after="60" w:afterAutospacing="0"/>
                  </w:pPr>
                  <w:r>
                    <w:rPr>
                      <w:rStyle w:val="29"/>
                      <w:b/>
                      <w:bCs/>
                    </w:rPr>
                    <w:t>Lichide</w:t>
                  </w: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115D2655">
                  <w:pPr>
                    <w:pStyle w:val="28"/>
                    <w:spacing w:before="60" w:beforeAutospacing="0" w:after="60" w:afterAutospacing="0"/>
                  </w:pPr>
                  <w:r>
                    <w:t>L7</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3D943464">
                  <w:pPr>
                    <w:pStyle w:val="28"/>
                    <w:spacing w:before="60" w:beforeAutospacing="0" w:after="60" w:afterAutospacing="0"/>
                  </w:pPr>
                  <w:r>
                    <w:t>Păcură grea, motorină/carburant diesel, alte produse petroliere</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79AAC2EE">
                  <w:pPr>
                    <w:pStyle w:val="30"/>
                    <w:spacing w:before="60" w:beforeAutospacing="0" w:after="60" w:afterAutospacing="0"/>
                    <w:ind w:right="195"/>
                    <w:jc w:val="right"/>
                  </w:pPr>
                  <w:r>
                    <w:t>89</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2705262A">
                  <w:pPr>
                    <w:pStyle w:val="30"/>
                    <w:spacing w:before="60" w:beforeAutospacing="0" w:after="60" w:afterAutospacing="0"/>
                    <w:ind w:right="195"/>
                    <w:jc w:val="right"/>
                  </w:pPr>
                  <w:r>
                    <w:t>84</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B95DCEC">
                  <w:pPr>
                    <w:pStyle w:val="30"/>
                    <w:spacing w:before="60" w:beforeAutospacing="0" w:after="60" w:afterAutospacing="0"/>
                    <w:ind w:right="195"/>
                    <w:jc w:val="right"/>
                  </w:pPr>
                  <w:r>
                    <w:t>81</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F48FE0A">
                  <w:pPr>
                    <w:pStyle w:val="30"/>
                    <w:spacing w:before="60" w:beforeAutospacing="0" w:after="60" w:afterAutospacing="0"/>
                    <w:ind w:right="195"/>
                    <w:jc w:val="right"/>
                  </w:pPr>
                  <w:r>
                    <w:t>85</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7E4670DD">
                  <w:pPr>
                    <w:pStyle w:val="30"/>
                    <w:spacing w:before="60" w:beforeAutospacing="0" w:after="60" w:afterAutospacing="0"/>
                    <w:ind w:right="195"/>
                    <w:jc w:val="right"/>
                  </w:pPr>
                  <w:r>
                    <w:t>80</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F64C711">
                  <w:pPr>
                    <w:pStyle w:val="30"/>
                    <w:spacing w:before="60" w:beforeAutospacing="0" w:after="60" w:afterAutospacing="0"/>
                    <w:ind w:right="195"/>
                    <w:jc w:val="right"/>
                  </w:pPr>
                  <w:r>
                    <w:t>77</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835CFE4">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37502EC">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AFDC7D8">
                  <w:pPr>
                    <w:pStyle w:val="30"/>
                    <w:spacing w:before="60" w:beforeAutospacing="0" w:after="60" w:afterAutospacing="0"/>
                    <w:ind w:right="195"/>
                    <w:jc w:val="right"/>
                  </w:pPr>
                  <w:r>
                    <w:t>84</w:t>
                  </w:r>
                </w:p>
              </w:tc>
            </w:tr>
            <w:tr w14:paraId="140DC5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F095B32">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44FC4A88">
                  <w:pPr>
                    <w:pStyle w:val="28"/>
                    <w:spacing w:before="60" w:beforeAutospacing="0" w:after="60" w:afterAutospacing="0"/>
                  </w:pPr>
                  <w:r>
                    <w:t>L8</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1DC4142E">
                  <w:pPr>
                    <w:pStyle w:val="28"/>
                    <w:spacing w:before="60" w:beforeAutospacing="0" w:after="60" w:afterAutospacing="0"/>
                  </w:pPr>
                  <w:r>
                    <w:t>Biolichide, inclusiv biometanol, bioetanol, biobutanol, biodiesel și alți biocombustibili și toate e-lichidele</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646FB36">
                  <w:pPr>
                    <w:pStyle w:val="30"/>
                    <w:spacing w:before="60" w:beforeAutospacing="0" w:after="60" w:afterAutospacing="0"/>
                    <w:ind w:right="195"/>
                    <w:jc w:val="right"/>
                  </w:pPr>
                  <w:r>
                    <w:t>89</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C1FF991">
                  <w:pPr>
                    <w:pStyle w:val="30"/>
                    <w:spacing w:before="60" w:beforeAutospacing="0" w:after="60" w:afterAutospacing="0"/>
                    <w:ind w:right="195"/>
                    <w:jc w:val="right"/>
                  </w:pPr>
                  <w:r>
                    <w:t>84</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21B61D4C">
                  <w:pPr>
                    <w:pStyle w:val="30"/>
                    <w:spacing w:before="60" w:beforeAutospacing="0" w:after="60" w:afterAutospacing="0"/>
                    <w:ind w:right="195"/>
                    <w:jc w:val="right"/>
                  </w:pPr>
                  <w:r>
                    <w:t>81</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628EBC8E">
                  <w:pPr>
                    <w:pStyle w:val="30"/>
                    <w:spacing w:before="60" w:beforeAutospacing="0" w:after="60" w:afterAutospacing="0"/>
                    <w:ind w:right="195"/>
                    <w:jc w:val="right"/>
                  </w:pPr>
                  <w:r>
                    <w:t>85</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8E48C86">
                  <w:pPr>
                    <w:pStyle w:val="30"/>
                    <w:spacing w:before="60" w:beforeAutospacing="0" w:after="60" w:afterAutospacing="0"/>
                    <w:ind w:right="195"/>
                    <w:jc w:val="right"/>
                  </w:pPr>
                  <w:r>
                    <w:t>80</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12EFAA9A">
                  <w:pPr>
                    <w:pStyle w:val="30"/>
                    <w:spacing w:before="60" w:beforeAutospacing="0" w:after="60" w:afterAutospacing="0"/>
                    <w:ind w:right="195"/>
                    <w:jc w:val="right"/>
                  </w:pPr>
                  <w:r>
                    <w:t>77</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F709916">
                  <w:pPr>
                    <w:pStyle w:val="30"/>
                    <w:spacing w:before="60" w:beforeAutospacing="0" w:after="60" w:afterAutospacing="0"/>
                    <w:ind w:right="195"/>
                    <w:jc w:val="right"/>
                  </w:pPr>
                  <w:r>
                    <w:t>85</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DAD8AE0">
                  <w:pPr>
                    <w:pStyle w:val="30"/>
                    <w:spacing w:before="60" w:beforeAutospacing="0" w:after="60" w:afterAutospacing="0"/>
                    <w:ind w:right="195"/>
                    <w:jc w:val="right"/>
                  </w:pPr>
                  <w:r>
                    <w:t>80</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5B5A1D2">
                  <w:pPr>
                    <w:pStyle w:val="30"/>
                    <w:spacing w:before="60" w:beforeAutospacing="0" w:after="60" w:afterAutospacing="0"/>
                    <w:ind w:right="195"/>
                    <w:jc w:val="right"/>
                  </w:pPr>
                  <w:r>
                    <w:t>77</w:t>
                  </w:r>
                </w:p>
              </w:tc>
            </w:tr>
            <w:tr w14:paraId="4F5A8E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F5487BB">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18E7F138">
                  <w:pPr>
                    <w:pStyle w:val="28"/>
                    <w:spacing w:before="60" w:beforeAutospacing="0" w:after="60" w:afterAutospacing="0"/>
                  </w:pPr>
                  <w:r>
                    <w:t>L9</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151DB48F">
                  <w:pPr>
                    <w:pStyle w:val="28"/>
                    <w:spacing w:before="60" w:beforeAutospacing="0" w:after="60" w:afterAutospacing="0"/>
                  </w:pPr>
                  <w:r>
                    <w:t>Deșeuri lichide, inclusiv deșeuri biodegradabile și neregenerabile (inclusiv seu, grăsime și borhot).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2FA482CE">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53ADCCC">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E354E48">
                  <w:pPr>
                    <w:pStyle w:val="30"/>
                    <w:spacing w:before="60" w:beforeAutospacing="0" w:after="60" w:afterAutospacing="0"/>
                    <w:ind w:right="195"/>
                    <w:jc w:val="right"/>
                  </w:pPr>
                  <w:r>
                    <w:t>72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6E0907A1">
                  <w:pPr>
                    <w:pStyle w:val="30"/>
                    <w:spacing w:before="60" w:beforeAutospacing="0" w:after="60" w:afterAutospacing="0"/>
                    <w:ind w:right="195"/>
                    <w:jc w:val="right"/>
                  </w:pPr>
                  <w:r>
                    <w:t>75</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B76A5C5">
                  <w:pPr>
                    <w:pStyle w:val="30"/>
                    <w:spacing w:before="60" w:beforeAutospacing="0" w:after="60" w:afterAutospacing="0"/>
                    <w:ind w:right="195"/>
                    <w:jc w:val="right"/>
                  </w:pPr>
                  <w:r>
                    <w:t>70</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1C26131">
                  <w:pPr>
                    <w:pStyle w:val="30"/>
                    <w:spacing w:before="60" w:beforeAutospacing="0" w:after="60" w:afterAutospacing="0"/>
                    <w:ind w:right="195"/>
                    <w:jc w:val="right"/>
                  </w:pPr>
                  <w:r>
                    <w:t>67</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59175A8F">
                  <w:pPr>
                    <w:pStyle w:val="30"/>
                    <w:spacing w:before="60" w:beforeAutospacing="0" w:after="60" w:afterAutospacing="0"/>
                    <w:ind w:right="195"/>
                    <w:jc w:val="right"/>
                  </w:pPr>
                  <w:r>
                    <w:t>75</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FF9FDE8">
                  <w:pPr>
                    <w:pStyle w:val="30"/>
                    <w:spacing w:before="60" w:beforeAutospacing="0" w:after="60" w:afterAutospacing="0"/>
                    <w:ind w:right="195"/>
                    <w:jc w:val="right"/>
                  </w:pPr>
                  <w:r>
                    <w:t>70</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48EA4F1">
                  <w:pPr>
                    <w:pStyle w:val="30"/>
                    <w:spacing w:before="60" w:beforeAutospacing="0" w:after="60" w:afterAutospacing="0"/>
                    <w:ind w:right="195"/>
                    <w:jc w:val="right"/>
                  </w:pPr>
                  <w:r>
                    <w:t>67</w:t>
                  </w:r>
                </w:p>
              </w:tc>
            </w:tr>
            <w:tr w14:paraId="268A6E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601B0791">
                  <w:pPr>
                    <w:pStyle w:val="28"/>
                    <w:spacing w:before="60" w:beforeAutospacing="0" w:after="60" w:afterAutospacing="0"/>
                  </w:pPr>
                  <w:r>
                    <w:rPr>
                      <w:rStyle w:val="29"/>
                      <w:b/>
                      <w:bCs/>
                    </w:rPr>
                    <w:t>Gazoase</w:t>
                  </w: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07FE31CD">
                  <w:pPr>
                    <w:pStyle w:val="28"/>
                    <w:spacing w:before="60" w:beforeAutospacing="0" w:after="60" w:afterAutospacing="0"/>
                  </w:pPr>
                  <w:r>
                    <w:t>G10</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3DC93D12">
                  <w:pPr>
                    <w:pStyle w:val="28"/>
                    <w:spacing w:before="60" w:beforeAutospacing="0" w:after="60" w:afterAutospacing="0"/>
                  </w:pPr>
                  <w:r>
                    <w:t>Gaz natural, GPL, GNL și biometan</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6C38ACD5">
                  <w:pPr>
                    <w:pStyle w:val="30"/>
                    <w:spacing w:before="60" w:beforeAutospacing="0" w:after="60" w:afterAutospacing="0"/>
                    <w:ind w:right="195"/>
                    <w:jc w:val="right"/>
                  </w:pPr>
                  <w:r>
                    <w:t>90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54B6AA7">
                  <w:pPr>
                    <w:pStyle w:val="30"/>
                    <w:spacing w:before="60" w:beforeAutospacing="0" w:after="60" w:afterAutospacing="0"/>
                    <w:ind w:right="195"/>
                    <w:jc w:val="right"/>
                  </w:pPr>
                  <w:r>
                    <w:t>85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9476B80">
                  <w:pPr>
                    <w:pStyle w:val="30"/>
                    <w:spacing w:before="60" w:beforeAutospacing="0" w:after="60" w:afterAutospacing="0"/>
                    <w:ind w:right="195"/>
                    <w:jc w:val="right"/>
                  </w:pPr>
                  <w:r>
                    <w:t>82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53F3D761">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4C9A81D3">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5E735078">
                  <w:pPr>
                    <w:pStyle w:val="30"/>
                    <w:spacing w:before="60" w:beforeAutospacing="0" w:after="60" w:afterAutospacing="0"/>
                    <w:ind w:right="195"/>
                    <w:jc w:val="right"/>
                  </w:pPr>
                  <w:r>
                    <w:t>84</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8E2FD1D">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0714FC22">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B19597A">
                  <w:pPr>
                    <w:pStyle w:val="30"/>
                    <w:spacing w:before="60" w:beforeAutospacing="0" w:after="60" w:afterAutospacing="0"/>
                    <w:ind w:right="195"/>
                    <w:jc w:val="right"/>
                  </w:pPr>
                  <w:r>
                    <w:t>84</w:t>
                  </w:r>
                </w:p>
              </w:tc>
            </w:tr>
            <w:tr w14:paraId="19A3B8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7CB1FEC">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36947734">
                  <w:pPr>
                    <w:pStyle w:val="28"/>
                    <w:spacing w:before="60" w:beforeAutospacing="0" w:after="60" w:afterAutospacing="0"/>
                  </w:pPr>
                  <w:r>
                    <w:t>G11A</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78ADD0E4">
                  <w:pPr>
                    <w:pStyle w:val="28"/>
                    <w:spacing w:before="60" w:beforeAutospacing="0" w:after="60" w:afterAutospacing="0"/>
                  </w:pPr>
                  <w:r>
                    <w:t>Hidrogenul tranzacționat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F33B436">
                  <w:pPr>
                    <w:pStyle w:val="30"/>
                    <w:spacing w:before="60" w:beforeAutospacing="0" w:after="60" w:afterAutospacing="0"/>
                    <w:ind w:right="195"/>
                    <w:jc w:val="right"/>
                  </w:pPr>
                  <w:r>
                    <w:t>89</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D955F59">
                  <w:pPr>
                    <w:pStyle w:val="30"/>
                    <w:spacing w:before="60" w:beforeAutospacing="0" w:after="60" w:afterAutospacing="0"/>
                    <w:ind w:right="195"/>
                    <w:jc w:val="right"/>
                  </w:pPr>
                  <w:r>
                    <w:t>84</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2677AA1B">
                  <w:pPr>
                    <w:pStyle w:val="30"/>
                    <w:spacing w:before="60" w:beforeAutospacing="0" w:after="60" w:afterAutospacing="0"/>
                    <w:ind w:right="195"/>
                    <w:jc w:val="right"/>
                  </w:pPr>
                  <w:r>
                    <w:t>81</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57C5A04E">
                  <w:pPr>
                    <w:pStyle w:val="30"/>
                    <w:spacing w:before="60" w:beforeAutospacing="0" w:after="60" w:afterAutospacing="0"/>
                    <w:ind w:right="195"/>
                    <w:jc w:val="right"/>
                  </w:pPr>
                  <w:r>
                    <w:t>90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3A3A9A6">
                  <w:pPr>
                    <w:pStyle w:val="30"/>
                    <w:spacing w:before="60" w:beforeAutospacing="0" w:after="60" w:afterAutospacing="0"/>
                    <w:ind w:right="195"/>
                    <w:jc w:val="right"/>
                  </w:pPr>
                  <w:r>
                    <w:t>85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8B032ED">
                  <w:pPr>
                    <w:pStyle w:val="30"/>
                    <w:spacing w:before="60" w:beforeAutospacing="0" w:after="60" w:afterAutospacing="0"/>
                    <w:ind w:right="195"/>
                    <w:jc w:val="right"/>
                  </w:pPr>
                  <w:r>
                    <w:t>82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2A9E7DF9">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D538510">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282474DB">
                  <w:pPr>
                    <w:pStyle w:val="30"/>
                    <w:spacing w:before="60" w:beforeAutospacing="0" w:after="60" w:afterAutospacing="0"/>
                    <w:ind w:right="195"/>
                    <w:jc w:val="right"/>
                  </w:pPr>
                  <w:r>
                    <w:t>84</w:t>
                  </w:r>
                </w:p>
              </w:tc>
            </w:tr>
            <w:tr w14:paraId="351CB2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8E2F58F">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75F34BA2">
                  <w:pPr>
                    <w:pStyle w:val="28"/>
                    <w:spacing w:before="60" w:beforeAutospacing="0" w:after="60" w:afterAutospacing="0"/>
                  </w:pPr>
                  <w:r>
                    <w:t>G11B</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11A97A25">
                  <w:pPr>
                    <w:pStyle w:val="28"/>
                    <w:spacing w:before="60" w:beforeAutospacing="0" w:after="60" w:afterAutospacing="0"/>
                  </w:pPr>
                  <w:r>
                    <w:t>Gaze de rafinărie, gaz de sinteză, hidrogen (produs secundar), e-gaze</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2DBF8D52">
                  <w:pPr>
                    <w:pStyle w:val="30"/>
                    <w:spacing w:before="60" w:beforeAutospacing="0" w:after="60" w:afterAutospacing="0"/>
                    <w:ind w:right="195"/>
                    <w:jc w:val="right"/>
                  </w:pPr>
                  <w:r>
                    <w:t>89</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289D5F41">
                  <w:pPr>
                    <w:pStyle w:val="30"/>
                    <w:spacing w:before="60" w:beforeAutospacing="0" w:after="60" w:afterAutospacing="0"/>
                    <w:ind w:right="195"/>
                    <w:jc w:val="right"/>
                  </w:pPr>
                  <w:r>
                    <w:t>84</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85BF9A2">
                  <w:pPr>
                    <w:pStyle w:val="30"/>
                    <w:spacing w:before="60" w:beforeAutospacing="0" w:after="60" w:afterAutospacing="0"/>
                    <w:ind w:right="195"/>
                    <w:jc w:val="right"/>
                  </w:pPr>
                  <w:r>
                    <w:t>81</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B849E75">
                  <w:pPr>
                    <w:pStyle w:val="30"/>
                    <w:spacing w:before="60" w:beforeAutospacing="0" w:after="60" w:afterAutospacing="0"/>
                    <w:ind w:right="195"/>
                    <w:jc w:val="right"/>
                  </w:pPr>
                  <w:r>
                    <w:t>90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9BFC9D7">
                  <w:pPr>
                    <w:pStyle w:val="30"/>
                    <w:spacing w:before="60" w:beforeAutospacing="0" w:after="60" w:afterAutospacing="0"/>
                    <w:ind w:right="195"/>
                    <w:jc w:val="right"/>
                  </w:pPr>
                  <w:r>
                    <w:t>85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7DAF270D">
                  <w:pPr>
                    <w:pStyle w:val="30"/>
                    <w:spacing w:before="60" w:beforeAutospacing="0" w:after="60" w:afterAutospacing="0"/>
                    <w:ind w:right="195"/>
                    <w:jc w:val="right"/>
                  </w:pPr>
                  <w:r>
                    <w:t>82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437A17C8">
                  <w:pPr>
                    <w:pStyle w:val="30"/>
                    <w:spacing w:before="60" w:beforeAutospacing="0" w:after="60" w:afterAutospacing="0"/>
                    <w:ind w:right="195"/>
                    <w:jc w:val="right"/>
                  </w:pPr>
                  <w:r>
                    <w:t>90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DEF2973">
                  <w:pPr>
                    <w:pStyle w:val="30"/>
                    <w:spacing w:before="60" w:beforeAutospacing="0" w:after="60" w:afterAutospacing="0"/>
                    <w:ind w:right="195"/>
                    <w:jc w:val="right"/>
                  </w:pPr>
                  <w:r>
                    <w:t>85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1B15F9CB">
                  <w:pPr>
                    <w:pStyle w:val="30"/>
                    <w:spacing w:before="60" w:beforeAutospacing="0" w:after="60" w:afterAutospacing="0"/>
                    <w:ind w:right="195"/>
                    <w:jc w:val="right"/>
                  </w:pPr>
                  <w:r>
                    <w:t>82</w:t>
                  </w:r>
                </w:p>
              </w:tc>
            </w:tr>
            <w:tr w14:paraId="1070D8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8F86C22">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5D591E74">
                  <w:pPr>
                    <w:pStyle w:val="28"/>
                    <w:spacing w:before="60" w:beforeAutospacing="0" w:after="60" w:afterAutospacing="0"/>
                  </w:pPr>
                  <w:r>
                    <w:t>G12</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3EF23AA2">
                  <w:pPr>
                    <w:pStyle w:val="28"/>
                    <w:spacing w:before="60" w:beforeAutospacing="0" w:after="60" w:afterAutospacing="0"/>
                  </w:pPr>
                  <w:r>
                    <w:t>Biogaz provenit din digestia anaerobă, de la depozitele de deșeuri și de la instalațiile de epurare a apelor uzate</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6DC0214E">
                  <w:pPr>
                    <w:pStyle w:val="30"/>
                    <w:spacing w:before="60" w:beforeAutospacing="0" w:after="60" w:afterAutospacing="0"/>
                    <w:ind w:right="195"/>
                    <w:jc w:val="right"/>
                  </w:pPr>
                  <w:r>
                    <w:t>70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7ECA9FF9">
                  <w:pPr>
                    <w:pStyle w:val="30"/>
                    <w:spacing w:before="60" w:beforeAutospacing="0" w:after="60" w:afterAutospacing="0"/>
                    <w:ind w:right="195"/>
                    <w:jc w:val="right"/>
                  </w:pPr>
                  <w:r>
                    <w:t>65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E68105D">
                  <w:pPr>
                    <w:pStyle w:val="30"/>
                    <w:spacing w:before="60" w:beforeAutospacing="0" w:after="60" w:afterAutospacing="0"/>
                    <w:ind w:right="195"/>
                    <w:jc w:val="right"/>
                  </w:pPr>
                  <w:r>
                    <w:t>62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94891D5">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00F6E3F">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5B0546DE">
                  <w:pPr>
                    <w:pStyle w:val="30"/>
                    <w:spacing w:before="60" w:beforeAutospacing="0" w:after="60" w:afterAutospacing="0"/>
                    <w:ind w:right="195"/>
                    <w:jc w:val="right"/>
                  </w:pPr>
                  <w:r>
                    <w:t>72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747CA6A2">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D119BF2">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57987FEF">
                  <w:pPr>
                    <w:pStyle w:val="30"/>
                    <w:spacing w:before="60" w:beforeAutospacing="0" w:after="60" w:afterAutospacing="0"/>
                    <w:ind w:right="195"/>
                    <w:jc w:val="right"/>
                  </w:pPr>
                  <w:r>
                    <w:t>72</w:t>
                  </w:r>
                </w:p>
              </w:tc>
            </w:tr>
            <w:tr w14:paraId="3CA83DE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438314A">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0AC7C12C">
                  <w:pPr>
                    <w:pStyle w:val="28"/>
                    <w:spacing w:before="60" w:beforeAutospacing="0" w:after="60" w:afterAutospacing="0"/>
                  </w:pPr>
                  <w:r>
                    <w:t>G13</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2C4A6DEE">
                  <w:pPr>
                    <w:pStyle w:val="28"/>
                    <w:spacing w:before="60" w:beforeAutospacing="0" w:after="60" w:afterAutospacing="0"/>
                  </w:pPr>
                  <w:r>
                    <w:t>Gaz de cocserie, gaz de furnal, gaze de mină, precum și alte gaze recuperate (cu excepția gazului de rafinărie)</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E681F19">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B7DE18B">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74254B4">
                  <w:pPr>
                    <w:pStyle w:val="30"/>
                    <w:spacing w:before="60" w:beforeAutospacing="0" w:after="60" w:afterAutospacing="0"/>
                    <w:ind w:right="195"/>
                    <w:jc w:val="right"/>
                  </w:pPr>
                  <w:r>
                    <w:t>72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76B87AF8">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E52666B">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5A2FE71E">
                  <w:pPr>
                    <w:pStyle w:val="30"/>
                    <w:spacing w:before="60" w:beforeAutospacing="0" w:after="60" w:afterAutospacing="0"/>
                    <w:ind w:right="195"/>
                    <w:jc w:val="right"/>
                  </w:pPr>
                  <w:r>
                    <w:t>72</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7AC25857">
                  <w:pPr>
                    <w:pStyle w:val="30"/>
                    <w:spacing w:before="60" w:beforeAutospacing="0" w:after="60" w:afterAutospacing="0"/>
                    <w:ind w:right="195"/>
                    <w:jc w:val="right"/>
                  </w:pPr>
                  <w:r>
                    <w:t>80</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0CC3F7C5">
                  <w:pPr>
                    <w:pStyle w:val="30"/>
                    <w:spacing w:before="60" w:beforeAutospacing="0" w:after="60" w:afterAutospacing="0"/>
                    <w:ind w:right="195"/>
                    <w:jc w:val="right"/>
                  </w:pPr>
                  <w:r>
                    <w:t>75</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55050546">
                  <w:pPr>
                    <w:pStyle w:val="30"/>
                    <w:spacing w:before="60" w:beforeAutospacing="0" w:after="60" w:afterAutospacing="0"/>
                    <w:ind w:right="195"/>
                    <w:jc w:val="right"/>
                  </w:pPr>
                  <w:r>
                    <w:t>72</w:t>
                  </w:r>
                </w:p>
              </w:tc>
            </w:tr>
            <w:tr w14:paraId="2A0563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restart"/>
                  <w:tcBorders>
                    <w:top w:val="single" w:color="000000" w:sz="6" w:space="0"/>
                    <w:left w:val="single" w:color="000000" w:sz="6" w:space="0"/>
                    <w:bottom w:val="single" w:color="000000" w:sz="6" w:space="0"/>
                    <w:right w:val="single" w:color="000000" w:sz="6" w:space="0"/>
                  </w:tcBorders>
                  <w:shd w:val="clear" w:color="auto" w:fill="auto"/>
                </w:tcPr>
                <w:p w14:paraId="1D5C6B5E">
                  <w:pPr>
                    <w:pStyle w:val="28"/>
                    <w:spacing w:before="60" w:beforeAutospacing="0" w:after="60" w:afterAutospacing="0"/>
                  </w:pPr>
                  <w:r>
                    <w:rPr>
                      <w:rStyle w:val="29"/>
                      <w:b/>
                      <w:bCs/>
                    </w:rPr>
                    <w:t>Altele</w:t>
                  </w: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7D8FA673">
                  <w:pPr>
                    <w:pStyle w:val="28"/>
                    <w:spacing w:before="60" w:beforeAutospacing="0" w:after="60" w:afterAutospacing="0"/>
                  </w:pPr>
                  <w:r>
                    <w:t>O14A</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0AF1778D">
                  <w:pPr>
                    <w:pStyle w:val="28"/>
                    <w:spacing w:before="60" w:beforeAutospacing="0" w:after="60" w:afterAutospacing="0"/>
                  </w:pPr>
                  <w:r>
                    <w:t>Căldura reziduală, inclusiv gazele de evacuare rezultate din procese, produs al reacțiilor chimice exoterme (temperatură de intrare &gt; 200 °C)</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6C8413BE">
                  <w:pPr>
                    <w:pStyle w:val="28"/>
                    <w:spacing w:before="60" w:beforeAutospacing="0" w:after="60" w:afterAutospacing="0"/>
                  </w:pPr>
                  <w:r>
                    <w:t>—</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21F650B8">
                  <w:pPr>
                    <w:pStyle w:val="28"/>
                    <w:spacing w:before="60" w:beforeAutospacing="0" w:after="60" w:afterAutospacing="0"/>
                  </w:pPr>
                  <w:r>
                    <w:t>—</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1835D84">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27A74D0C">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84392C3">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3621A2B">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5592C52D">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7AA33C37">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34A0742">
                  <w:pPr>
                    <w:pStyle w:val="28"/>
                    <w:spacing w:before="60" w:beforeAutospacing="0" w:after="60" w:afterAutospacing="0"/>
                  </w:pPr>
                  <w:r>
                    <w:t>—</w:t>
                  </w:r>
                </w:p>
              </w:tc>
            </w:tr>
            <w:tr w14:paraId="023008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BD21D0B">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36B0EE9C">
                  <w:pPr>
                    <w:pStyle w:val="28"/>
                    <w:spacing w:before="60" w:beforeAutospacing="0" w:after="60" w:afterAutospacing="0"/>
                  </w:pPr>
                  <w:r>
                    <w:t>O14B</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3CBEB8AE">
                  <w:pPr>
                    <w:pStyle w:val="28"/>
                    <w:spacing w:before="60" w:beforeAutospacing="0" w:after="60" w:afterAutospacing="0"/>
                  </w:pPr>
                  <w:r>
                    <w:t>Căldura reziduală, inclusiv gazele de evacuare rezultate din procese, produs al reacțiilor chimice exoterme (temperatură de intrare &lt; 200 °C)</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7BBFB529">
                  <w:pPr>
                    <w:pStyle w:val="28"/>
                    <w:spacing w:before="60" w:beforeAutospacing="0" w:after="60" w:afterAutospacing="0"/>
                  </w:pPr>
                  <w:r>
                    <w:t>—</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0495F0D1">
                  <w:pPr>
                    <w:pStyle w:val="28"/>
                    <w:spacing w:before="60" w:beforeAutospacing="0" w:after="60" w:afterAutospacing="0"/>
                  </w:pPr>
                  <w:r>
                    <w:t>—</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7442C6A">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5D68919C">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0FA6E2DE">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105A2648">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6D7B6481">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1CBAC97">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DA8DCEB">
                  <w:pPr>
                    <w:pStyle w:val="28"/>
                    <w:spacing w:before="60" w:beforeAutospacing="0" w:after="60" w:afterAutospacing="0"/>
                  </w:pPr>
                  <w:r>
                    <w:t>—</w:t>
                  </w:r>
                </w:p>
              </w:tc>
            </w:tr>
            <w:tr w14:paraId="453C5A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7CF5E66">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39651712">
                  <w:pPr>
                    <w:pStyle w:val="28"/>
                    <w:spacing w:before="60" w:beforeAutospacing="0" w:after="60" w:afterAutospacing="0"/>
                  </w:pPr>
                  <w:r>
                    <w:t>O15</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7632D7DB">
                  <w:pPr>
                    <w:pStyle w:val="28"/>
                    <w:spacing w:before="60" w:beforeAutospacing="0" w:after="60" w:afterAutospacing="0"/>
                  </w:pPr>
                  <w:r>
                    <w:t>Energie nucleară</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178FE4AC">
                  <w:pPr>
                    <w:pStyle w:val="28"/>
                    <w:spacing w:before="60" w:beforeAutospacing="0" w:after="60" w:afterAutospacing="0"/>
                  </w:pPr>
                  <w:r>
                    <w:t>—</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0644548F">
                  <w:pPr>
                    <w:pStyle w:val="28"/>
                    <w:spacing w:before="60" w:beforeAutospacing="0" w:after="60" w:afterAutospacing="0"/>
                  </w:pPr>
                  <w:r>
                    <w:t>—</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66C9CAA">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FC2C767">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3E688340">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A7FF701">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2A33C984">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FC692DD">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1FFCEDD2">
                  <w:pPr>
                    <w:pStyle w:val="28"/>
                    <w:spacing w:before="60" w:beforeAutospacing="0" w:after="60" w:afterAutospacing="0"/>
                  </w:pPr>
                  <w:r>
                    <w:t>—</w:t>
                  </w:r>
                </w:p>
              </w:tc>
            </w:tr>
            <w:tr w14:paraId="1D1F25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762BFA1">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625E5F46">
                  <w:pPr>
                    <w:pStyle w:val="28"/>
                    <w:spacing w:before="60" w:beforeAutospacing="0" w:after="60" w:afterAutospacing="0"/>
                  </w:pPr>
                  <w:r>
                    <w:t>O16</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5979EDD3">
                  <w:pPr>
                    <w:pStyle w:val="28"/>
                    <w:spacing w:before="60" w:beforeAutospacing="0" w:after="60" w:afterAutospacing="0"/>
                  </w:pPr>
                  <w:r>
                    <w:t>Energie termică solară</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35A598FC">
                  <w:pPr>
                    <w:pStyle w:val="28"/>
                    <w:spacing w:before="60" w:beforeAutospacing="0" w:after="60" w:afterAutospacing="0"/>
                  </w:pPr>
                  <w:r>
                    <w:t>—</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2CEAD384">
                  <w:pPr>
                    <w:pStyle w:val="28"/>
                    <w:spacing w:before="60" w:beforeAutospacing="0" w:after="60" w:afterAutospacing="0"/>
                  </w:pPr>
                  <w:r>
                    <w:t>—</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7C12BDF">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58BCD756">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5F9DE977">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4812514C">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1C5AD00">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78A8B0E">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9055874">
                  <w:pPr>
                    <w:pStyle w:val="28"/>
                    <w:spacing w:before="60" w:beforeAutospacing="0" w:after="60" w:afterAutospacing="0"/>
                  </w:pPr>
                  <w:r>
                    <w:t>—</w:t>
                  </w:r>
                </w:p>
              </w:tc>
            </w:tr>
            <w:tr w14:paraId="705E59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EF7CE6D">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13B714BA">
                  <w:pPr>
                    <w:pStyle w:val="28"/>
                    <w:spacing w:before="60" w:beforeAutospacing="0" w:after="60" w:afterAutospacing="0"/>
                  </w:pPr>
                  <w:r>
                    <w:t>O17</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71A2D0F9">
                  <w:pPr>
                    <w:pStyle w:val="28"/>
                    <w:spacing w:before="60" w:beforeAutospacing="0" w:after="60" w:afterAutospacing="0"/>
                  </w:pPr>
                  <w:r>
                    <w:t>Energie geotermică</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0E37E383">
                  <w:pPr>
                    <w:pStyle w:val="28"/>
                    <w:spacing w:before="60" w:beforeAutospacing="0" w:after="60" w:afterAutospacing="0"/>
                  </w:pPr>
                  <w:r>
                    <w:t>—</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111FC03B">
                  <w:pPr>
                    <w:pStyle w:val="28"/>
                    <w:spacing w:before="60" w:beforeAutospacing="0" w:after="60" w:afterAutospacing="0"/>
                  </w:pPr>
                  <w:r>
                    <w:t>—</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0A1E4E49">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47ADF87F">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7822FFE4">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71BFD346">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67191199">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47C50D72">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DA1B9B5">
                  <w:pPr>
                    <w:pStyle w:val="28"/>
                    <w:spacing w:before="60" w:beforeAutospacing="0" w:after="60" w:afterAutospacing="0"/>
                  </w:pPr>
                  <w:r>
                    <w:t>—</w:t>
                  </w:r>
                </w:p>
              </w:tc>
            </w:tr>
            <w:tr w14:paraId="7BA4D5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8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E8F0582">
                  <w:pPr>
                    <w:rPr>
                      <w:rFonts w:ascii="Times New Roman" w:hAnsi="Times New Roman" w:cs="Times New Roman"/>
                      <w:sz w:val="24"/>
                      <w:szCs w:val="24"/>
                    </w:rPr>
                  </w:pPr>
                </w:p>
              </w:tc>
              <w:tc>
                <w:tcPr>
                  <w:tcW w:w="379" w:type="dxa"/>
                  <w:tcBorders>
                    <w:top w:val="single" w:color="000000" w:sz="6" w:space="0"/>
                    <w:left w:val="single" w:color="000000" w:sz="6" w:space="0"/>
                    <w:bottom w:val="single" w:color="000000" w:sz="6" w:space="0"/>
                    <w:right w:val="single" w:color="000000" w:sz="6" w:space="0"/>
                  </w:tcBorders>
                  <w:shd w:val="clear" w:color="auto" w:fill="auto"/>
                </w:tcPr>
                <w:p w14:paraId="7FD32C0E">
                  <w:pPr>
                    <w:pStyle w:val="28"/>
                    <w:spacing w:before="60" w:beforeAutospacing="0" w:after="60" w:afterAutospacing="0"/>
                  </w:pPr>
                  <w:r>
                    <w:t>O18</w:t>
                  </w:r>
                </w:p>
              </w:tc>
              <w:tc>
                <w:tcPr>
                  <w:tcW w:w="1901" w:type="dxa"/>
                  <w:tcBorders>
                    <w:top w:val="single" w:color="000000" w:sz="6" w:space="0"/>
                    <w:left w:val="single" w:color="000000" w:sz="6" w:space="0"/>
                    <w:bottom w:val="single" w:color="000000" w:sz="6" w:space="0"/>
                    <w:right w:val="single" w:color="000000" w:sz="6" w:space="0"/>
                  </w:tcBorders>
                  <w:shd w:val="clear" w:color="auto" w:fill="auto"/>
                </w:tcPr>
                <w:p w14:paraId="634E2193">
                  <w:pPr>
                    <w:pStyle w:val="28"/>
                    <w:spacing w:before="60" w:beforeAutospacing="0" w:after="60" w:afterAutospacing="0"/>
                  </w:pPr>
                  <w:r>
                    <w:t>Alți combustibili care nu au fost menționați anterior</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476AF46C">
                  <w:pPr>
                    <w:pStyle w:val="28"/>
                    <w:spacing w:before="60" w:beforeAutospacing="0" w:after="60" w:afterAutospacing="0"/>
                  </w:pPr>
                  <w:r>
                    <w:t>—</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6D2F9BEA">
                  <w:pPr>
                    <w:pStyle w:val="28"/>
                    <w:spacing w:before="60" w:beforeAutospacing="0" w:after="60" w:afterAutospacing="0"/>
                  </w:pPr>
                  <w:r>
                    <w:t>—</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567D4130">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1E3ABEE8">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4EBA9668">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67290299">
                  <w:pPr>
                    <w:pStyle w:val="28"/>
                    <w:spacing w:before="60" w:beforeAutospacing="0" w:after="60" w:afterAutospacing="0"/>
                  </w:pPr>
                  <w:r>
                    <w:t>—</w:t>
                  </w:r>
                </w:p>
              </w:tc>
              <w:tc>
                <w:tcPr>
                  <w:tcW w:w="525" w:type="dxa"/>
                  <w:tcBorders>
                    <w:top w:val="single" w:color="000000" w:sz="6" w:space="0"/>
                    <w:left w:val="single" w:color="000000" w:sz="6" w:space="0"/>
                    <w:bottom w:val="single" w:color="000000" w:sz="6" w:space="0"/>
                    <w:right w:val="single" w:color="000000" w:sz="6" w:space="0"/>
                  </w:tcBorders>
                  <w:shd w:val="clear" w:color="auto" w:fill="auto"/>
                </w:tcPr>
                <w:p w14:paraId="2B559A39">
                  <w:pPr>
                    <w:pStyle w:val="30"/>
                    <w:spacing w:before="60" w:beforeAutospacing="0" w:after="60" w:afterAutospacing="0"/>
                    <w:ind w:right="195"/>
                    <w:jc w:val="right"/>
                  </w:pPr>
                  <w:r>
                    <w:t>92</w:t>
                  </w:r>
                </w:p>
              </w:tc>
              <w:tc>
                <w:tcPr>
                  <w:tcW w:w="751" w:type="dxa"/>
                  <w:tcBorders>
                    <w:top w:val="single" w:color="000000" w:sz="6" w:space="0"/>
                    <w:left w:val="single" w:color="000000" w:sz="6" w:space="0"/>
                    <w:bottom w:val="single" w:color="000000" w:sz="6" w:space="0"/>
                    <w:right w:val="single" w:color="000000" w:sz="6" w:space="0"/>
                  </w:tcBorders>
                  <w:shd w:val="clear" w:color="auto" w:fill="auto"/>
                </w:tcPr>
                <w:p w14:paraId="0E0A531A">
                  <w:pPr>
                    <w:pStyle w:val="30"/>
                    <w:spacing w:before="60" w:beforeAutospacing="0" w:after="60" w:afterAutospacing="0"/>
                    <w:ind w:right="195"/>
                    <w:jc w:val="right"/>
                  </w:pPr>
                  <w:r>
                    <w:t>87</w:t>
                  </w:r>
                </w:p>
              </w:tc>
              <w:tc>
                <w:tcPr>
                  <w:tcW w:w="992" w:type="dxa"/>
                  <w:tcBorders>
                    <w:top w:val="single" w:color="000000" w:sz="6" w:space="0"/>
                    <w:left w:val="single" w:color="000000" w:sz="6" w:space="0"/>
                    <w:bottom w:val="single" w:color="000000" w:sz="6" w:space="0"/>
                    <w:right w:val="single" w:color="000000" w:sz="6" w:space="0"/>
                  </w:tcBorders>
                  <w:shd w:val="clear" w:color="auto" w:fill="auto"/>
                </w:tcPr>
                <w:p w14:paraId="3D22D07B">
                  <w:pPr>
                    <w:pStyle w:val="28"/>
                    <w:spacing w:before="60" w:beforeAutospacing="0" w:after="60" w:afterAutospacing="0"/>
                  </w:pPr>
                  <w:r>
                    <w:t>—</w:t>
                  </w:r>
                </w:p>
              </w:tc>
            </w:tr>
          </w:tbl>
          <w:p w14:paraId="7DABE301">
            <w:pPr>
              <w:shd w:val="clear" w:color="auto" w:fill="FFFFFF"/>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p w14:paraId="4630982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pict>
                <v:rect id="_x0000_i1025" o:spt="1" style="height:0.75pt;width:160.55pt;" fillcolor="#000000" filled="t" stroked="f" coordsize="21600,21600" o:hr="t" o:hrstd="t" o:hrnoshade="t" o:hrpct="0">
                  <v:path/>
                  <v:fill on="t" focussize="0,0"/>
                  <v:stroke on="f"/>
                  <v:imagedata o:title=""/>
                  <o:lock v:ext="edit"/>
                  <w10:wrap type="none"/>
                  <w10:anchorlock/>
                </v:rect>
              </w:pict>
            </w:r>
          </w:p>
          <w:p w14:paraId="514A9EBC">
            <w:pPr>
              <w:pStyle w:val="32"/>
              <w:shd w:val="clear" w:color="auto" w:fill="FFFFFF"/>
              <w:spacing w:before="0" w:beforeAutospacing="0" w:after="0" w:afterAutospacing="0"/>
              <w:jc w:val="both"/>
              <w:rPr>
                <w:color w:val="000000"/>
                <w:lang w:val="en-US"/>
              </w:rPr>
            </w:pPr>
            <w:r>
              <w:fldChar w:fldCharType="begin"/>
            </w:r>
            <w:r>
              <w:instrText xml:space="preserve"> HYPERLINK "https://eur-lex.europa.eu/legal-content/RO/TXT/HTML/?uri=OJ:L_202302104" \l "ntc1-L_202302104RO.000302-E0001" </w:instrText>
            </w:r>
            <w:r>
              <w:fldChar w:fldCharType="separate"/>
            </w:r>
            <w:r>
              <w:rPr>
                <w:rStyle w:val="4"/>
                <w:color w:val="337AB7"/>
                <w:lang w:val="en-US"/>
              </w:rPr>
              <w:t>(</w:t>
            </w:r>
            <w:r>
              <w:rPr>
                <w:rStyle w:val="31"/>
                <w:color w:val="337AB7"/>
                <w:vertAlign w:val="superscript"/>
                <w:lang w:val="en-US"/>
              </w:rPr>
              <w:t>1</w:t>
            </w:r>
            <w:r>
              <w:rPr>
                <w:rStyle w:val="4"/>
                <w:color w:val="337AB7"/>
                <w:lang w:val="en-US"/>
              </w:rPr>
              <w:t>)</w:t>
            </w:r>
            <w:r>
              <w:rPr>
                <w:rStyle w:val="4"/>
                <w:color w:val="337AB7"/>
                <w:lang w:val="en-US"/>
              </w:rPr>
              <w:fldChar w:fldCharType="end"/>
            </w:r>
            <w:r>
              <w:rPr>
                <w:color w:val="000000"/>
                <w:lang w:val="en-US"/>
              </w:rPr>
              <w:t>  Hidrogen vândut de la furnizorul său unui operator de unitate de cogenerare.</w:t>
            </w:r>
          </w:p>
          <w:p w14:paraId="36B86877">
            <w:pPr>
              <w:pStyle w:val="32"/>
              <w:shd w:val="clear" w:color="auto" w:fill="FFFFFF"/>
              <w:spacing w:before="0" w:beforeAutospacing="0" w:after="0" w:afterAutospacing="0"/>
              <w:jc w:val="both"/>
              <w:rPr>
                <w:color w:val="000000"/>
                <w:lang w:val="en-US"/>
              </w:rPr>
            </w:pPr>
            <w:r>
              <w:fldChar w:fldCharType="begin"/>
            </w:r>
            <w:r>
              <w:instrText xml:space="preserve"> HYPERLINK "https://eur-lex.europa.eu/legal-content/RO/TXT/HTML/?uri=OJ:L_202302104" \l "ntc2-L_202302104RO.000302-E0002" </w:instrText>
            </w:r>
            <w:r>
              <w:fldChar w:fldCharType="separate"/>
            </w:r>
            <w:r>
              <w:rPr>
                <w:rStyle w:val="4"/>
                <w:color w:val="337AB7"/>
                <w:lang w:val="en-US"/>
              </w:rPr>
              <w:t>(</w:t>
            </w:r>
            <w:r>
              <w:rPr>
                <w:rStyle w:val="31"/>
                <w:color w:val="337AB7"/>
                <w:vertAlign w:val="superscript"/>
                <w:lang w:val="en-US"/>
              </w:rPr>
              <w:t>2</w:t>
            </w:r>
            <w:r>
              <w:rPr>
                <w:rStyle w:val="4"/>
                <w:color w:val="337AB7"/>
                <w:lang w:val="en-US"/>
              </w:rPr>
              <w:t>)</w:t>
            </w:r>
            <w:r>
              <w:rPr>
                <w:rStyle w:val="4"/>
                <w:color w:val="337AB7"/>
                <w:lang w:val="en-US"/>
              </w:rPr>
              <w:fldChar w:fldCharType="end"/>
            </w:r>
            <w:r>
              <w:rPr>
                <w:color w:val="000000"/>
                <w:lang w:val="en-US"/>
              </w:rPr>
              <w:t>  Prin e-gaze se înțelege combustibilul sintetic gazos provenit din hidrogenul din surse regenerabile și dioxidul de carbon captat fie dintr-o sursă concentrată, cum ar fi gazele de ardere provenite de la un sit industrial, fie din aer.</w:t>
            </w:r>
          </w:p>
          <w:p w14:paraId="5B8C72B9">
            <w:pPr>
              <w:pStyle w:val="32"/>
              <w:shd w:val="clear" w:color="auto" w:fill="FFFFFF"/>
              <w:spacing w:before="60" w:beforeAutospacing="0" w:after="60" w:afterAutospacing="0"/>
              <w:jc w:val="both"/>
              <w:rPr>
                <w:color w:val="000000"/>
                <w:lang w:val="en-US"/>
              </w:rPr>
            </w:pPr>
            <w:r>
              <w:fldChar w:fldCharType="begin"/>
            </w:r>
            <w:r>
              <w:instrText xml:space="preserve"> HYPERLINK "https://eur-lex.europa.eu/legal-content/RO/TXT/HTML/?uri=OJ:L_202302104" \l "ntc3-L_202302104RO.000501-E0001" </w:instrText>
            </w:r>
            <w:r>
              <w:fldChar w:fldCharType="separate"/>
            </w:r>
            <w:r>
              <w:rPr>
                <w:rStyle w:val="4"/>
                <w:color w:val="337AB7"/>
                <w:lang w:val="en-US"/>
              </w:rPr>
              <w:t>(</w:t>
            </w:r>
            <w:r>
              <w:rPr>
                <w:rStyle w:val="31"/>
                <w:color w:val="337AB7"/>
                <w:vertAlign w:val="superscript"/>
                <w:lang w:val="en-US"/>
              </w:rPr>
              <w:t>3</w:t>
            </w:r>
            <w:r>
              <w:rPr>
                <w:rStyle w:val="4"/>
                <w:color w:val="337AB7"/>
                <w:lang w:val="en-US"/>
              </w:rPr>
              <w:t>)</w:t>
            </w:r>
            <w:r>
              <w:rPr>
                <w:rStyle w:val="4"/>
                <w:color w:val="337AB7"/>
                <w:lang w:val="en-US"/>
              </w:rPr>
              <w:fldChar w:fldCharType="end"/>
            </w:r>
            <w:r>
              <w:rPr>
                <w:color w:val="000000"/>
                <w:lang w:val="en-US"/>
              </w:rPr>
              <w:t>  Dacă centralele de abur nu țin seama de returul sub formă de condens atunci când calculează randamentul termic al centralelor de cogenerare, valorile randamentului aburului din tabel ar trebui să fie majorate cu 5 puncte procentuale.</w:t>
            </w:r>
          </w:p>
          <w:p w14:paraId="3E772C37">
            <w:pPr>
              <w:pStyle w:val="32"/>
              <w:shd w:val="clear" w:color="auto" w:fill="FFFFFF"/>
              <w:spacing w:before="60" w:beforeAutospacing="0" w:after="60" w:afterAutospacing="0"/>
              <w:jc w:val="both"/>
              <w:rPr>
                <w:b/>
                <w:bCs/>
                <w:color w:val="000000"/>
                <w:lang w:val="zh-CN"/>
              </w:rPr>
            </w:pPr>
            <w:r>
              <w:fldChar w:fldCharType="begin"/>
            </w:r>
            <w:r>
              <w:instrText xml:space="preserve"> HYPERLINK "https://eur-lex.europa.eu/legal-content/RO/TXT/HTML/?uri=OJ:L_202302104" \l "ntc4-L_202302104RO.000501-E0002" </w:instrText>
            </w:r>
            <w:r>
              <w:fldChar w:fldCharType="separate"/>
            </w:r>
            <w:r>
              <w:rPr>
                <w:rStyle w:val="4"/>
                <w:color w:val="337AB7"/>
                <w:lang w:val="en-US"/>
              </w:rPr>
              <w:t>(</w:t>
            </w:r>
            <w:r>
              <w:rPr>
                <w:rStyle w:val="31"/>
                <w:color w:val="337AB7"/>
                <w:vertAlign w:val="superscript"/>
                <w:lang w:val="en-US"/>
              </w:rPr>
              <w:t>4</w:t>
            </w:r>
            <w:r>
              <w:rPr>
                <w:rStyle w:val="4"/>
                <w:color w:val="337AB7"/>
                <w:lang w:val="en-US"/>
              </w:rPr>
              <w:t>)</w:t>
            </w:r>
            <w:r>
              <w:rPr>
                <w:rStyle w:val="4"/>
                <w:color w:val="337AB7"/>
                <w:lang w:val="en-US"/>
              </w:rPr>
              <w:fldChar w:fldCharType="end"/>
            </w:r>
            <w:r>
              <w:rPr>
                <w:color w:val="000000"/>
                <w:lang w:val="en-US"/>
              </w:rPr>
              <w:t>  Valorile corespunzătoare căldurii directe se utilizează dacă temperatura este de cel puțin 250 °C.</w:t>
            </w:r>
          </w:p>
        </w:tc>
        <w:tc>
          <w:tcPr>
            <w:tcW w:w="3379" w:type="dxa"/>
          </w:tcPr>
          <w:p w14:paraId="5FDB64A4">
            <w:pPr>
              <w:pStyle w:val="5"/>
              <w:ind w:left="0" w:leftChars="0" w:firstLine="0" w:firstLineChars="0"/>
              <w:rPr>
                <w:lang w:val="en-US" w:eastAsia="zh-CN"/>
              </w:rPr>
            </w:pPr>
            <w:r>
              <w:rPr>
                <w:lang w:val="en-US" w:eastAsia="zh-CN"/>
              </w:rPr>
              <w:t xml:space="preserve">2) Punctul 1 din Anexa nr. 2 va avea următorul conținut: </w:t>
            </w:r>
            <w:r>
              <w:rPr>
                <w:lang w:val="en-US"/>
              </w:rPr>
              <w:t>„</w:t>
            </w:r>
            <w:r>
              <w:rPr>
                <w:i/>
                <w:iCs/>
                <w:lang w:val="en-US"/>
              </w:rPr>
              <w:t xml:space="preserve">1. </w:t>
            </w:r>
            <w:r>
              <w:rPr>
                <w:i/>
                <w:iCs/>
              </w:rPr>
              <w:t>V</w:t>
            </w:r>
            <w:r>
              <w:rPr>
                <w:i/>
                <w:iCs/>
                <w:lang w:val="zh-CN"/>
              </w:rPr>
              <w:t>alorile de referinţă armonizate ale eficienţei pentru producerea separată de energie termică</w:t>
            </w:r>
            <w:r>
              <w:rPr>
                <w:i/>
                <w:iCs/>
                <w:lang w:val="it-IT"/>
              </w:rPr>
              <w:t xml:space="preserve"> sînt prezentate în tabelul de mai jos: </w:t>
            </w:r>
            <w:r>
              <w:rPr>
                <w:lang w:val="en-US" w:eastAsia="zh-CN"/>
              </w:rPr>
              <w:t>(</w:t>
            </w:r>
            <w:r>
              <w:rPr>
                <w:i/>
                <w:iCs/>
                <w:lang w:val="en-US" w:eastAsia="zh-CN"/>
              </w:rPr>
              <w:t>a se vedea Anexa nr. 2 la prezentul Tabel de concordanță</w:t>
            </w:r>
            <w:r>
              <w:rPr>
                <w:lang w:val="en-US" w:eastAsia="zh-CN"/>
              </w:rPr>
              <w:t>)</w:t>
            </w:r>
          </w:p>
          <w:p w14:paraId="7CE81D1B">
            <w:pPr>
              <w:pStyle w:val="7"/>
              <w:jc w:val="center"/>
              <w:rPr>
                <w:rFonts w:ascii="Times New Roman" w:hAnsi="Times New Roman" w:cs="Times New Roman"/>
                <w:b/>
                <w:bCs/>
              </w:rPr>
            </w:pPr>
          </w:p>
        </w:tc>
        <w:tc>
          <w:tcPr>
            <w:tcW w:w="1440" w:type="dxa"/>
          </w:tcPr>
          <w:p w14:paraId="6FB1A0EC">
            <w:pPr>
              <w:pStyle w:val="7"/>
              <w:rPr>
                <w:rFonts w:ascii="Times New Roman" w:hAnsi="Times New Roman" w:cs="Times New Roman"/>
                <w:b/>
                <w:bCs/>
              </w:rPr>
            </w:pPr>
          </w:p>
        </w:tc>
        <w:tc>
          <w:tcPr>
            <w:tcW w:w="2127" w:type="dxa"/>
          </w:tcPr>
          <w:p w14:paraId="0C77715A">
            <w:pPr>
              <w:spacing w:after="0" w:line="240" w:lineRule="auto"/>
              <w:jc w:val="both"/>
              <w:rPr>
                <w:rFonts w:ascii="Times New Roman" w:hAnsi="Times New Roman" w:cs="Times New Roman"/>
                <w:b/>
                <w:sz w:val="24"/>
                <w:szCs w:val="24"/>
                <w:lang w:val="en-US"/>
              </w:rPr>
            </w:pPr>
            <w:r>
              <w:rPr>
                <w:rFonts w:ascii="Times New Roman" w:hAnsi="Times New Roman"/>
                <w:sz w:val="24"/>
                <w:szCs w:val="24"/>
                <w:lang w:val="ro-RO"/>
              </w:rPr>
              <w:t>Au fost excluse doar acele tipuri de combustibil care nu se utilizează pe teritoriul Republicii Moldova.</w:t>
            </w:r>
          </w:p>
        </w:tc>
        <w:tc>
          <w:tcPr>
            <w:tcW w:w="992" w:type="dxa"/>
          </w:tcPr>
          <w:p w14:paraId="5D4447A9">
            <w:pPr>
              <w:spacing w:after="0" w:line="240" w:lineRule="auto"/>
              <w:rPr>
                <w:rFonts w:ascii="Times New Roman" w:hAnsi="Times New Roman" w:cs="Times New Roman"/>
                <w:b/>
                <w:sz w:val="24"/>
                <w:szCs w:val="24"/>
                <w:lang w:val="ro-RO"/>
              </w:rPr>
            </w:pPr>
          </w:p>
        </w:tc>
        <w:tc>
          <w:tcPr>
            <w:tcW w:w="1527" w:type="dxa"/>
          </w:tcPr>
          <w:p w14:paraId="1F7E008E">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14:paraId="7FAA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49" w:type="dxa"/>
            <w:gridSpan w:val="2"/>
          </w:tcPr>
          <w:p w14:paraId="5A854AF0">
            <w:pPr>
              <w:shd w:val="clear" w:color="auto" w:fill="FFFFFF"/>
              <w:spacing w:after="0" w:line="240" w:lineRule="auto"/>
              <w:jc w:val="center"/>
              <w:rPr>
                <w:rFonts w:ascii="Times New Roman" w:hAnsi="Times New Roman" w:eastAsia="Times New Roman" w:cs="Times New Roman"/>
                <w:b/>
                <w:bCs/>
                <w:color w:val="000000"/>
                <w:sz w:val="24"/>
                <w:szCs w:val="24"/>
                <w:lang w:val="en-US" w:eastAsia="zh-CN"/>
              </w:rPr>
            </w:pPr>
            <w:r>
              <w:rPr>
                <w:rFonts w:ascii="Times New Roman" w:hAnsi="Times New Roman" w:eastAsia="Times New Roman" w:cs="Times New Roman"/>
                <w:b/>
                <w:bCs/>
                <w:color w:val="000000"/>
                <w:sz w:val="24"/>
                <w:szCs w:val="24"/>
                <w:lang w:val="en-US" w:eastAsia="zh-CN"/>
              </w:rPr>
              <w:t>ANEXA II</w:t>
            </w:r>
          </w:p>
          <w:p w14:paraId="4698CEAD">
            <w:pPr>
              <w:shd w:val="clear" w:color="auto" w:fill="FFFFFF"/>
              <w:spacing w:after="0" w:line="240" w:lineRule="auto"/>
              <w:jc w:val="center"/>
              <w:rPr>
                <w:rFonts w:ascii="Times New Roman" w:hAnsi="Times New Roman" w:eastAsia="Times New Roman" w:cs="Times New Roman"/>
                <w:b/>
                <w:bCs/>
                <w:i/>
                <w:iCs/>
                <w:color w:val="000000"/>
                <w:sz w:val="24"/>
                <w:szCs w:val="24"/>
                <w:lang w:val="en-US" w:eastAsia="zh-CN"/>
              </w:rPr>
            </w:pPr>
            <w:r>
              <w:rPr>
                <w:rFonts w:ascii="Times New Roman" w:hAnsi="Times New Roman" w:eastAsia="Times New Roman" w:cs="Times New Roman"/>
                <w:b/>
                <w:bCs/>
                <w:i/>
                <w:iCs/>
                <w:color w:val="000000"/>
                <w:sz w:val="24"/>
                <w:szCs w:val="24"/>
                <w:lang w:val="en-US" w:eastAsia="zh-CN"/>
              </w:rPr>
              <w:t>„ANEXA IV</w:t>
            </w:r>
          </w:p>
          <w:p w14:paraId="6F3D957E">
            <w:pPr>
              <w:shd w:val="clear" w:color="auto" w:fill="FFFFFF"/>
              <w:spacing w:after="0" w:line="240" w:lineRule="auto"/>
              <w:jc w:val="center"/>
              <w:rPr>
                <w:rFonts w:ascii="Times New Roman" w:hAnsi="Times New Roman" w:eastAsia="Times New Roman" w:cs="Times New Roman"/>
                <w:b/>
                <w:bCs/>
                <w:i/>
                <w:iCs/>
                <w:color w:val="000000"/>
                <w:sz w:val="24"/>
                <w:szCs w:val="24"/>
                <w:lang w:val="en-US" w:eastAsia="zh-CN"/>
              </w:rPr>
            </w:pPr>
            <w:r>
              <w:rPr>
                <w:rFonts w:ascii="Times New Roman" w:hAnsi="Times New Roman" w:eastAsia="Times New Roman" w:cs="Times New Roman"/>
                <w:b/>
                <w:bCs/>
                <w:i/>
                <w:iCs/>
                <w:color w:val="000000"/>
                <w:sz w:val="24"/>
                <w:szCs w:val="24"/>
                <w:lang w:val="en-US" w:eastAsia="zh-CN"/>
              </w:rPr>
              <w:t>Factorii de corecție referitori la pierderile în rețea evitate, utilizați pentru aplicarea valorilor de referință armonizate ale randamentului pentru producția separată de energie electrică</w:t>
            </w:r>
          </w:p>
          <w:p w14:paraId="289CEA07">
            <w:pPr>
              <w:shd w:val="clear" w:color="auto" w:fill="FFFFFF"/>
              <w:spacing w:after="0" w:line="240" w:lineRule="auto"/>
              <w:jc w:val="center"/>
              <w:rPr>
                <w:rFonts w:ascii="Times New Roman" w:hAnsi="Times New Roman" w:eastAsia="Times New Roman" w:cs="Times New Roman"/>
                <w:b/>
                <w:bCs/>
                <w:i/>
                <w:iCs/>
                <w:color w:val="000000"/>
                <w:sz w:val="24"/>
                <w:szCs w:val="24"/>
                <w:lang w:val="ru-RU" w:eastAsia="zh-CN"/>
              </w:rPr>
            </w:pPr>
            <w:r>
              <w:rPr>
                <w:rFonts w:ascii="Times New Roman" w:hAnsi="Times New Roman" w:eastAsia="Times New Roman" w:cs="Times New Roman"/>
                <w:b/>
                <w:bCs/>
                <w:i/>
                <w:iCs/>
                <w:color w:val="000000"/>
                <w:sz w:val="24"/>
                <w:szCs w:val="24"/>
                <w:lang w:val="ru-RU" w:eastAsia="zh-CN"/>
              </w:rPr>
              <w:t>[menționați la articolul 2 alineatul (2)]</w:t>
            </w:r>
          </w:p>
          <w:tbl>
            <w:tblPr>
              <w:tblStyle w:val="3"/>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42"/>
              <w:gridCol w:w="1919"/>
              <w:gridCol w:w="2156"/>
            </w:tblGrid>
            <w:tr w14:paraId="2856CD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775" w:type="dxa"/>
                  <w:tcBorders>
                    <w:top w:val="single" w:color="000000" w:sz="6" w:space="0"/>
                    <w:left w:val="single" w:color="000000" w:sz="6" w:space="0"/>
                    <w:bottom w:val="single" w:color="000000" w:sz="6" w:space="0"/>
                    <w:right w:val="single" w:color="000000" w:sz="6" w:space="0"/>
                  </w:tcBorders>
                  <w:shd w:val="clear" w:color="auto" w:fill="auto"/>
                </w:tcPr>
                <w:p w14:paraId="26CACDB6">
                  <w:pPr>
                    <w:spacing w:before="60" w:after="60" w:line="240" w:lineRule="auto"/>
                    <w:ind w:right="195"/>
                    <w:jc w:val="center"/>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Nivelul tensiunii la racordare</w:t>
                  </w:r>
                </w:p>
              </w:tc>
              <w:tc>
                <w:tcPr>
                  <w:tcW w:w="3247" w:type="dxa"/>
                  <w:tcBorders>
                    <w:top w:val="single" w:color="000000" w:sz="6" w:space="0"/>
                    <w:left w:val="single" w:color="000000" w:sz="6" w:space="0"/>
                    <w:bottom w:val="single" w:color="000000" w:sz="6" w:space="0"/>
                    <w:right w:val="single" w:color="000000" w:sz="6" w:space="0"/>
                  </w:tcBorders>
                  <w:shd w:val="clear" w:color="auto" w:fill="auto"/>
                </w:tcPr>
                <w:p w14:paraId="4D427750">
                  <w:pPr>
                    <w:spacing w:before="60" w:after="60" w:line="240" w:lineRule="auto"/>
                    <w:ind w:right="195"/>
                    <w:jc w:val="center"/>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Factor de corecție (în afara locației)</w:t>
                  </w:r>
                </w:p>
              </w:tc>
              <w:tc>
                <w:tcPr>
                  <w:tcW w:w="3651" w:type="dxa"/>
                  <w:tcBorders>
                    <w:top w:val="single" w:color="000000" w:sz="6" w:space="0"/>
                    <w:left w:val="single" w:color="000000" w:sz="6" w:space="0"/>
                    <w:bottom w:val="single" w:color="000000" w:sz="6" w:space="0"/>
                    <w:right w:val="single" w:color="000000" w:sz="6" w:space="0"/>
                  </w:tcBorders>
                  <w:shd w:val="clear" w:color="auto" w:fill="auto"/>
                </w:tcPr>
                <w:p w14:paraId="09E81ABF">
                  <w:pPr>
                    <w:spacing w:before="60" w:after="60" w:line="240" w:lineRule="auto"/>
                    <w:ind w:right="195"/>
                    <w:jc w:val="center"/>
                    <w:rPr>
                      <w:rFonts w:ascii="Times New Roman" w:hAnsi="Times New Roman" w:eastAsia="Times New Roman" w:cs="Times New Roman"/>
                      <w:b/>
                      <w:bCs/>
                      <w:sz w:val="24"/>
                      <w:szCs w:val="24"/>
                      <w:lang w:eastAsia="zh-CN"/>
                    </w:rPr>
                  </w:pPr>
                  <w:r>
                    <w:rPr>
                      <w:rFonts w:ascii="Times New Roman" w:hAnsi="Times New Roman" w:eastAsia="Times New Roman" w:cs="Times New Roman"/>
                      <w:b/>
                      <w:bCs/>
                      <w:sz w:val="24"/>
                      <w:szCs w:val="24"/>
                      <w:lang w:eastAsia="zh-CN"/>
                    </w:rPr>
                    <w:t>Factor de corecție (în interiorul locației)</w:t>
                  </w:r>
                </w:p>
              </w:tc>
            </w:tr>
            <w:tr w14:paraId="277F02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775" w:type="dxa"/>
                  <w:tcBorders>
                    <w:top w:val="single" w:color="000000" w:sz="6" w:space="0"/>
                    <w:left w:val="single" w:color="000000" w:sz="6" w:space="0"/>
                    <w:bottom w:val="single" w:color="000000" w:sz="6" w:space="0"/>
                    <w:right w:val="single" w:color="000000" w:sz="6" w:space="0"/>
                  </w:tcBorders>
                  <w:shd w:val="clear" w:color="auto" w:fill="auto"/>
                </w:tcPr>
                <w:p w14:paraId="250FF558">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345 kV</w:t>
                  </w:r>
                </w:p>
              </w:tc>
              <w:tc>
                <w:tcPr>
                  <w:tcW w:w="3247" w:type="dxa"/>
                  <w:tcBorders>
                    <w:top w:val="single" w:color="000000" w:sz="6" w:space="0"/>
                    <w:left w:val="single" w:color="000000" w:sz="6" w:space="0"/>
                    <w:bottom w:val="single" w:color="000000" w:sz="6" w:space="0"/>
                    <w:right w:val="single" w:color="000000" w:sz="6" w:space="0"/>
                  </w:tcBorders>
                  <w:shd w:val="clear" w:color="auto" w:fill="auto"/>
                </w:tcPr>
                <w:p w14:paraId="70440509">
                  <w:pPr>
                    <w:spacing w:before="60" w:after="60" w:line="240" w:lineRule="auto"/>
                    <w:ind w:right="195"/>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1</w:t>
                  </w:r>
                </w:p>
              </w:tc>
              <w:tc>
                <w:tcPr>
                  <w:tcW w:w="3651" w:type="dxa"/>
                  <w:tcBorders>
                    <w:top w:val="single" w:color="000000" w:sz="6" w:space="0"/>
                    <w:left w:val="single" w:color="000000" w:sz="6" w:space="0"/>
                    <w:bottom w:val="single" w:color="000000" w:sz="6" w:space="0"/>
                    <w:right w:val="single" w:color="000000" w:sz="6" w:space="0"/>
                  </w:tcBorders>
                  <w:shd w:val="clear" w:color="auto" w:fill="auto"/>
                </w:tcPr>
                <w:p w14:paraId="7C8222D3">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0,976</w:t>
                  </w:r>
                </w:p>
              </w:tc>
            </w:tr>
            <w:tr w14:paraId="017AA2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775" w:type="dxa"/>
                  <w:tcBorders>
                    <w:top w:val="single" w:color="000000" w:sz="6" w:space="0"/>
                    <w:left w:val="single" w:color="000000" w:sz="6" w:space="0"/>
                    <w:bottom w:val="single" w:color="000000" w:sz="6" w:space="0"/>
                    <w:right w:val="single" w:color="000000" w:sz="6" w:space="0"/>
                  </w:tcBorders>
                  <w:shd w:val="clear" w:color="auto" w:fill="auto"/>
                </w:tcPr>
                <w:p w14:paraId="4E9EE9FA">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200 - &lt; 345 kV</w:t>
                  </w:r>
                </w:p>
              </w:tc>
              <w:tc>
                <w:tcPr>
                  <w:tcW w:w="3247" w:type="dxa"/>
                  <w:tcBorders>
                    <w:top w:val="single" w:color="000000" w:sz="6" w:space="0"/>
                    <w:left w:val="single" w:color="000000" w:sz="6" w:space="0"/>
                    <w:bottom w:val="single" w:color="000000" w:sz="6" w:space="0"/>
                    <w:right w:val="single" w:color="000000" w:sz="6" w:space="0"/>
                  </w:tcBorders>
                  <w:shd w:val="clear" w:color="auto" w:fill="auto"/>
                </w:tcPr>
                <w:p w14:paraId="4182ED0B">
                  <w:pPr>
                    <w:spacing w:before="60" w:after="60" w:line="240" w:lineRule="auto"/>
                    <w:ind w:right="195"/>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0,972</w:t>
                  </w:r>
                </w:p>
              </w:tc>
              <w:tc>
                <w:tcPr>
                  <w:tcW w:w="3651" w:type="dxa"/>
                  <w:tcBorders>
                    <w:top w:val="single" w:color="000000" w:sz="6" w:space="0"/>
                    <w:left w:val="single" w:color="000000" w:sz="6" w:space="0"/>
                    <w:bottom w:val="single" w:color="000000" w:sz="6" w:space="0"/>
                    <w:right w:val="single" w:color="000000" w:sz="6" w:space="0"/>
                  </w:tcBorders>
                  <w:shd w:val="clear" w:color="auto" w:fill="auto"/>
                </w:tcPr>
                <w:p w14:paraId="56CC94F0">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0,963</w:t>
                  </w:r>
                </w:p>
              </w:tc>
            </w:tr>
            <w:tr w14:paraId="7D68D0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775" w:type="dxa"/>
                  <w:tcBorders>
                    <w:top w:val="single" w:color="000000" w:sz="6" w:space="0"/>
                    <w:left w:val="single" w:color="000000" w:sz="6" w:space="0"/>
                    <w:bottom w:val="single" w:color="000000" w:sz="6" w:space="0"/>
                    <w:right w:val="single" w:color="000000" w:sz="6" w:space="0"/>
                  </w:tcBorders>
                  <w:shd w:val="clear" w:color="auto" w:fill="auto"/>
                </w:tcPr>
                <w:p w14:paraId="58AB0895">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100 - &lt; 200 kV</w:t>
                  </w:r>
                </w:p>
              </w:tc>
              <w:tc>
                <w:tcPr>
                  <w:tcW w:w="3247" w:type="dxa"/>
                  <w:tcBorders>
                    <w:top w:val="single" w:color="000000" w:sz="6" w:space="0"/>
                    <w:left w:val="single" w:color="000000" w:sz="6" w:space="0"/>
                    <w:bottom w:val="single" w:color="000000" w:sz="6" w:space="0"/>
                    <w:right w:val="single" w:color="000000" w:sz="6" w:space="0"/>
                  </w:tcBorders>
                  <w:shd w:val="clear" w:color="auto" w:fill="auto"/>
                </w:tcPr>
                <w:p w14:paraId="34751D3D">
                  <w:pPr>
                    <w:spacing w:before="60" w:after="60" w:line="240" w:lineRule="auto"/>
                    <w:ind w:right="195"/>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0,963</w:t>
                  </w:r>
                </w:p>
              </w:tc>
              <w:tc>
                <w:tcPr>
                  <w:tcW w:w="3651" w:type="dxa"/>
                  <w:tcBorders>
                    <w:top w:val="single" w:color="000000" w:sz="6" w:space="0"/>
                    <w:left w:val="single" w:color="000000" w:sz="6" w:space="0"/>
                    <w:bottom w:val="single" w:color="000000" w:sz="6" w:space="0"/>
                    <w:right w:val="single" w:color="000000" w:sz="6" w:space="0"/>
                  </w:tcBorders>
                  <w:shd w:val="clear" w:color="auto" w:fill="auto"/>
                </w:tcPr>
                <w:p w14:paraId="0BEF7BB0">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0,951</w:t>
                  </w:r>
                </w:p>
              </w:tc>
            </w:tr>
            <w:tr w14:paraId="3B7B4C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775" w:type="dxa"/>
                  <w:tcBorders>
                    <w:top w:val="single" w:color="000000" w:sz="6" w:space="0"/>
                    <w:left w:val="single" w:color="000000" w:sz="6" w:space="0"/>
                    <w:bottom w:val="single" w:color="000000" w:sz="6" w:space="0"/>
                    <w:right w:val="single" w:color="000000" w:sz="6" w:space="0"/>
                  </w:tcBorders>
                  <w:shd w:val="clear" w:color="auto" w:fill="auto"/>
                </w:tcPr>
                <w:p w14:paraId="39081662">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50 - &lt; 100 kV</w:t>
                  </w:r>
                </w:p>
              </w:tc>
              <w:tc>
                <w:tcPr>
                  <w:tcW w:w="3247" w:type="dxa"/>
                  <w:tcBorders>
                    <w:top w:val="single" w:color="000000" w:sz="6" w:space="0"/>
                    <w:left w:val="single" w:color="000000" w:sz="6" w:space="0"/>
                    <w:bottom w:val="single" w:color="000000" w:sz="6" w:space="0"/>
                    <w:right w:val="single" w:color="000000" w:sz="6" w:space="0"/>
                  </w:tcBorders>
                  <w:shd w:val="clear" w:color="auto" w:fill="auto"/>
                </w:tcPr>
                <w:p w14:paraId="064F9023">
                  <w:pPr>
                    <w:spacing w:before="60" w:after="60" w:line="240" w:lineRule="auto"/>
                    <w:ind w:right="195"/>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0,952</w:t>
                  </w:r>
                </w:p>
              </w:tc>
              <w:tc>
                <w:tcPr>
                  <w:tcW w:w="3651" w:type="dxa"/>
                  <w:tcBorders>
                    <w:top w:val="single" w:color="000000" w:sz="6" w:space="0"/>
                    <w:left w:val="single" w:color="000000" w:sz="6" w:space="0"/>
                    <w:bottom w:val="single" w:color="000000" w:sz="6" w:space="0"/>
                    <w:right w:val="single" w:color="000000" w:sz="6" w:space="0"/>
                  </w:tcBorders>
                  <w:shd w:val="clear" w:color="auto" w:fill="auto"/>
                </w:tcPr>
                <w:p w14:paraId="35593CB9">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0,936</w:t>
                  </w:r>
                </w:p>
              </w:tc>
            </w:tr>
            <w:tr w14:paraId="16BF24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775" w:type="dxa"/>
                  <w:tcBorders>
                    <w:top w:val="single" w:color="000000" w:sz="6" w:space="0"/>
                    <w:left w:val="single" w:color="000000" w:sz="6" w:space="0"/>
                    <w:bottom w:val="single" w:color="000000" w:sz="6" w:space="0"/>
                    <w:right w:val="single" w:color="000000" w:sz="6" w:space="0"/>
                  </w:tcBorders>
                  <w:shd w:val="clear" w:color="auto" w:fill="auto"/>
                </w:tcPr>
                <w:p w14:paraId="04428055">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12 - &lt; 50 kV</w:t>
                  </w:r>
                </w:p>
              </w:tc>
              <w:tc>
                <w:tcPr>
                  <w:tcW w:w="3247" w:type="dxa"/>
                  <w:tcBorders>
                    <w:top w:val="single" w:color="000000" w:sz="6" w:space="0"/>
                    <w:left w:val="single" w:color="000000" w:sz="6" w:space="0"/>
                    <w:bottom w:val="single" w:color="000000" w:sz="6" w:space="0"/>
                    <w:right w:val="single" w:color="000000" w:sz="6" w:space="0"/>
                  </w:tcBorders>
                  <w:shd w:val="clear" w:color="auto" w:fill="auto"/>
                </w:tcPr>
                <w:p w14:paraId="0641EFC2">
                  <w:pPr>
                    <w:spacing w:before="60" w:after="60" w:line="240" w:lineRule="auto"/>
                    <w:ind w:right="195"/>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0,935</w:t>
                  </w:r>
                </w:p>
              </w:tc>
              <w:tc>
                <w:tcPr>
                  <w:tcW w:w="3651" w:type="dxa"/>
                  <w:tcBorders>
                    <w:top w:val="single" w:color="000000" w:sz="6" w:space="0"/>
                    <w:left w:val="single" w:color="000000" w:sz="6" w:space="0"/>
                    <w:bottom w:val="single" w:color="000000" w:sz="6" w:space="0"/>
                    <w:right w:val="single" w:color="000000" w:sz="6" w:space="0"/>
                  </w:tcBorders>
                  <w:shd w:val="clear" w:color="auto" w:fill="auto"/>
                </w:tcPr>
                <w:p w14:paraId="2A97A5C4">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0,914</w:t>
                  </w:r>
                </w:p>
              </w:tc>
            </w:tr>
            <w:tr w14:paraId="662E6F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775" w:type="dxa"/>
                  <w:tcBorders>
                    <w:top w:val="single" w:color="000000" w:sz="6" w:space="0"/>
                    <w:left w:val="single" w:color="000000" w:sz="6" w:space="0"/>
                    <w:bottom w:val="single" w:color="000000" w:sz="6" w:space="0"/>
                    <w:right w:val="single" w:color="000000" w:sz="6" w:space="0"/>
                  </w:tcBorders>
                  <w:shd w:val="clear" w:color="auto" w:fill="auto"/>
                </w:tcPr>
                <w:p w14:paraId="3DDC83C1">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0,45 - &lt; 12 kV</w:t>
                  </w:r>
                </w:p>
              </w:tc>
              <w:tc>
                <w:tcPr>
                  <w:tcW w:w="3247" w:type="dxa"/>
                  <w:tcBorders>
                    <w:top w:val="single" w:color="000000" w:sz="6" w:space="0"/>
                    <w:left w:val="single" w:color="000000" w:sz="6" w:space="0"/>
                    <w:bottom w:val="single" w:color="000000" w:sz="6" w:space="0"/>
                    <w:right w:val="single" w:color="000000" w:sz="6" w:space="0"/>
                  </w:tcBorders>
                  <w:shd w:val="clear" w:color="auto" w:fill="auto"/>
                </w:tcPr>
                <w:p w14:paraId="4FB76B0A">
                  <w:pPr>
                    <w:spacing w:before="60" w:after="60" w:line="240" w:lineRule="auto"/>
                    <w:ind w:right="195"/>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0,918</w:t>
                  </w:r>
                </w:p>
              </w:tc>
              <w:tc>
                <w:tcPr>
                  <w:tcW w:w="3651" w:type="dxa"/>
                  <w:tcBorders>
                    <w:top w:val="single" w:color="000000" w:sz="6" w:space="0"/>
                    <w:left w:val="single" w:color="000000" w:sz="6" w:space="0"/>
                    <w:bottom w:val="single" w:color="000000" w:sz="6" w:space="0"/>
                    <w:right w:val="single" w:color="000000" w:sz="6" w:space="0"/>
                  </w:tcBorders>
                  <w:shd w:val="clear" w:color="auto" w:fill="auto"/>
                </w:tcPr>
                <w:p w14:paraId="4A923600">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0,891</w:t>
                  </w:r>
                </w:p>
              </w:tc>
            </w:tr>
            <w:tr w14:paraId="0E4279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775" w:type="dxa"/>
                  <w:tcBorders>
                    <w:top w:val="single" w:color="000000" w:sz="6" w:space="0"/>
                    <w:left w:val="single" w:color="000000" w:sz="6" w:space="0"/>
                    <w:bottom w:val="single" w:color="000000" w:sz="6" w:space="0"/>
                    <w:right w:val="single" w:color="000000" w:sz="6" w:space="0"/>
                  </w:tcBorders>
                  <w:shd w:val="clear" w:color="auto" w:fill="auto"/>
                </w:tcPr>
                <w:p w14:paraId="1E87927D">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&lt; 0,45 kV</w:t>
                  </w:r>
                </w:p>
              </w:tc>
              <w:tc>
                <w:tcPr>
                  <w:tcW w:w="3247" w:type="dxa"/>
                  <w:tcBorders>
                    <w:top w:val="single" w:color="000000" w:sz="6" w:space="0"/>
                    <w:left w:val="single" w:color="000000" w:sz="6" w:space="0"/>
                    <w:bottom w:val="single" w:color="000000" w:sz="6" w:space="0"/>
                    <w:right w:val="single" w:color="000000" w:sz="6" w:space="0"/>
                  </w:tcBorders>
                  <w:shd w:val="clear" w:color="auto" w:fill="auto"/>
                </w:tcPr>
                <w:p w14:paraId="520B8745">
                  <w:pPr>
                    <w:spacing w:before="60" w:after="60" w:line="240" w:lineRule="auto"/>
                    <w:ind w:right="195"/>
                    <w:jc w:val="right"/>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0,888</w:t>
                  </w:r>
                </w:p>
              </w:tc>
              <w:tc>
                <w:tcPr>
                  <w:tcW w:w="3651" w:type="dxa"/>
                  <w:tcBorders>
                    <w:top w:val="single" w:color="000000" w:sz="6" w:space="0"/>
                    <w:left w:val="single" w:color="000000" w:sz="6" w:space="0"/>
                    <w:bottom w:val="single" w:color="000000" w:sz="6" w:space="0"/>
                    <w:right w:val="single" w:color="000000" w:sz="6" w:space="0"/>
                  </w:tcBorders>
                  <w:shd w:val="clear" w:color="auto" w:fill="auto"/>
                </w:tcPr>
                <w:p w14:paraId="1F51554F">
                  <w:pPr>
                    <w:spacing w:before="60" w:after="60"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0,851</w:t>
                  </w:r>
                </w:p>
              </w:tc>
            </w:tr>
          </w:tbl>
          <w:p w14:paraId="272D16F7">
            <w:pPr>
              <w:shd w:val="clear" w:color="auto" w:fill="FFFFFF"/>
              <w:spacing w:after="0" w:line="240" w:lineRule="auto"/>
              <w:jc w:val="both"/>
              <w:rPr>
                <w:rFonts w:ascii="Times New Roman" w:hAnsi="Times New Roman" w:eastAsia="Times New Roman" w:cs="Times New Roman"/>
                <w:color w:val="000000"/>
                <w:sz w:val="24"/>
                <w:szCs w:val="24"/>
                <w:lang w:val="zh-CN" w:eastAsia="zh-CN"/>
              </w:rPr>
            </w:pPr>
            <w:r>
              <w:rPr>
                <w:rFonts w:ascii="Times New Roman" w:hAnsi="Times New Roman" w:eastAsia="Times New Roman" w:cs="Times New Roman"/>
                <w:i/>
                <w:iCs/>
                <w:color w:val="000000"/>
                <w:sz w:val="24"/>
                <w:szCs w:val="24"/>
                <w:lang w:val="zh-CN" w:eastAsia="zh-CN"/>
              </w:rPr>
              <w:t>Exemplu:</w:t>
            </w:r>
          </w:p>
          <w:p w14:paraId="07D6DBDF">
            <w:pPr>
              <w:shd w:val="clear" w:color="auto" w:fill="FFFFFF"/>
              <w:spacing w:after="0" w:line="240" w:lineRule="auto"/>
              <w:jc w:val="both"/>
              <w:rPr>
                <w:rFonts w:ascii="Times New Roman" w:hAnsi="Times New Roman" w:eastAsia="Times New Roman" w:cs="Times New Roman"/>
                <w:color w:val="000000"/>
                <w:sz w:val="24"/>
                <w:szCs w:val="24"/>
                <w:lang w:val="en-US" w:eastAsia="zh-CN"/>
              </w:rPr>
            </w:pPr>
            <w:r>
              <w:rPr>
                <w:rFonts w:ascii="Times New Roman" w:hAnsi="Times New Roman" w:eastAsia="Times New Roman" w:cs="Times New Roman"/>
                <w:color w:val="000000"/>
                <w:sz w:val="24"/>
                <w:szCs w:val="24"/>
                <w:lang w:val="en-US" w:eastAsia="zh-CN"/>
              </w:rPr>
              <w:t>O unitate de cogenerare de 100 kWel cu motor alternativ care funcționează cu gaz natural produce energie electrică la 380 V. 85 % din această energie este utilizată pentru consumul propriu și 15 % este exportată în rețea. Centrala a fost construită în 2020. Temperatura ambiantă anuală este de 15 °C (deci nu este necesară nicio corecție climatică).</w:t>
            </w:r>
          </w:p>
          <w:p w14:paraId="58BDC131">
            <w:pPr>
              <w:shd w:val="clear" w:color="auto" w:fill="FFFFFF"/>
              <w:spacing w:after="0" w:line="240" w:lineRule="auto"/>
              <w:jc w:val="both"/>
              <w:rPr>
                <w:rFonts w:ascii="Times New Roman" w:hAnsi="Times New Roman" w:eastAsia="Times New Roman" w:cs="Times New Roman"/>
                <w:color w:val="000000"/>
                <w:sz w:val="24"/>
                <w:szCs w:val="24"/>
                <w:lang w:val="en-US" w:eastAsia="zh-CN"/>
              </w:rPr>
            </w:pPr>
            <w:r>
              <w:rPr>
                <w:rFonts w:ascii="Times New Roman" w:hAnsi="Times New Roman" w:eastAsia="Times New Roman" w:cs="Times New Roman"/>
                <w:color w:val="000000"/>
                <w:sz w:val="24"/>
                <w:szCs w:val="24"/>
                <w:lang w:val="en-US" w:eastAsia="zh-CN"/>
              </w:rPr>
              <w:t>După corecția pentru pierderile în rețea, valoarea de referință a randamentului pentru producția separată de energie, rezultată în cazul acestei unități de cogenerare este, pe baza mediei ponderate a factorilor din prezenta anexă:</w:t>
            </w:r>
          </w:p>
          <w:p w14:paraId="0F73D05C">
            <w:pPr>
              <w:shd w:val="clear" w:color="auto" w:fill="FFFFFF"/>
              <w:spacing w:after="0" w:line="240" w:lineRule="auto"/>
              <w:jc w:val="both"/>
              <w:rPr>
                <w:rFonts w:ascii="Times New Roman" w:hAnsi="Times New Roman" w:cs="Times New Roman"/>
                <w:b/>
                <w:bCs/>
                <w:i/>
                <w:iCs/>
                <w:color w:val="000000"/>
                <w:sz w:val="24"/>
                <w:szCs w:val="24"/>
                <w:lang w:val="ru-RU"/>
              </w:rPr>
            </w:pPr>
            <w:r>
              <w:rPr>
                <w:rFonts w:ascii="Times New Roman" w:hAnsi="Times New Roman" w:eastAsia="Times New Roman" w:cs="Times New Roman"/>
                <w:color w:val="000000"/>
                <w:sz w:val="24"/>
                <w:szCs w:val="24"/>
                <w:lang w:val="ru-RU" w:eastAsia="zh-CN"/>
              </w:rPr>
              <w:t>Ref Εη = 53 % × (0,851 × 85 % + 0,888 × 15 %) = 45,4 %</w:t>
            </w:r>
          </w:p>
        </w:tc>
        <w:tc>
          <w:tcPr>
            <w:tcW w:w="3379" w:type="dxa"/>
          </w:tcPr>
          <w:p w14:paraId="690D252C">
            <w:pPr>
              <w:pStyle w:val="7"/>
              <w:jc w:val="center"/>
              <w:rPr>
                <w:rFonts w:ascii="Times New Roman" w:hAnsi="Times New Roman" w:cs="Times New Roman"/>
                <w:b/>
                <w:bCs/>
              </w:rPr>
            </w:pPr>
          </w:p>
        </w:tc>
        <w:tc>
          <w:tcPr>
            <w:tcW w:w="1440" w:type="dxa"/>
          </w:tcPr>
          <w:p w14:paraId="3857FB53">
            <w:pPr>
              <w:pStyle w:val="7"/>
              <w:rPr>
                <w:rFonts w:ascii="Times New Roman" w:hAnsi="Times New Roman" w:cs="Times New Roman"/>
                <w:b/>
                <w:bCs/>
              </w:rPr>
            </w:pPr>
            <w:r>
              <w:rPr>
                <w:rFonts w:ascii="Times New Roman" w:hAnsi="Times New Roman" w:cs="Times New Roman"/>
                <w:b/>
                <w:bCs/>
              </w:rPr>
              <w:t>Nu este aplicabil</w:t>
            </w:r>
          </w:p>
        </w:tc>
        <w:tc>
          <w:tcPr>
            <w:tcW w:w="2127" w:type="dxa"/>
          </w:tcPr>
          <w:p w14:paraId="22518009">
            <w:pPr>
              <w:spacing w:after="0" w:line="240" w:lineRule="auto"/>
              <w:jc w:val="both"/>
              <w:rPr>
                <w:rFonts w:ascii="Times New Roman" w:hAnsi="Times New Roman" w:cs="Times New Roman"/>
                <w:b/>
                <w:sz w:val="24"/>
                <w:szCs w:val="24"/>
                <w:lang w:val="en-US"/>
              </w:rPr>
            </w:pPr>
          </w:p>
        </w:tc>
        <w:tc>
          <w:tcPr>
            <w:tcW w:w="992" w:type="dxa"/>
          </w:tcPr>
          <w:p w14:paraId="2BA9ADCA">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ro-RO"/>
              </w:rPr>
              <w:t xml:space="preserve">Factorii de corecție sunt identici cu cei deja existenți în Tabelul nr. 2, Anexa nr. 1 la  </w:t>
            </w:r>
            <w:r>
              <w:rPr>
                <w:bCs/>
                <w:lang w:val="en-US"/>
              </w:rPr>
              <w:t xml:space="preserve"> </w:t>
            </w:r>
            <w:r>
              <w:rPr>
                <w:rFonts w:ascii="Times New Roman" w:hAnsi="Times New Roman" w:cs="Times New Roman"/>
                <w:bCs/>
                <w:sz w:val="24"/>
                <w:szCs w:val="24"/>
                <w:lang w:val="ro-RO"/>
              </w:rPr>
              <w:t>Hotărârea Guvernului nr. 297/2016</w:t>
            </w:r>
          </w:p>
        </w:tc>
        <w:tc>
          <w:tcPr>
            <w:tcW w:w="1527" w:type="dxa"/>
          </w:tcPr>
          <w:p w14:paraId="277CF407">
            <w:pPr>
              <w:spacing w:after="0" w:line="240" w:lineRule="auto"/>
              <w:jc w:val="center"/>
              <w:rPr>
                <w:rFonts w:ascii="Times New Roman" w:hAnsi="Times New Roman" w:cs="Times New Roman"/>
                <w:b/>
                <w:sz w:val="24"/>
                <w:szCs w:val="24"/>
                <w:lang w:val="ro-RO"/>
              </w:rPr>
            </w:pPr>
          </w:p>
        </w:tc>
      </w:tr>
    </w:tbl>
    <w:p w14:paraId="43019230">
      <w:pPr>
        <w:spacing w:after="0" w:line="240" w:lineRule="auto"/>
        <w:ind w:right="-739"/>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nr.1  la T</w:t>
      </w:r>
      <w:bookmarkStart w:id="0" w:name="_GoBack"/>
      <w:bookmarkEnd w:id="0"/>
      <w:r>
        <w:rPr>
          <w:rFonts w:ascii="Times New Roman" w:hAnsi="Times New Roman" w:cs="Times New Roman"/>
          <w:b/>
          <w:bCs/>
          <w:i/>
          <w:iCs/>
          <w:sz w:val="24"/>
          <w:szCs w:val="24"/>
          <w:lang w:val="ro-RO"/>
        </w:rPr>
        <w:t>abelul de concordanță</w:t>
      </w:r>
      <w:r>
        <w:rPr>
          <w:rFonts w:ascii="Times New Roman" w:hAnsi="Times New Roman" w:cs="Times New Roman"/>
          <w:sz w:val="24"/>
          <w:szCs w:val="24"/>
        </w:rPr>
        <w:t xml:space="preserve"> </w:t>
      </w:r>
    </w:p>
    <w:tbl>
      <w:tblPr>
        <w:tblStyle w:val="3"/>
        <w:tblpPr w:leftFromText="180" w:rightFromText="180" w:vertAnchor="text" w:horzAnchor="page" w:tblpX="1401" w:tblpY="481"/>
        <w:tblW w:w="51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3"/>
        <w:gridCol w:w="1043"/>
        <w:gridCol w:w="9030"/>
        <w:gridCol w:w="1482"/>
        <w:gridCol w:w="1268"/>
        <w:gridCol w:w="1459"/>
      </w:tblGrid>
      <w:tr w14:paraId="65CD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571" w:type="pct"/>
            <w:gridSpan w:val="2"/>
            <w:vMerge w:val="restart"/>
            <w:shd w:val="clear" w:color="auto" w:fill="auto"/>
            <w:vAlign w:val="center"/>
          </w:tcPr>
          <w:p w14:paraId="1CECEEF9">
            <w:pPr>
              <w:pStyle w:val="33"/>
              <w:rPr>
                <w:rStyle w:val="36"/>
                <w:rFonts w:ascii="Times New Roman" w:hAnsi="Times New Roman" w:cs="Times New Roman"/>
                <w:sz w:val="24"/>
                <w:szCs w:val="24"/>
              </w:rPr>
            </w:pPr>
            <w:r>
              <w:rPr>
                <w:rStyle w:val="34"/>
                <w:rFonts w:ascii="Times New Roman" w:hAnsi="Times New Roman" w:cs="Times New Roman"/>
                <w:b w:val="0"/>
                <w:bCs w:val="0"/>
                <w:sz w:val="24"/>
                <w:szCs w:val="24"/>
              </w:rPr>
              <w:br w:type="textWrapping"/>
            </w:r>
            <w:r>
              <w:rPr>
                <w:rStyle w:val="34"/>
                <w:rFonts w:ascii="Times New Roman" w:hAnsi="Times New Roman" w:cs="Times New Roman"/>
                <w:b w:val="0"/>
                <w:bCs w:val="0"/>
                <w:sz w:val="24"/>
                <w:szCs w:val="24"/>
              </w:rPr>
              <w:t xml:space="preserve">Categoria </w:t>
            </w:r>
          </w:p>
        </w:tc>
        <w:tc>
          <w:tcPr>
            <w:tcW w:w="3021" w:type="pct"/>
            <w:vMerge w:val="restart"/>
            <w:shd w:val="clear" w:color="auto" w:fill="auto"/>
            <w:vAlign w:val="center"/>
          </w:tcPr>
          <w:p w14:paraId="4898949B">
            <w:pPr>
              <w:pStyle w:val="35"/>
              <w:spacing w:after="120" w:line="202" w:lineRule="exact"/>
              <w:jc w:val="center"/>
              <w:rPr>
                <w:rStyle w:val="36"/>
                <w:rFonts w:ascii="Times New Roman" w:hAnsi="Times New Roman" w:cs="Times New Roman"/>
                <w:sz w:val="24"/>
                <w:szCs w:val="24"/>
              </w:rPr>
            </w:pPr>
            <w:r>
              <w:rPr>
                <w:rStyle w:val="36"/>
                <w:rFonts w:ascii="Times New Roman" w:hAnsi="Times New Roman" w:cs="Times New Roman"/>
                <w:sz w:val="24"/>
                <w:szCs w:val="24"/>
              </w:rPr>
              <w:t>Tipul de combustibil</w:t>
            </w:r>
          </w:p>
        </w:tc>
        <w:tc>
          <w:tcPr>
            <w:tcW w:w="1409" w:type="pct"/>
            <w:gridSpan w:val="3"/>
            <w:shd w:val="clear" w:color="auto" w:fill="auto"/>
            <w:vAlign w:val="center"/>
          </w:tcPr>
          <w:p w14:paraId="2089E975">
            <w:pPr>
              <w:jc w:val="center"/>
              <w:rPr>
                <w:rStyle w:val="36"/>
                <w:rFonts w:ascii="Times New Roman" w:hAnsi="Times New Roman" w:cs="Times New Roman"/>
                <w:sz w:val="24"/>
                <w:szCs w:val="24"/>
              </w:rPr>
            </w:pPr>
            <w:r>
              <w:rPr>
                <w:rStyle w:val="36"/>
                <w:rFonts w:ascii="Times New Roman" w:hAnsi="Times New Roman" w:cs="Times New Roman"/>
                <w:sz w:val="24"/>
                <w:szCs w:val="24"/>
              </w:rPr>
              <w:t xml:space="preserve">Anul construcției  </w:t>
            </w:r>
          </w:p>
        </w:tc>
      </w:tr>
      <w:tr w14:paraId="5B87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trPr>
        <w:tc>
          <w:tcPr>
            <w:tcW w:w="571" w:type="pct"/>
            <w:gridSpan w:val="2"/>
            <w:vMerge w:val="continue"/>
            <w:shd w:val="clear" w:color="auto" w:fill="auto"/>
            <w:vAlign w:val="center"/>
          </w:tcPr>
          <w:p w14:paraId="2A86DD74">
            <w:pPr>
              <w:pStyle w:val="35"/>
              <w:shd w:val="clear" w:color="auto" w:fill="auto"/>
              <w:spacing w:after="120" w:line="202" w:lineRule="exact"/>
              <w:jc w:val="center"/>
              <w:rPr>
                <w:rStyle w:val="36"/>
                <w:rFonts w:ascii="Times New Roman" w:hAnsi="Times New Roman" w:cs="Times New Roman"/>
                <w:sz w:val="24"/>
                <w:szCs w:val="24"/>
              </w:rPr>
            </w:pPr>
          </w:p>
        </w:tc>
        <w:tc>
          <w:tcPr>
            <w:tcW w:w="3021" w:type="pct"/>
            <w:vMerge w:val="continue"/>
            <w:shd w:val="clear" w:color="auto" w:fill="auto"/>
            <w:vAlign w:val="bottom"/>
          </w:tcPr>
          <w:p w14:paraId="12EA832F">
            <w:pPr>
              <w:pStyle w:val="35"/>
              <w:spacing w:after="120" w:line="202" w:lineRule="exact"/>
              <w:jc w:val="left"/>
              <w:rPr>
                <w:rFonts w:ascii="Times New Roman" w:hAnsi="Times New Roman" w:cs="Times New Roman"/>
                <w:sz w:val="24"/>
                <w:szCs w:val="24"/>
              </w:rPr>
            </w:pPr>
          </w:p>
        </w:tc>
        <w:tc>
          <w:tcPr>
            <w:tcW w:w="496" w:type="pct"/>
            <w:shd w:val="clear" w:color="auto" w:fill="auto"/>
            <w:vAlign w:val="center"/>
          </w:tcPr>
          <w:p w14:paraId="49B765F6">
            <w:pPr>
              <w:spacing w:after="0" w:line="240" w:lineRule="auto"/>
              <w:jc w:val="center"/>
              <w:rPr>
                <w:rStyle w:val="36"/>
                <w:rFonts w:ascii="Times New Roman" w:hAnsi="Times New Roman" w:cs="Times New Roman"/>
                <w:sz w:val="24"/>
                <w:szCs w:val="24"/>
              </w:rPr>
            </w:pPr>
            <w:r>
              <w:rPr>
                <w:rStyle w:val="36"/>
                <w:rFonts w:ascii="Times New Roman" w:hAnsi="Times New Roman" w:cs="Times New Roman"/>
                <w:sz w:val="24"/>
                <w:szCs w:val="24"/>
              </w:rPr>
              <w:t xml:space="preserve">Înainte de </w:t>
            </w:r>
          </w:p>
          <w:p w14:paraId="1BCF5793">
            <w:pPr>
              <w:spacing w:after="0" w:line="240" w:lineRule="auto"/>
              <w:jc w:val="center"/>
              <w:rPr>
                <w:rFonts w:ascii="Times New Roman" w:hAnsi="Times New Roman" w:cs="Times New Roman"/>
                <w:sz w:val="24"/>
                <w:szCs w:val="24"/>
              </w:rPr>
            </w:pPr>
            <w:r>
              <w:rPr>
                <w:rStyle w:val="36"/>
                <w:rFonts w:ascii="Times New Roman" w:hAnsi="Times New Roman" w:cs="Times New Roman"/>
                <w:sz w:val="24"/>
                <w:szCs w:val="24"/>
              </w:rPr>
              <w:t>2016</w:t>
            </w:r>
          </w:p>
        </w:tc>
        <w:tc>
          <w:tcPr>
            <w:tcW w:w="424" w:type="pct"/>
            <w:shd w:val="clear" w:color="auto" w:fill="auto"/>
            <w:vAlign w:val="center"/>
          </w:tcPr>
          <w:p w14:paraId="7C5F67A2">
            <w:pPr>
              <w:spacing w:after="0" w:line="240" w:lineRule="auto"/>
              <w:jc w:val="center"/>
              <w:rPr>
                <w:rStyle w:val="36"/>
                <w:rFonts w:ascii="Times New Roman" w:hAnsi="Times New Roman" w:cs="Times New Roman"/>
                <w:sz w:val="24"/>
                <w:szCs w:val="24"/>
              </w:rPr>
            </w:pPr>
            <w:r>
              <w:rPr>
                <w:rStyle w:val="36"/>
                <w:rFonts w:ascii="Times New Roman" w:hAnsi="Times New Roman" w:cs="Times New Roman"/>
                <w:sz w:val="24"/>
                <w:szCs w:val="24"/>
              </w:rPr>
              <w:t>2016</w:t>
            </w:r>
          </w:p>
          <w:p w14:paraId="7317ABC2">
            <w:pPr>
              <w:spacing w:after="0" w:line="240" w:lineRule="auto"/>
              <w:jc w:val="center"/>
              <w:rPr>
                <w:rStyle w:val="36"/>
                <w:rFonts w:ascii="Times New Roman" w:hAnsi="Times New Roman" w:cs="Times New Roman"/>
                <w:sz w:val="24"/>
                <w:szCs w:val="24"/>
              </w:rPr>
            </w:pPr>
            <w:r>
              <w:rPr>
                <w:rStyle w:val="36"/>
                <w:rFonts w:ascii="Times New Roman" w:hAnsi="Times New Roman" w:cs="Times New Roman"/>
                <w:sz w:val="24"/>
                <w:szCs w:val="24"/>
              </w:rPr>
              <w:t>-</w:t>
            </w:r>
          </w:p>
          <w:p w14:paraId="6E251FB2">
            <w:pPr>
              <w:spacing w:after="0" w:line="240" w:lineRule="auto"/>
              <w:jc w:val="center"/>
              <w:rPr>
                <w:rFonts w:ascii="Times New Roman" w:hAnsi="Times New Roman" w:cs="Times New Roman"/>
                <w:sz w:val="24"/>
                <w:szCs w:val="24"/>
              </w:rPr>
            </w:pPr>
            <w:r>
              <w:rPr>
                <w:rStyle w:val="36"/>
                <w:rFonts w:ascii="Times New Roman" w:hAnsi="Times New Roman" w:cs="Times New Roman"/>
                <w:sz w:val="24"/>
                <w:szCs w:val="24"/>
              </w:rPr>
              <w:t>2023</w:t>
            </w:r>
          </w:p>
        </w:tc>
        <w:tc>
          <w:tcPr>
            <w:tcW w:w="489" w:type="pct"/>
            <w:shd w:val="clear" w:color="auto" w:fill="auto"/>
            <w:vAlign w:val="center"/>
          </w:tcPr>
          <w:p w14:paraId="213DD100">
            <w:pPr>
              <w:spacing w:after="0" w:line="240" w:lineRule="auto"/>
              <w:jc w:val="center"/>
              <w:rPr>
                <w:rStyle w:val="36"/>
                <w:rFonts w:ascii="Times New Roman" w:hAnsi="Times New Roman" w:cs="Times New Roman"/>
                <w:sz w:val="24"/>
                <w:szCs w:val="24"/>
              </w:rPr>
            </w:pPr>
            <w:r>
              <w:rPr>
                <w:rStyle w:val="36"/>
                <w:rFonts w:ascii="Times New Roman" w:hAnsi="Times New Roman" w:cs="Times New Roman"/>
                <w:sz w:val="24"/>
                <w:szCs w:val="24"/>
              </w:rPr>
              <w:t>Începând cu 2024</w:t>
            </w:r>
          </w:p>
        </w:tc>
      </w:tr>
      <w:tr w14:paraId="7AB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222" w:type="pct"/>
            <w:vMerge w:val="restart"/>
            <w:shd w:val="clear" w:color="auto" w:fill="auto"/>
            <w:textDirection w:val="btLr"/>
            <w:vAlign w:val="center"/>
          </w:tcPr>
          <w:p w14:paraId="7CDF3D18">
            <w:pPr>
              <w:pStyle w:val="35"/>
              <w:ind w:left="113" w:right="113"/>
              <w:jc w:val="center"/>
              <w:rPr>
                <w:rFonts w:ascii="Times New Roman" w:hAnsi="Times New Roman" w:cs="Times New Roman"/>
                <w:sz w:val="24"/>
                <w:szCs w:val="24"/>
              </w:rPr>
            </w:pPr>
            <w:r>
              <w:rPr>
                <w:rFonts w:ascii="Times New Roman" w:hAnsi="Times New Roman" w:cs="Times New Roman"/>
                <w:sz w:val="24"/>
                <w:szCs w:val="24"/>
              </w:rPr>
              <w:t>Solid</w:t>
            </w:r>
          </w:p>
        </w:tc>
        <w:tc>
          <w:tcPr>
            <w:tcW w:w="348" w:type="pct"/>
            <w:shd w:val="clear" w:color="auto" w:fill="auto"/>
            <w:vAlign w:val="center"/>
          </w:tcPr>
          <w:p w14:paraId="1B37B14A">
            <w:pPr>
              <w:pStyle w:val="37"/>
              <w:shd w:val="clear" w:color="auto" w:fill="auto"/>
              <w:spacing w:after="0" w:line="240" w:lineRule="auto"/>
              <w:ind w:left="5" w:firstLine="0"/>
              <w:jc w:val="center"/>
              <w:rPr>
                <w:rStyle w:val="38"/>
                <w:rFonts w:ascii="Times New Roman" w:hAnsi="Times New Roman" w:cs="Times New Roman"/>
                <w:sz w:val="24"/>
                <w:szCs w:val="24"/>
                <w:lang w:val="en-US" w:eastAsia="en-US"/>
              </w:rPr>
            </w:pPr>
            <w:r>
              <w:rPr>
                <w:rStyle w:val="38"/>
                <w:rFonts w:ascii="Times New Roman" w:hAnsi="Times New Roman" w:cs="Times New Roman"/>
                <w:sz w:val="24"/>
                <w:szCs w:val="24"/>
              </w:rPr>
              <w:t>S1</w:t>
            </w:r>
          </w:p>
        </w:tc>
        <w:tc>
          <w:tcPr>
            <w:tcW w:w="3021" w:type="pct"/>
            <w:shd w:val="clear" w:color="auto" w:fill="auto"/>
            <w:vAlign w:val="center"/>
          </w:tcPr>
          <w:p w14:paraId="42992931">
            <w:pPr>
              <w:rPr>
                <w:rFonts w:ascii="Times New Roman" w:hAnsi="Times New Roman" w:cs="Times New Roman"/>
                <w:sz w:val="24"/>
                <w:szCs w:val="24"/>
              </w:rPr>
            </w:pPr>
            <w:r>
              <w:rPr>
                <w:rFonts w:ascii="Times New Roman" w:hAnsi="Times New Roman" w:cs="Times New Roman"/>
                <w:sz w:val="24"/>
                <w:szCs w:val="24"/>
              </w:rPr>
              <w:t>Cărbune superior, precum: antracit, cărbune bituminos, cărbune sub-bituminos</w:t>
            </w:r>
          </w:p>
        </w:tc>
        <w:tc>
          <w:tcPr>
            <w:tcW w:w="496" w:type="pct"/>
            <w:shd w:val="clear" w:color="auto" w:fill="auto"/>
            <w:vAlign w:val="center"/>
          </w:tcPr>
          <w:p w14:paraId="08CE1751">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24" w:type="pct"/>
            <w:shd w:val="clear" w:color="auto" w:fill="auto"/>
            <w:vAlign w:val="center"/>
          </w:tcPr>
          <w:p w14:paraId="65614216">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89" w:type="pct"/>
            <w:shd w:val="clear" w:color="auto" w:fill="auto"/>
            <w:vAlign w:val="center"/>
          </w:tcPr>
          <w:p w14:paraId="5F3120A7">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53,0</w:t>
            </w:r>
          </w:p>
        </w:tc>
      </w:tr>
      <w:tr w14:paraId="30C3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trPr>
        <w:tc>
          <w:tcPr>
            <w:tcW w:w="222" w:type="pct"/>
            <w:vMerge w:val="continue"/>
            <w:shd w:val="clear" w:color="auto" w:fill="auto"/>
            <w:vAlign w:val="center"/>
          </w:tcPr>
          <w:p w14:paraId="7DD858E8">
            <w:pPr>
              <w:pStyle w:val="37"/>
              <w:jc w:val="center"/>
              <w:rPr>
                <w:rFonts w:ascii="Times New Roman" w:hAnsi="Times New Roman" w:cs="Times New Roman"/>
                <w:sz w:val="24"/>
                <w:szCs w:val="24"/>
              </w:rPr>
            </w:pPr>
          </w:p>
        </w:tc>
        <w:tc>
          <w:tcPr>
            <w:tcW w:w="348" w:type="pct"/>
            <w:shd w:val="clear" w:color="auto" w:fill="auto"/>
            <w:vAlign w:val="center"/>
          </w:tcPr>
          <w:p w14:paraId="6FD7B4FD">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S2</w:t>
            </w:r>
          </w:p>
        </w:tc>
        <w:tc>
          <w:tcPr>
            <w:tcW w:w="3021" w:type="pct"/>
            <w:shd w:val="clear" w:color="auto" w:fill="auto"/>
            <w:vAlign w:val="center"/>
          </w:tcPr>
          <w:p w14:paraId="41473FBA">
            <w:pPr>
              <w:rPr>
                <w:rFonts w:ascii="Times New Roman" w:hAnsi="Times New Roman" w:cs="Times New Roman"/>
                <w:sz w:val="24"/>
                <w:szCs w:val="24"/>
              </w:rPr>
            </w:pPr>
            <w:r>
              <w:rPr>
                <w:rFonts w:ascii="Times New Roman" w:hAnsi="Times New Roman" w:cs="Times New Roman"/>
                <w:sz w:val="24"/>
                <w:szCs w:val="24"/>
              </w:rPr>
              <w:t>Biomasă uscată, inclusiv lemn și alte tipuri de biomasă solidă, brichete și pelete de lemn, așchii de lemn uscate, deșeuri de lemn curate și uscate, coji de nuci</w:t>
            </w:r>
          </w:p>
        </w:tc>
        <w:tc>
          <w:tcPr>
            <w:tcW w:w="496" w:type="pct"/>
            <w:shd w:val="clear" w:color="auto" w:fill="auto"/>
            <w:vAlign w:val="center"/>
          </w:tcPr>
          <w:p w14:paraId="6564991C">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33,0</w:t>
            </w:r>
          </w:p>
        </w:tc>
        <w:tc>
          <w:tcPr>
            <w:tcW w:w="424" w:type="pct"/>
            <w:shd w:val="clear" w:color="auto" w:fill="auto"/>
            <w:vAlign w:val="center"/>
          </w:tcPr>
          <w:p w14:paraId="5F52BF81">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37,0</w:t>
            </w:r>
          </w:p>
        </w:tc>
        <w:tc>
          <w:tcPr>
            <w:tcW w:w="489" w:type="pct"/>
            <w:shd w:val="clear" w:color="auto" w:fill="auto"/>
            <w:vAlign w:val="center"/>
          </w:tcPr>
          <w:p w14:paraId="0489AD21">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37,0</w:t>
            </w:r>
          </w:p>
        </w:tc>
      </w:tr>
      <w:tr w14:paraId="23E3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222" w:type="pct"/>
            <w:vMerge w:val="continue"/>
            <w:shd w:val="clear" w:color="auto" w:fill="auto"/>
            <w:vAlign w:val="center"/>
          </w:tcPr>
          <w:p w14:paraId="58613B2F">
            <w:pPr>
              <w:pStyle w:val="37"/>
              <w:jc w:val="center"/>
              <w:rPr>
                <w:rFonts w:ascii="Times New Roman" w:hAnsi="Times New Roman" w:cs="Times New Roman"/>
                <w:sz w:val="24"/>
                <w:szCs w:val="24"/>
              </w:rPr>
            </w:pPr>
          </w:p>
        </w:tc>
        <w:tc>
          <w:tcPr>
            <w:tcW w:w="348" w:type="pct"/>
            <w:shd w:val="clear" w:color="auto" w:fill="auto"/>
            <w:vAlign w:val="center"/>
          </w:tcPr>
          <w:p w14:paraId="25285E55">
            <w:pPr>
              <w:pStyle w:val="37"/>
              <w:shd w:val="clear" w:color="auto" w:fill="auto"/>
              <w:spacing w:after="0" w:line="240" w:lineRule="auto"/>
              <w:ind w:left="5" w:firstLine="60"/>
              <w:jc w:val="center"/>
              <w:rPr>
                <w:rStyle w:val="38"/>
                <w:rFonts w:ascii="Times New Roman" w:hAnsi="Times New Roman" w:cs="Times New Roman"/>
                <w:sz w:val="24"/>
                <w:szCs w:val="24"/>
                <w:lang w:val="en-US" w:eastAsia="en-US"/>
              </w:rPr>
            </w:pPr>
            <w:r>
              <w:rPr>
                <w:rStyle w:val="38"/>
                <w:rFonts w:ascii="Times New Roman" w:hAnsi="Times New Roman" w:cs="Times New Roman"/>
                <w:sz w:val="24"/>
                <w:szCs w:val="24"/>
              </w:rPr>
              <w:t>S3</w:t>
            </w:r>
          </w:p>
        </w:tc>
        <w:tc>
          <w:tcPr>
            <w:tcW w:w="3021" w:type="pct"/>
            <w:shd w:val="clear" w:color="auto" w:fill="auto"/>
            <w:vAlign w:val="center"/>
          </w:tcPr>
          <w:p w14:paraId="18B797B5">
            <w:pPr>
              <w:rPr>
                <w:rFonts w:ascii="Times New Roman" w:hAnsi="Times New Roman" w:cs="Times New Roman"/>
                <w:sz w:val="24"/>
                <w:szCs w:val="24"/>
              </w:rPr>
            </w:pPr>
            <w:r>
              <w:rPr>
                <w:rFonts w:ascii="Times New Roman" w:hAnsi="Times New Roman" w:cs="Times New Roman"/>
                <w:sz w:val="24"/>
                <w:szCs w:val="24"/>
              </w:rPr>
              <w:t>Alte tipuri de biomasă solidă, inclusiv toate tipurile de lemn care nu aparţin categoriei S2</w:t>
            </w:r>
          </w:p>
        </w:tc>
        <w:tc>
          <w:tcPr>
            <w:tcW w:w="496" w:type="pct"/>
            <w:shd w:val="clear" w:color="auto" w:fill="auto"/>
            <w:vAlign w:val="center"/>
          </w:tcPr>
          <w:p w14:paraId="5643B067">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25,0</w:t>
            </w:r>
          </w:p>
        </w:tc>
        <w:tc>
          <w:tcPr>
            <w:tcW w:w="424" w:type="pct"/>
            <w:shd w:val="clear" w:color="auto" w:fill="auto"/>
            <w:vAlign w:val="center"/>
          </w:tcPr>
          <w:p w14:paraId="7DD33B5A">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30,0</w:t>
            </w:r>
          </w:p>
        </w:tc>
        <w:tc>
          <w:tcPr>
            <w:tcW w:w="489" w:type="pct"/>
            <w:shd w:val="clear" w:color="auto" w:fill="auto"/>
            <w:vAlign w:val="center"/>
          </w:tcPr>
          <w:p w14:paraId="2B98E707">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30,0</w:t>
            </w:r>
          </w:p>
        </w:tc>
      </w:tr>
      <w:tr w14:paraId="2A63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22" w:type="pct"/>
            <w:vMerge w:val="continue"/>
            <w:shd w:val="clear" w:color="auto" w:fill="auto"/>
            <w:vAlign w:val="center"/>
          </w:tcPr>
          <w:p w14:paraId="75CD6F4E">
            <w:pPr>
              <w:pStyle w:val="37"/>
              <w:jc w:val="center"/>
              <w:rPr>
                <w:rFonts w:ascii="Times New Roman" w:hAnsi="Times New Roman" w:cs="Times New Roman"/>
                <w:sz w:val="24"/>
                <w:szCs w:val="24"/>
              </w:rPr>
            </w:pPr>
          </w:p>
        </w:tc>
        <w:tc>
          <w:tcPr>
            <w:tcW w:w="348" w:type="pct"/>
            <w:shd w:val="clear" w:color="auto" w:fill="auto"/>
            <w:vAlign w:val="center"/>
          </w:tcPr>
          <w:p w14:paraId="6533FDB1">
            <w:pPr>
              <w:pStyle w:val="37"/>
              <w:shd w:val="clear" w:color="auto" w:fill="auto"/>
              <w:spacing w:after="0" w:line="240" w:lineRule="auto"/>
              <w:ind w:left="5" w:firstLine="0"/>
              <w:jc w:val="center"/>
              <w:rPr>
                <w:rFonts w:ascii="Times New Roman" w:hAnsi="Times New Roman" w:cs="Times New Roman"/>
                <w:sz w:val="24"/>
                <w:szCs w:val="24"/>
              </w:rPr>
            </w:pPr>
            <w:r>
              <w:rPr>
                <w:rStyle w:val="38"/>
                <w:rFonts w:ascii="Times New Roman" w:hAnsi="Times New Roman" w:cs="Times New Roman"/>
                <w:sz w:val="24"/>
                <w:szCs w:val="24"/>
              </w:rPr>
              <w:t>S4</w:t>
            </w:r>
          </w:p>
        </w:tc>
        <w:tc>
          <w:tcPr>
            <w:tcW w:w="3021" w:type="pct"/>
            <w:shd w:val="clear" w:color="auto" w:fill="auto"/>
            <w:vAlign w:val="center"/>
          </w:tcPr>
          <w:p w14:paraId="169860F8">
            <w:pPr>
              <w:rPr>
                <w:rFonts w:ascii="Times New Roman" w:hAnsi="Times New Roman" w:cs="Times New Roman"/>
                <w:sz w:val="24"/>
                <w:szCs w:val="24"/>
              </w:rPr>
            </w:pPr>
            <w:r>
              <w:rPr>
                <w:rFonts w:ascii="Times New Roman" w:hAnsi="Times New Roman" w:cs="Times New Roman"/>
                <w:sz w:val="24"/>
                <w:szCs w:val="24"/>
              </w:rPr>
              <w:t>Deșeuri municipale și industriale (neregenerabile, de origine nebiologică, cum ar fi materiale plastice, cauciucul și alte materiale sintetice) și deșeuri regenerabile/biodegradabile</w:t>
            </w:r>
          </w:p>
        </w:tc>
        <w:tc>
          <w:tcPr>
            <w:tcW w:w="496" w:type="pct"/>
            <w:shd w:val="clear" w:color="auto" w:fill="auto"/>
            <w:vAlign w:val="center"/>
          </w:tcPr>
          <w:p w14:paraId="6ECCD29F">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25,0</w:t>
            </w:r>
          </w:p>
        </w:tc>
        <w:tc>
          <w:tcPr>
            <w:tcW w:w="424" w:type="pct"/>
            <w:shd w:val="clear" w:color="auto" w:fill="auto"/>
            <w:vAlign w:val="center"/>
          </w:tcPr>
          <w:p w14:paraId="42B9175F">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25,0</w:t>
            </w:r>
          </w:p>
        </w:tc>
        <w:tc>
          <w:tcPr>
            <w:tcW w:w="489" w:type="pct"/>
            <w:shd w:val="clear" w:color="auto" w:fill="auto"/>
            <w:vAlign w:val="center"/>
          </w:tcPr>
          <w:p w14:paraId="51C269DB">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25,0</w:t>
            </w:r>
          </w:p>
        </w:tc>
      </w:tr>
      <w:tr w14:paraId="32FB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222" w:type="pct"/>
            <w:vMerge w:val="restart"/>
            <w:shd w:val="clear" w:color="auto" w:fill="auto"/>
            <w:textDirection w:val="btLr"/>
            <w:vAlign w:val="center"/>
          </w:tcPr>
          <w:p w14:paraId="55D3A178">
            <w:pPr>
              <w:pStyle w:val="35"/>
              <w:ind w:right="113"/>
              <w:rPr>
                <w:rFonts w:ascii="Times New Roman" w:hAnsi="Times New Roman" w:cs="Times New Roman"/>
                <w:sz w:val="24"/>
                <w:szCs w:val="24"/>
              </w:rPr>
            </w:pPr>
            <w:r>
              <w:rPr>
                <w:rFonts w:ascii="Times New Roman" w:hAnsi="Times New Roman" w:cs="Times New Roman"/>
                <w:sz w:val="24"/>
                <w:szCs w:val="24"/>
              </w:rPr>
              <w:t>Lichid</w:t>
            </w:r>
          </w:p>
        </w:tc>
        <w:tc>
          <w:tcPr>
            <w:tcW w:w="348" w:type="pct"/>
            <w:shd w:val="clear" w:color="auto" w:fill="auto"/>
            <w:vAlign w:val="center"/>
          </w:tcPr>
          <w:p w14:paraId="32E66E15">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L5</w:t>
            </w:r>
          </w:p>
        </w:tc>
        <w:tc>
          <w:tcPr>
            <w:tcW w:w="3021" w:type="pct"/>
            <w:shd w:val="clear" w:color="auto" w:fill="auto"/>
            <w:vAlign w:val="center"/>
          </w:tcPr>
          <w:p w14:paraId="4D19EE46">
            <w:pPr>
              <w:rPr>
                <w:rFonts w:ascii="Times New Roman" w:hAnsi="Times New Roman" w:cs="Times New Roman"/>
                <w:sz w:val="24"/>
                <w:szCs w:val="24"/>
              </w:rPr>
            </w:pPr>
            <w:r>
              <w:rPr>
                <w:rFonts w:ascii="Times New Roman" w:hAnsi="Times New Roman" w:cs="Times New Roman"/>
                <w:sz w:val="24"/>
                <w:szCs w:val="24"/>
              </w:rPr>
              <w:t>Păcură grea, motorină/carburant diesel, alte produse petroliere</w:t>
            </w:r>
          </w:p>
        </w:tc>
        <w:tc>
          <w:tcPr>
            <w:tcW w:w="496" w:type="pct"/>
            <w:shd w:val="clear" w:color="auto" w:fill="auto"/>
            <w:vAlign w:val="center"/>
          </w:tcPr>
          <w:p w14:paraId="76D6DAAE">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24" w:type="pct"/>
            <w:shd w:val="clear" w:color="auto" w:fill="auto"/>
            <w:vAlign w:val="center"/>
          </w:tcPr>
          <w:p w14:paraId="2B902A97">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89" w:type="pct"/>
            <w:shd w:val="clear" w:color="auto" w:fill="auto"/>
            <w:vAlign w:val="center"/>
          </w:tcPr>
          <w:p w14:paraId="54BEB38D">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53,0</w:t>
            </w:r>
          </w:p>
        </w:tc>
      </w:tr>
      <w:tr w14:paraId="34D2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222" w:type="pct"/>
            <w:vMerge w:val="continue"/>
            <w:shd w:val="clear" w:color="auto" w:fill="auto"/>
            <w:vAlign w:val="center"/>
          </w:tcPr>
          <w:p w14:paraId="6625A7F8">
            <w:pPr>
              <w:pStyle w:val="35"/>
              <w:jc w:val="center"/>
              <w:rPr>
                <w:rFonts w:ascii="Times New Roman" w:hAnsi="Times New Roman" w:cs="Times New Roman"/>
                <w:sz w:val="24"/>
                <w:szCs w:val="24"/>
              </w:rPr>
            </w:pPr>
          </w:p>
        </w:tc>
        <w:tc>
          <w:tcPr>
            <w:tcW w:w="348" w:type="pct"/>
            <w:shd w:val="clear" w:color="auto" w:fill="auto"/>
            <w:vAlign w:val="center"/>
          </w:tcPr>
          <w:p w14:paraId="4DA9C257">
            <w:pPr>
              <w:pStyle w:val="37"/>
              <w:shd w:val="clear" w:color="auto" w:fill="auto"/>
              <w:spacing w:after="0" w:line="240" w:lineRule="auto"/>
              <w:ind w:left="5"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L6</w:t>
            </w:r>
          </w:p>
        </w:tc>
        <w:tc>
          <w:tcPr>
            <w:tcW w:w="3021" w:type="pct"/>
            <w:shd w:val="clear" w:color="auto" w:fill="auto"/>
            <w:vAlign w:val="center"/>
          </w:tcPr>
          <w:p w14:paraId="04915701">
            <w:pPr>
              <w:rPr>
                <w:rFonts w:ascii="Times New Roman" w:hAnsi="Times New Roman" w:cs="Times New Roman"/>
                <w:sz w:val="24"/>
                <w:szCs w:val="24"/>
              </w:rPr>
            </w:pPr>
            <w:r>
              <w:rPr>
                <w:rFonts w:ascii="Times New Roman" w:hAnsi="Times New Roman" w:cs="Times New Roman"/>
                <w:sz w:val="24"/>
                <w:szCs w:val="24"/>
              </w:rPr>
              <w:t>Biolichide, inclusiv biometanol, bioetanol, biobutanol, biodiesel și alți biocombustibili și e-lichide</w:t>
            </w:r>
          </w:p>
        </w:tc>
        <w:tc>
          <w:tcPr>
            <w:tcW w:w="496" w:type="pct"/>
            <w:shd w:val="clear" w:color="auto" w:fill="auto"/>
            <w:vAlign w:val="center"/>
          </w:tcPr>
          <w:p w14:paraId="56C37B35">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24" w:type="pct"/>
            <w:shd w:val="clear" w:color="auto" w:fill="auto"/>
            <w:vAlign w:val="center"/>
          </w:tcPr>
          <w:p w14:paraId="245A82C9">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89" w:type="pct"/>
            <w:shd w:val="clear" w:color="auto" w:fill="auto"/>
            <w:vAlign w:val="center"/>
          </w:tcPr>
          <w:p w14:paraId="3F582D64">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44,2</w:t>
            </w:r>
          </w:p>
        </w:tc>
      </w:tr>
      <w:tr w14:paraId="160B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222" w:type="pct"/>
            <w:vMerge w:val="continue"/>
            <w:shd w:val="clear" w:color="auto" w:fill="auto"/>
            <w:vAlign w:val="center"/>
          </w:tcPr>
          <w:p w14:paraId="7BB0B596">
            <w:pPr>
              <w:pStyle w:val="35"/>
              <w:jc w:val="center"/>
              <w:rPr>
                <w:rFonts w:ascii="Times New Roman" w:hAnsi="Times New Roman" w:cs="Times New Roman"/>
                <w:sz w:val="24"/>
                <w:szCs w:val="24"/>
              </w:rPr>
            </w:pPr>
          </w:p>
        </w:tc>
        <w:tc>
          <w:tcPr>
            <w:tcW w:w="348" w:type="pct"/>
            <w:shd w:val="clear" w:color="auto" w:fill="auto"/>
            <w:vAlign w:val="center"/>
          </w:tcPr>
          <w:p w14:paraId="45333B18">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L7</w:t>
            </w:r>
          </w:p>
        </w:tc>
        <w:tc>
          <w:tcPr>
            <w:tcW w:w="3021" w:type="pct"/>
            <w:shd w:val="clear" w:color="auto" w:fill="auto"/>
            <w:vAlign w:val="center"/>
          </w:tcPr>
          <w:p w14:paraId="596EEE72">
            <w:pPr>
              <w:rPr>
                <w:rFonts w:ascii="Times New Roman" w:hAnsi="Times New Roman" w:cs="Times New Roman"/>
                <w:sz w:val="24"/>
                <w:szCs w:val="24"/>
              </w:rPr>
            </w:pPr>
            <w:r>
              <w:rPr>
                <w:rFonts w:ascii="Times New Roman" w:hAnsi="Times New Roman" w:cs="Times New Roman"/>
                <w:sz w:val="24"/>
                <w:szCs w:val="24"/>
              </w:rPr>
              <w:t>Deșeuri lichide, inclusiv deșeuri biodegradabile și neregenerabile (seu, grăsime, borhot)</w:t>
            </w:r>
          </w:p>
        </w:tc>
        <w:tc>
          <w:tcPr>
            <w:tcW w:w="496" w:type="pct"/>
            <w:shd w:val="clear" w:color="auto" w:fill="auto"/>
            <w:vAlign w:val="center"/>
          </w:tcPr>
          <w:p w14:paraId="0FBE6661">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25,0</w:t>
            </w:r>
          </w:p>
        </w:tc>
        <w:tc>
          <w:tcPr>
            <w:tcW w:w="424" w:type="pct"/>
            <w:shd w:val="clear" w:color="auto" w:fill="auto"/>
            <w:vAlign w:val="center"/>
          </w:tcPr>
          <w:p w14:paraId="166A5E59">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29,0</w:t>
            </w:r>
          </w:p>
        </w:tc>
        <w:tc>
          <w:tcPr>
            <w:tcW w:w="489" w:type="pct"/>
            <w:shd w:val="clear" w:color="auto" w:fill="auto"/>
            <w:vAlign w:val="center"/>
          </w:tcPr>
          <w:p w14:paraId="09B23E46">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29,0</w:t>
            </w:r>
          </w:p>
        </w:tc>
      </w:tr>
      <w:tr w14:paraId="6D71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22" w:type="pct"/>
            <w:vMerge w:val="restart"/>
            <w:shd w:val="clear" w:color="auto" w:fill="auto"/>
            <w:textDirection w:val="btLr"/>
            <w:vAlign w:val="center"/>
          </w:tcPr>
          <w:p w14:paraId="598EBE4C">
            <w:pPr>
              <w:pStyle w:val="35"/>
              <w:ind w:left="113" w:right="113"/>
              <w:jc w:val="center"/>
              <w:rPr>
                <w:rFonts w:ascii="Times New Roman" w:hAnsi="Times New Roman" w:cs="Times New Roman"/>
                <w:sz w:val="24"/>
                <w:szCs w:val="24"/>
              </w:rPr>
            </w:pPr>
            <w:r>
              <w:rPr>
                <w:rFonts w:ascii="Times New Roman" w:hAnsi="Times New Roman" w:cs="Times New Roman"/>
                <w:sz w:val="24"/>
                <w:szCs w:val="24"/>
              </w:rPr>
              <w:t>Gazos</w:t>
            </w:r>
          </w:p>
        </w:tc>
        <w:tc>
          <w:tcPr>
            <w:tcW w:w="348" w:type="pct"/>
            <w:shd w:val="clear" w:color="auto" w:fill="auto"/>
            <w:vAlign w:val="center"/>
          </w:tcPr>
          <w:p w14:paraId="542759C7">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G8</w:t>
            </w:r>
          </w:p>
        </w:tc>
        <w:tc>
          <w:tcPr>
            <w:tcW w:w="3021" w:type="pct"/>
            <w:shd w:val="clear" w:color="auto" w:fill="auto"/>
            <w:vAlign w:val="center"/>
          </w:tcPr>
          <w:p w14:paraId="04ABFDEA">
            <w:pPr>
              <w:rPr>
                <w:rFonts w:ascii="Times New Roman" w:hAnsi="Times New Roman" w:cs="Times New Roman"/>
                <w:sz w:val="24"/>
                <w:szCs w:val="24"/>
              </w:rPr>
            </w:pPr>
            <w:r>
              <w:rPr>
                <w:rFonts w:ascii="Times New Roman" w:hAnsi="Times New Roman" w:cs="Times New Roman"/>
                <w:sz w:val="24"/>
                <w:szCs w:val="24"/>
              </w:rPr>
              <w:t>Gaz natural, GPL, GNL și biometan</w:t>
            </w:r>
          </w:p>
        </w:tc>
        <w:tc>
          <w:tcPr>
            <w:tcW w:w="496" w:type="pct"/>
            <w:shd w:val="clear" w:color="auto" w:fill="auto"/>
            <w:vAlign w:val="center"/>
          </w:tcPr>
          <w:p w14:paraId="5538AC95">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52,5</w:t>
            </w:r>
          </w:p>
        </w:tc>
        <w:tc>
          <w:tcPr>
            <w:tcW w:w="424" w:type="pct"/>
            <w:shd w:val="clear" w:color="auto" w:fill="auto"/>
            <w:vAlign w:val="center"/>
          </w:tcPr>
          <w:p w14:paraId="7A41C144">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53,0</w:t>
            </w:r>
          </w:p>
        </w:tc>
        <w:tc>
          <w:tcPr>
            <w:tcW w:w="489" w:type="pct"/>
            <w:shd w:val="clear" w:color="auto" w:fill="auto"/>
            <w:vAlign w:val="center"/>
          </w:tcPr>
          <w:p w14:paraId="47A0588C">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53,0</w:t>
            </w:r>
          </w:p>
        </w:tc>
      </w:tr>
      <w:tr w14:paraId="37D6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22" w:type="pct"/>
            <w:vMerge w:val="continue"/>
            <w:shd w:val="clear" w:color="auto" w:fill="auto"/>
            <w:textDirection w:val="btLr"/>
            <w:vAlign w:val="center"/>
          </w:tcPr>
          <w:p w14:paraId="3F5F9C60">
            <w:pPr>
              <w:pStyle w:val="35"/>
              <w:ind w:left="113" w:right="113"/>
              <w:jc w:val="center"/>
              <w:rPr>
                <w:rFonts w:ascii="Times New Roman" w:hAnsi="Times New Roman" w:cs="Times New Roman"/>
                <w:sz w:val="24"/>
                <w:szCs w:val="24"/>
              </w:rPr>
            </w:pPr>
          </w:p>
        </w:tc>
        <w:tc>
          <w:tcPr>
            <w:tcW w:w="348" w:type="pct"/>
            <w:shd w:val="clear" w:color="auto" w:fill="auto"/>
            <w:vAlign w:val="center"/>
          </w:tcPr>
          <w:p w14:paraId="51FEE7D0">
            <w:pPr>
              <w:pStyle w:val="37"/>
              <w:shd w:val="clear" w:color="auto" w:fill="auto"/>
              <w:spacing w:after="0" w:line="240" w:lineRule="auto"/>
              <w:ind w:left="5" w:firstLine="0"/>
              <w:jc w:val="center"/>
              <w:rPr>
                <w:rFonts w:ascii="Times New Roman" w:hAnsi="Times New Roman" w:cs="Times New Roman"/>
                <w:sz w:val="24"/>
                <w:szCs w:val="24"/>
              </w:rPr>
            </w:pPr>
            <w:r>
              <w:rPr>
                <w:rStyle w:val="38"/>
                <w:rFonts w:ascii="Times New Roman" w:hAnsi="Times New Roman" w:cs="Times New Roman"/>
                <w:sz w:val="24"/>
                <w:szCs w:val="24"/>
              </w:rPr>
              <w:t>G9</w:t>
            </w:r>
          </w:p>
        </w:tc>
        <w:tc>
          <w:tcPr>
            <w:tcW w:w="3021" w:type="pct"/>
            <w:shd w:val="clear" w:color="auto" w:fill="auto"/>
            <w:vAlign w:val="center"/>
          </w:tcPr>
          <w:p w14:paraId="3B1007B4">
            <w:pPr>
              <w:rPr>
                <w:rFonts w:ascii="Times New Roman" w:hAnsi="Times New Roman" w:cs="Times New Roman"/>
                <w:sz w:val="24"/>
                <w:szCs w:val="24"/>
              </w:rPr>
            </w:pPr>
            <w:r>
              <w:rPr>
                <w:rFonts w:ascii="Times New Roman" w:hAnsi="Times New Roman" w:cs="Times New Roman"/>
                <w:sz w:val="24"/>
                <w:szCs w:val="24"/>
              </w:rPr>
              <w:t>Hidrogen tranzacționat</w:t>
            </w:r>
            <w:r>
              <w:rPr>
                <w:rFonts w:ascii="Times New Roman" w:hAnsi="Times New Roman" w:cs="Times New Roman"/>
                <w:sz w:val="24"/>
                <w:szCs w:val="24"/>
                <w:vertAlign w:val="superscript"/>
              </w:rPr>
              <w:t>(1)</w:t>
            </w:r>
          </w:p>
        </w:tc>
        <w:tc>
          <w:tcPr>
            <w:tcW w:w="496" w:type="pct"/>
            <w:shd w:val="clear" w:color="auto" w:fill="auto"/>
            <w:vAlign w:val="center"/>
          </w:tcPr>
          <w:p w14:paraId="710468DE">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24" w:type="pct"/>
            <w:shd w:val="clear" w:color="auto" w:fill="auto"/>
            <w:vAlign w:val="center"/>
          </w:tcPr>
          <w:p w14:paraId="5137FCBE">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89" w:type="pct"/>
            <w:shd w:val="clear" w:color="auto" w:fill="auto"/>
            <w:vAlign w:val="center"/>
          </w:tcPr>
          <w:p w14:paraId="6BE7D4AB">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53,0</w:t>
            </w:r>
          </w:p>
        </w:tc>
      </w:tr>
      <w:tr w14:paraId="318C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222" w:type="pct"/>
            <w:vMerge w:val="continue"/>
            <w:shd w:val="clear" w:color="auto" w:fill="auto"/>
            <w:vAlign w:val="center"/>
          </w:tcPr>
          <w:p w14:paraId="40E6706A">
            <w:pPr>
              <w:pStyle w:val="35"/>
              <w:jc w:val="center"/>
              <w:rPr>
                <w:rFonts w:ascii="Times New Roman" w:hAnsi="Times New Roman" w:cs="Times New Roman"/>
                <w:sz w:val="24"/>
                <w:szCs w:val="24"/>
              </w:rPr>
            </w:pPr>
          </w:p>
        </w:tc>
        <w:tc>
          <w:tcPr>
            <w:tcW w:w="348" w:type="pct"/>
            <w:shd w:val="clear" w:color="auto" w:fill="auto"/>
            <w:vAlign w:val="center"/>
          </w:tcPr>
          <w:p w14:paraId="63736214">
            <w:pPr>
              <w:pStyle w:val="37"/>
              <w:shd w:val="clear" w:color="auto" w:fill="auto"/>
              <w:spacing w:after="0" w:line="240" w:lineRule="auto"/>
              <w:ind w:left="5"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G10</w:t>
            </w:r>
          </w:p>
        </w:tc>
        <w:tc>
          <w:tcPr>
            <w:tcW w:w="3021" w:type="pct"/>
            <w:shd w:val="clear" w:color="auto" w:fill="auto"/>
            <w:vAlign w:val="center"/>
          </w:tcPr>
          <w:p w14:paraId="5C8695B8">
            <w:pPr>
              <w:rPr>
                <w:rFonts w:ascii="Times New Roman" w:hAnsi="Times New Roman" w:cs="Times New Roman"/>
                <w:sz w:val="24"/>
                <w:szCs w:val="24"/>
              </w:rPr>
            </w:pPr>
            <w:r>
              <w:rPr>
                <w:rFonts w:ascii="Times New Roman" w:hAnsi="Times New Roman" w:cs="Times New Roman"/>
                <w:sz w:val="24"/>
                <w:szCs w:val="24"/>
              </w:rPr>
              <w:t>Gaze de rafinărie, gaz de sinteză hidrogen (produs secundar), e-gaze</w:t>
            </w:r>
            <w:r>
              <w:rPr>
                <w:rFonts w:ascii="Times New Roman" w:hAnsi="Times New Roman" w:cs="Times New Roman"/>
                <w:sz w:val="24"/>
                <w:szCs w:val="24"/>
                <w:vertAlign w:val="superscript"/>
              </w:rPr>
              <w:t>(2)</w:t>
            </w:r>
          </w:p>
        </w:tc>
        <w:tc>
          <w:tcPr>
            <w:tcW w:w="496" w:type="pct"/>
            <w:shd w:val="clear" w:color="auto" w:fill="auto"/>
            <w:vAlign w:val="center"/>
          </w:tcPr>
          <w:p w14:paraId="322AA8BC">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24" w:type="pct"/>
            <w:shd w:val="clear" w:color="auto" w:fill="auto"/>
            <w:vAlign w:val="center"/>
          </w:tcPr>
          <w:p w14:paraId="2997F590">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44,2</w:t>
            </w:r>
          </w:p>
        </w:tc>
        <w:tc>
          <w:tcPr>
            <w:tcW w:w="489" w:type="pct"/>
            <w:shd w:val="clear" w:color="auto" w:fill="auto"/>
            <w:vAlign w:val="center"/>
          </w:tcPr>
          <w:p w14:paraId="45B450CE">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44,2</w:t>
            </w:r>
          </w:p>
        </w:tc>
      </w:tr>
      <w:tr w14:paraId="4969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222" w:type="pct"/>
            <w:vMerge w:val="continue"/>
            <w:shd w:val="clear" w:color="auto" w:fill="auto"/>
            <w:vAlign w:val="center"/>
          </w:tcPr>
          <w:p w14:paraId="024317C8">
            <w:pPr>
              <w:pStyle w:val="35"/>
              <w:shd w:val="clear" w:color="auto" w:fill="auto"/>
              <w:spacing w:line="240" w:lineRule="auto"/>
              <w:jc w:val="center"/>
              <w:rPr>
                <w:rFonts w:ascii="Times New Roman" w:hAnsi="Times New Roman" w:cs="Times New Roman"/>
                <w:sz w:val="24"/>
                <w:szCs w:val="24"/>
              </w:rPr>
            </w:pPr>
          </w:p>
        </w:tc>
        <w:tc>
          <w:tcPr>
            <w:tcW w:w="348" w:type="pct"/>
            <w:shd w:val="clear" w:color="auto" w:fill="auto"/>
            <w:vAlign w:val="center"/>
          </w:tcPr>
          <w:p w14:paraId="62F3FD3D">
            <w:pPr>
              <w:pStyle w:val="37"/>
              <w:shd w:val="clear" w:color="auto" w:fill="auto"/>
              <w:spacing w:after="0" w:line="240" w:lineRule="auto"/>
              <w:ind w:left="5"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G11</w:t>
            </w:r>
          </w:p>
        </w:tc>
        <w:tc>
          <w:tcPr>
            <w:tcW w:w="3021" w:type="pct"/>
            <w:shd w:val="clear" w:color="auto" w:fill="auto"/>
            <w:vAlign w:val="center"/>
          </w:tcPr>
          <w:p w14:paraId="45470619">
            <w:pPr>
              <w:rPr>
                <w:rFonts w:ascii="Times New Roman" w:hAnsi="Times New Roman" w:cs="Times New Roman"/>
                <w:sz w:val="24"/>
                <w:szCs w:val="24"/>
              </w:rPr>
            </w:pPr>
            <w:r>
              <w:rPr>
                <w:rFonts w:ascii="Times New Roman" w:hAnsi="Times New Roman" w:cs="Times New Roman"/>
                <w:sz w:val="24"/>
                <w:szCs w:val="24"/>
              </w:rPr>
              <w:t>Biogaz provenit din digestia anaerobă, de la depozitele de deșeuri și de la instalațiile de epurare a apelor uzate</w:t>
            </w:r>
          </w:p>
        </w:tc>
        <w:tc>
          <w:tcPr>
            <w:tcW w:w="496" w:type="pct"/>
            <w:shd w:val="clear" w:color="auto" w:fill="auto"/>
            <w:vAlign w:val="center"/>
          </w:tcPr>
          <w:p w14:paraId="50C1BE01">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42,0</w:t>
            </w:r>
          </w:p>
        </w:tc>
        <w:tc>
          <w:tcPr>
            <w:tcW w:w="424" w:type="pct"/>
            <w:shd w:val="clear" w:color="auto" w:fill="auto"/>
            <w:vAlign w:val="center"/>
          </w:tcPr>
          <w:p w14:paraId="33A30CCC">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42,0</w:t>
            </w:r>
          </w:p>
        </w:tc>
        <w:tc>
          <w:tcPr>
            <w:tcW w:w="489" w:type="pct"/>
            <w:shd w:val="clear" w:color="auto" w:fill="auto"/>
            <w:vAlign w:val="center"/>
          </w:tcPr>
          <w:p w14:paraId="112EBF2F">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42,0</w:t>
            </w:r>
          </w:p>
        </w:tc>
      </w:tr>
      <w:tr w14:paraId="0331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trPr>
        <w:tc>
          <w:tcPr>
            <w:tcW w:w="222" w:type="pct"/>
            <w:vMerge w:val="restart"/>
            <w:shd w:val="clear" w:color="auto" w:fill="auto"/>
            <w:textDirection w:val="btLr"/>
            <w:vAlign w:val="center"/>
          </w:tcPr>
          <w:p w14:paraId="644C8C75">
            <w:pPr>
              <w:pStyle w:val="37"/>
              <w:shd w:val="clear" w:color="auto" w:fill="auto"/>
              <w:spacing w:after="0" w:line="240" w:lineRule="auto"/>
              <w:ind w:left="113" w:right="60" w:firstLine="0"/>
              <w:jc w:val="center"/>
              <w:rPr>
                <w:rFonts w:ascii="Times New Roman" w:hAnsi="Times New Roman" w:cs="Times New Roman"/>
                <w:sz w:val="24"/>
                <w:szCs w:val="24"/>
              </w:rPr>
            </w:pPr>
            <w:r>
              <w:rPr>
                <w:rFonts w:ascii="Times New Roman" w:hAnsi="Times New Roman" w:cs="Times New Roman"/>
                <w:sz w:val="24"/>
                <w:szCs w:val="24"/>
              </w:rPr>
              <w:t>Alţi combustibili</w:t>
            </w:r>
          </w:p>
        </w:tc>
        <w:tc>
          <w:tcPr>
            <w:tcW w:w="348" w:type="pct"/>
            <w:shd w:val="clear" w:color="auto" w:fill="auto"/>
            <w:vAlign w:val="center"/>
          </w:tcPr>
          <w:p w14:paraId="67B5539F">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O12</w:t>
            </w:r>
          </w:p>
        </w:tc>
        <w:tc>
          <w:tcPr>
            <w:tcW w:w="3021" w:type="pct"/>
            <w:shd w:val="clear" w:color="auto" w:fill="auto"/>
            <w:vAlign w:val="center"/>
          </w:tcPr>
          <w:p w14:paraId="3255E2EA">
            <w:pPr>
              <w:rPr>
                <w:rFonts w:ascii="Times New Roman" w:hAnsi="Times New Roman" w:cs="Times New Roman"/>
                <w:sz w:val="24"/>
                <w:szCs w:val="24"/>
              </w:rPr>
            </w:pPr>
            <w:r>
              <w:rPr>
                <w:rFonts w:ascii="Times New Roman" w:hAnsi="Times New Roman" w:cs="Times New Roman"/>
                <w:sz w:val="24"/>
                <w:szCs w:val="24"/>
              </w:rPr>
              <w:t>Căldura reziduală, inclusiv gazele de evacuare rezultate din procese, produs al reacțiilor chimice exoterme (temperatura de intrare ˃200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tc>
        <w:tc>
          <w:tcPr>
            <w:tcW w:w="496" w:type="pct"/>
            <w:shd w:val="clear" w:color="auto" w:fill="auto"/>
            <w:vAlign w:val="center"/>
          </w:tcPr>
          <w:p w14:paraId="23EEF0EB">
            <w:pPr>
              <w:pStyle w:val="37"/>
              <w:shd w:val="clear" w:color="auto" w:fill="auto"/>
              <w:spacing w:after="0" w:line="240" w:lineRule="auto"/>
              <w:ind w:right="60" w:firstLine="0"/>
              <w:jc w:val="center"/>
              <w:rPr>
                <w:rStyle w:val="38"/>
                <w:rFonts w:ascii="Times New Roman" w:hAnsi="Times New Roman" w:cs="Times New Roman"/>
                <w:sz w:val="24"/>
                <w:szCs w:val="24"/>
              </w:rPr>
            </w:pPr>
          </w:p>
        </w:tc>
        <w:tc>
          <w:tcPr>
            <w:tcW w:w="424" w:type="pct"/>
            <w:shd w:val="clear" w:color="auto" w:fill="auto"/>
            <w:vAlign w:val="center"/>
          </w:tcPr>
          <w:p w14:paraId="209D2CE8">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30,0</w:t>
            </w:r>
          </w:p>
        </w:tc>
        <w:tc>
          <w:tcPr>
            <w:tcW w:w="489" w:type="pct"/>
            <w:shd w:val="clear" w:color="auto" w:fill="auto"/>
            <w:vAlign w:val="center"/>
          </w:tcPr>
          <w:p w14:paraId="48D08956">
            <w:pPr>
              <w:pStyle w:val="37"/>
              <w:shd w:val="clear" w:color="auto" w:fill="auto"/>
              <w:spacing w:after="0" w:line="240" w:lineRule="auto"/>
              <w:ind w:right="60" w:firstLine="0"/>
              <w:jc w:val="center"/>
              <w:rPr>
                <w:rStyle w:val="38"/>
                <w:rFonts w:ascii="Times New Roman" w:hAnsi="Times New Roman" w:cs="Times New Roman"/>
                <w:sz w:val="24"/>
                <w:szCs w:val="24"/>
              </w:rPr>
            </w:pPr>
            <w:r>
              <w:rPr>
                <w:rStyle w:val="38"/>
                <w:rFonts w:ascii="Times New Roman" w:hAnsi="Times New Roman" w:cs="Times New Roman"/>
                <w:sz w:val="24"/>
                <w:szCs w:val="24"/>
              </w:rPr>
              <w:t>30,0</w:t>
            </w:r>
          </w:p>
        </w:tc>
      </w:tr>
      <w:tr w14:paraId="20EC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trPr>
        <w:tc>
          <w:tcPr>
            <w:tcW w:w="222" w:type="pct"/>
            <w:vMerge w:val="continue"/>
            <w:shd w:val="clear" w:color="auto" w:fill="auto"/>
            <w:textDirection w:val="btLr"/>
            <w:vAlign w:val="center"/>
          </w:tcPr>
          <w:p w14:paraId="1DEACAB5">
            <w:pPr>
              <w:pStyle w:val="37"/>
              <w:shd w:val="clear" w:color="auto" w:fill="auto"/>
              <w:spacing w:after="0" w:line="240" w:lineRule="auto"/>
              <w:ind w:left="113" w:right="60" w:firstLine="0"/>
              <w:jc w:val="center"/>
              <w:rPr>
                <w:rFonts w:ascii="Times New Roman" w:hAnsi="Times New Roman" w:cs="Times New Roman"/>
                <w:sz w:val="24"/>
                <w:szCs w:val="24"/>
              </w:rPr>
            </w:pPr>
          </w:p>
        </w:tc>
        <w:tc>
          <w:tcPr>
            <w:tcW w:w="348" w:type="pct"/>
            <w:shd w:val="clear" w:color="auto" w:fill="auto"/>
            <w:vAlign w:val="center"/>
          </w:tcPr>
          <w:p w14:paraId="536F48CA">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O13</w:t>
            </w:r>
          </w:p>
        </w:tc>
        <w:tc>
          <w:tcPr>
            <w:tcW w:w="3021" w:type="pct"/>
            <w:shd w:val="clear" w:color="auto" w:fill="auto"/>
            <w:vAlign w:val="center"/>
          </w:tcPr>
          <w:p w14:paraId="6F483F5A">
            <w:pPr>
              <w:rPr>
                <w:rFonts w:ascii="Times New Roman" w:hAnsi="Times New Roman" w:cs="Times New Roman"/>
                <w:sz w:val="24"/>
                <w:szCs w:val="24"/>
              </w:rPr>
            </w:pPr>
            <w:r>
              <w:rPr>
                <w:rFonts w:ascii="Times New Roman" w:hAnsi="Times New Roman" w:cs="Times New Roman"/>
                <w:sz w:val="24"/>
                <w:szCs w:val="24"/>
              </w:rPr>
              <w:t>Căldura reziduală, inclusiv gazele de evacuare rezultate din procese, produs al reacțiilor chimice exoterme (temperatura de intrare &lt;200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tc>
        <w:tc>
          <w:tcPr>
            <w:tcW w:w="496" w:type="pct"/>
            <w:shd w:val="clear" w:color="auto" w:fill="auto"/>
            <w:vAlign w:val="center"/>
          </w:tcPr>
          <w:p w14:paraId="41B354F5">
            <w:pPr>
              <w:pStyle w:val="37"/>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17CF1F30">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30,0</w:t>
            </w:r>
          </w:p>
        </w:tc>
        <w:tc>
          <w:tcPr>
            <w:tcW w:w="489" w:type="pct"/>
            <w:shd w:val="clear" w:color="auto" w:fill="auto"/>
            <w:vAlign w:val="center"/>
          </w:tcPr>
          <w:p w14:paraId="7FEC224A">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20,0</w:t>
            </w:r>
          </w:p>
        </w:tc>
      </w:tr>
      <w:tr w14:paraId="3174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22" w:type="pct"/>
            <w:vMerge w:val="continue"/>
            <w:shd w:val="clear" w:color="auto" w:fill="auto"/>
            <w:textDirection w:val="btLr"/>
            <w:vAlign w:val="center"/>
          </w:tcPr>
          <w:p w14:paraId="2AAC9FE1">
            <w:pPr>
              <w:pStyle w:val="37"/>
              <w:shd w:val="clear" w:color="auto" w:fill="auto"/>
              <w:spacing w:after="0" w:line="240" w:lineRule="auto"/>
              <w:ind w:left="113" w:right="60" w:firstLine="0"/>
              <w:jc w:val="center"/>
              <w:rPr>
                <w:rFonts w:ascii="Times New Roman" w:hAnsi="Times New Roman" w:cs="Times New Roman"/>
                <w:sz w:val="24"/>
                <w:szCs w:val="24"/>
              </w:rPr>
            </w:pPr>
          </w:p>
        </w:tc>
        <w:tc>
          <w:tcPr>
            <w:tcW w:w="348" w:type="pct"/>
            <w:shd w:val="clear" w:color="auto" w:fill="auto"/>
            <w:vAlign w:val="center"/>
          </w:tcPr>
          <w:p w14:paraId="3B7E33D6">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 xml:space="preserve">O14 </w:t>
            </w:r>
          </w:p>
        </w:tc>
        <w:tc>
          <w:tcPr>
            <w:tcW w:w="3021" w:type="pct"/>
            <w:shd w:val="clear" w:color="auto" w:fill="auto"/>
            <w:vAlign w:val="center"/>
          </w:tcPr>
          <w:p w14:paraId="73975BF3">
            <w:pPr>
              <w:rPr>
                <w:rFonts w:ascii="Times New Roman" w:hAnsi="Times New Roman" w:cs="Times New Roman"/>
                <w:sz w:val="24"/>
                <w:szCs w:val="24"/>
              </w:rPr>
            </w:pPr>
            <w:r>
              <w:rPr>
                <w:rFonts w:ascii="Times New Roman" w:hAnsi="Times New Roman" w:cs="Times New Roman"/>
                <w:sz w:val="24"/>
                <w:szCs w:val="24"/>
              </w:rPr>
              <w:t>Energie nucleară</w:t>
            </w:r>
          </w:p>
        </w:tc>
        <w:tc>
          <w:tcPr>
            <w:tcW w:w="496" w:type="pct"/>
            <w:shd w:val="clear" w:color="auto" w:fill="auto"/>
            <w:vAlign w:val="center"/>
          </w:tcPr>
          <w:p w14:paraId="10AF76DC">
            <w:pPr>
              <w:pStyle w:val="37"/>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366F99E2">
            <w:pPr>
              <w:pStyle w:val="37"/>
              <w:shd w:val="clear" w:color="auto" w:fill="auto"/>
              <w:spacing w:after="0" w:line="240" w:lineRule="auto"/>
              <w:ind w:right="60" w:firstLine="0"/>
              <w:jc w:val="center"/>
              <w:rPr>
                <w:rFonts w:ascii="Times New Roman" w:hAnsi="Times New Roman" w:cs="Times New Roman"/>
                <w:sz w:val="24"/>
                <w:szCs w:val="24"/>
              </w:rPr>
            </w:pPr>
            <w:r>
              <w:rPr>
                <w:rFonts w:ascii="Times New Roman" w:hAnsi="Times New Roman" w:cs="Times New Roman"/>
                <w:sz w:val="24"/>
                <w:szCs w:val="24"/>
              </w:rPr>
              <w:t>33,0</w:t>
            </w:r>
          </w:p>
        </w:tc>
        <w:tc>
          <w:tcPr>
            <w:tcW w:w="489" w:type="pct"/>
            <w:shd w:val="clear" w:color="auto" w:fill="auto"/>
            <w:vAlign w:val="center"/>
          </w:tcPr>
          <w:p w14:paraId="726F4346">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33,0</w:t>
            </w:r>
          </w:p>
        </w:tc>
      </w:tr>
      <w:tr w14:paraId="7203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22" w:type="pct"/>
            <w:vMerge w:val="continue"/>
            <w:shd w:val="clear" w:color="auto" w:fill="auto"/>
            <w:textDirection w:val="btLr"/>
            <w:vAlign w:val="center"/>
          </w:tcPr>
          <w:p w14:paraId="66598746">
            <w:pPr>
              <w:pStyle w:val="37"/>
              <w:shd w:val="clear" w:color="auto" w:fill="auto"/>
              <w:spacing w:after="0" w:line="240" w:lineRule="auto"/>
              <w:ind w:left="113" w:right="60" w:firstLine="0"/>
              <w:jc w:val="center"/>
              <w:rPr>
                <w:rFonts w:ascii="Times New Roman" w:hAnsi="Times New Roman" w:cs="Times New Roman"/>
                <w:sz w:val="24"/>
                <w:szCs w:val="24"/>
              </w:rPr>
            </w:pPr>
          </w:p>
        </w:tc>
        <w:tc>
          <w:tcPr>
            <w:tcW w:w="348" w:type="pct"/>
            <w:shd w:val="clear" w:color="auto" w:fill="auto"/>
            <w:vAlign w:val="center"/>
          </w:tcPr>
          <w:p w14:paraId="13A77A06">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O15</w:t>
            </w:r>
          </w:p>
        </w:tc>
        <w:tc>
          <w:tcPr>
            <w:tcW w:w="3021" w:type="pct"/>
            <w:shd w:val="clear" w:color="auto" w:fill="auto"/>
            <w:vAlign w:val="center"/>
          </w:tcPr>
          <w:p w14:paraId="1B00F9BF">
            <w:pPr>
              <w:rPr>
                <w:rFonts w:ascii="Times New Roman" w:hAnsi="Times New Roman" w:cs="Times New Roman"/>
                <w:sz w:val="24"/>
                <w:szCs w:val="24"/>
              </w:rPr>
            </w:pPr>
            <w:r>
              <w:rPr>
                <w:rFonts w:ascii="Times New Roman" w:hAnsi="Times New Roman" w:cs="Times New Roman"/>
                <w:sz w:val="24"/>
                <w:szCs w:val="24"/>
              </w:rPr>
              <w:t>Energie termică solară</w:t>
            </w:r>
          </w:p>
        </w:tc>
        <w:tc>
          <w:tcPr>
            <w:tcW w:w="496" w:type="pct"/>
            <w:shd w:val="clear" w:color="auto" w:fill="auto"/>
            <w:vAlign w:val="center"/>
          </w:tcPr>
          <w:p w14:paraId="0F79C565">
            <w:pPr>
              <w:pStyle w:val="37"/>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4D965F39">
            <w:pPr>
              <w:pStyle w:val="37"/>
              <w:shd w:val="clear" w:color="auto" w:fill="auto"/>
              <w:spacing w:after="0" w:line="240" w:lineRule="auto"/>
              <w:ind w:right="60"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489" w:type="pct"/>
            <w:shd w:val="clear" w:color="auto" w:fill="auto"/>
            <w:vAlign w:val="center"/>
          </w:tcPr>
          <w:p w14:paraId="1CCFFC01">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30,0</w:t>
            </w:r>
          </w:p>
        </w:tc>
      </w:tr>
      <w:tr w14:paraId="77B3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22" w:type="pct"/>
            <w:vMerge w:val="continue"/>
            <w:shd w:val="clear" w:color="auto" w:fill="auto"/>
            <w:textDirection w:val="btLr"/>
            <w:vAlign w:val="center"/>
          </w:tcPr>
          <w:p w14:paraId="098EA1F3">
            <w:pPr>
              <w:pStyle w:val="37"/>
              <w:shd w:val="clear" w:color="auto" w:fill="auto"/>
              <w:spacing w:after="0" w:line="240" w:lineRule="auto"/>
              <w:ind w:left="113" w:right="60" w:firstLine="0"/>
              <w:jc w:val="center"/>
              <w:rPr>
                <w:rFonts w:ascii="Times New Roman" w:hAnsi="Times New Roman" w:cs="Times New Roman"/>
                <w:sz w:val="24"/>
                <w:szCs w:val="24"/>
              </w:rPr>
            </w:pPr>
            <w:r>
              <w:rPr>
                <w:rFonts w:ascii="Times New Roman" w:hAnsi="Times New Roman" w:cs="Times New Roman"/>
                <w:sz w:val="24"/>
                <w:szCs w:val="24"/>
              </w:rPr>
              <w:t>O</w:t>
            </w:r>
          </w:p>
        </w:tc>
        <w:tc>
          <w:tcPr>
            <w:tcW w:w="348" w:type="pct"/>
            <w:shd w:val="clear" w:color="auto" w:fill="auto"/>
            <w:vAlign w:val="center"/>
          </w:tcPr>
          <w:p w14:paraId="3FE7A8D7">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O16</w:t>
            </w:r>
          </w:p>
        </w:tc>
        <w:tc>
          <w:tcPr>
            <w:tcW w:w="3021" w:type="pct"/>
            <w:shd w:val="clear" w:color="auto" w:fill="auto"/>
            <w:vAlign w:val="center"/>
          </w:tcPr>
          <w:p w14:paraId="35451779">
            <w:pPr>
              <w:rPr>
                <w:rFonts w:ascii="Times New Roman" w:hAnsi="Times New Roman" w:cs="Times New Roman"/>
                <w:sz w:val="24"/>
                <w:szCs w:val="24"/>
              </w:rPr>
            </w:pPr>
            <w:r>
              <w:rPr>
                <w:rFonts w:ascii="Times New Roman" w:hAnsi="Times New Roman" w:cs="Times New Roman"/>
                <w:sz w:val="24"/>
                <w:szCs w:val="24"/>
              </w:rPr>
              <w:t>Energie geotermică</w:t>
            </w:r>
          </w:p>
        </w:tc>
        <w:tc>
          <w:tcPr>
            <w:tcW w:w="496" w:type="pct"/>
            <w:shd w:val="clear" w:color="auto" w:fill="auto"/>
            <w:vAlign w:val="center"/>
          </w:tcPr>
          <w:p w14:paraId="36A24EDB">
            <w:pPr>
              <w:pStyle w:val="37"/>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0BB7EF7E">
            <w:pPr>
              <w:pStyle w:val="37"/>
              <w:shd w:val="clear" w:color="auto" w:fill="auto"/>
              <w:spacing w:after="0" w:line="240" w:lineRule="auto"/>
              <w:ind w:right="60" w:firstLine="0"/>
              <w:jc w:val="center"/>
              <w:rPr>
                <w:rFonts w:ascii="Times New Roman" w:hAnsi="Times New Roman" w:cs="Times New Roman"/>
                <w:sz w:val="24"/>
                <w:szCs w:val="24"/>
              </w:rPr>
            </w:pPr>
            <w:r>
              <w:rPr>
                <w:rFonts w:ascii="Times New Roman" w:hAnsi="Times New Roman" w:cs="Times New Roman"/>
                <w:sz w:val="24"/>
                <w:szCs w:val="24"/>
              </w:rPr>
              <w:t>19,5</w:t>
            </w:r>
          </w:p>
        </w:tc>
        <w:tc>
          <w:tcPr>
            <w:tcW w:w="489" w:type="pct"/>
            <w:shd w:val="clear" w:color="auto" w:fill="auto"/>
            <w:vAlign w:val="center"/>
          </w:tcPr>
          <w:p w14:paraId="2A6B76A3">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19,5</w:t>
            </w:r>
          </w:p>
        </w:tc>
      </w:tr>
      <w:tr w14:paraId="0E38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222" w:type="pct"/>
            <w:vMerge w:val="continue"/>
            <w:shd w:val="clear" w:color="auto" w:fill="auto"/>
            <w:textDirection w:val="btLr"/>
            <w:vAlign w:val="center"/>
          </w:tcPr>
          <w:p w14:paraId="2CB01222">
            <w:pPr>
              <w:pStyle w:val="37"/>
              <w:shd w:val="clear" w:color="auto" w:fill="auto"/>
              <w:spacing w:after="0" w:line="240" w:lineRule="auto"/>
              <w:ind w:left="113" w:right="60" w:firstLine="0"/>
              <w:jc w:val="center"/>
              <w:rPr>
                <w:rFonts w:ascii="Times New Roman" w:hAnsi="Times New Roman" w:cs="Times New Roman"/>
                <w:sz w:val="24"/>
                <w:szCs w:val="24"/>
              </w:rPr>
            </w:pPr>
          </w:p>
        </w:tc>
        <w:tc>
          <w:tcPr>
            <w:tcW w:w="348" w:type="pct"/>
            <w:shd w:val="clear" w:color="auto" w:fill="auto"/>
            <w:vAlign w:val="center"/>
          </w:tcPr>
          <w:p w14:paraId="79B46BDA">
            <w:pPr>
              <w:pStyle w:val="37"/>
              <w:shd w:val="clear" w:color="auto" w:fill="auto"/>
              <w:spacing w:after="0" w:line="240" w:lineRule="auto"/>
              <w:ind w:left="5" w:firstLine="0"/>
              <w:jc w:val="center"/>
              <w:rPr>
                <w:rStyle w:val="38"/>
                <w:rFonts w:ascii="Times New Roman" w:hAnsi="Times New Roman" w:cs="Times New Roman"/>
                <w:sz w:val="24"/>
                <w:szCs w:val="24"/>
              </w:rPr>
            </w:pPr>
            <w:r>
              <w:rPr>
                <w:rStyle w:val="38"/>
                <w:rFonts w:ascii="Times New Roman" w:hAnsi="Times New Roman" w:cs="Times New Roman"/>
                <w:sz w:val="24"/>
                <w:szCs w:val="24"/>
              </w:rPr>
              <w:t>O17</w:t>
            </w:r>
          </w:p>
          <w:p w14:paraId="199A91AB">
            <w:pPr>
              <w:pStyle w:val="37"/>
              <w:shd w:val="clear" w:color="auto" w:fill="auto"/>
              <w:spacing w:after="0" w:line="168" w:lineRule="exact"/>
              <w:ind w:left="5" w:firstLine="0"/>
              <w:jc w:val="center"/>
              <w:rPr>
                <w:rStyle w:val="38"/>
                <w:rFonts w:ascii="Times New Roman" w:hAnsi="Times New Roman" w:cs="Times New Roman"/>
                <w:sz w:val="24"/>
                <w:szCs w:val="24"/>
              </w:rPr>
            </w:pPr>
          </w:p>
          <w:p w14:paraId="59D3102E">
            <w:pPr>
              <w:pStyle w:val="37"/>
              <w:shd w:val="clear" w:color="auto" w:fill="auto"/>
              <w:spacing w:after="0" w:line="168" w:lineRule="exact"/>
              <w:ind w:left="5" w:firstLine="0"/>
              <w:jc w:val="center"/>
              <w:rPr>
                <w:rStyle w:val="38"/>
                <w:rFonts w:ascii="Times New Roman" w:hAnsi="Times New Roman" w:cs="Times New Roman"/>
                <w:sz w:val="24"/>
                <w:szCs w:val="24"/>
              </w:rPr>
            </w:pPr>
          </w:p>
        </w:tc>
        <w:tc>
          <w:tcPr>
            <w:tcW w:w="3021" w:type="pct"/>
            <w:shd w:val="clear" w:color="auto" w:fill="auto"/>
            <w:vAlign w:val="center"/>
          </w:tcPr>
          <w:p w14:paraId="1120A45B">
            <w:pPr>
              <w:rPr>
                <w:rFonts w:ascii="Times New Roman" w:hAnsi="Times New Roman" w:cs="Times New Roman"/>
                <w:color w:val="000000"/>
                <w:sz w:val="24"/>
                <w:szCs w:val="24"/>
              </w:rPr>
            </w:pPr>
            <w:r>
              <w:rPr>
                <w:rFonts w:ascii="Times New Roman" w:hAnsi="Times New Roman" w:cs="Times New Roman"/>
                <w:color w:val="000000"/>
                <w:sz w:val="24"/>
                <w:szCs w:val="24"/>
              </w:rPr>
              <w:t>Alți combustibili care nu au fost menționați anterior</w:t>
            </w:r>
          </w:p>
        </w:tc>
        <w:tc>
          <w:tcPr>
            <w:tcW w:w="496" w:type="pct"/>
            <w:shd w:val="clear" w:color="auto" w:fill="auto"/>
            <w:vAlign w:val="center"/>
          </w:tcPr>
          <w:p w14:paraId="2C4E0343">
            <w:pPr>
              <w:pStyle w:val="37"/>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47DFF0C4">
            <w:pPr>
              <w:pStyle w:val="37"/>
              <w:shd w:val="clear" w:color="auto" w:fill="auto"/>
              <w:spacing w:after="0" w:line="240" w:lineRule="auto"/>
              <w:ind w:right="60"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489" w:type="pct"/>
            <w:shd w:val="clear" w:color="auto" w:fill="auto"/>
            <w:vAlign w:val="center"/>
          </w:tcPr>
          <w:p w14:paraId="7524575B">
            <w:pPr>
              <w:pStyle w:val="37"/>
              <w:shd w:val="clear" w:color="auto" w:fill="auto"/>
              <w:spacing w:after="0" w:line="240" w:lineRule="auto"/>
              <w:ind w:right="60" w:firstLine="0"/>
              <w:jc w:val="center"/>
              <w:rPr>
                <w:rFonts w:ascii="Times New Roman" w:hAnsi="Times New Roman" w:cs="Times New Roman"/>
                <w:sz w:val="24"/>
                <w:szCs w:val="24"/>
              </w:rPr>
            </w:pPr>
            <w:r>
              <w:rPr>
                <w:rStyle w:val="38"/>
                <w:rFonts w:ascii="Times New Roman" w:hAnsi="Times New Roman" w:cs="Times New Roman"/>
                <w:sz w:val="24"/>
                <w:szCs w:val="24"/>
              </w:rPr>
              <w:t>30,0</w:t>
            </w:r>
          </w:p>
        </w:tc>
      </w:tr>
    </w:tbl>
    <w:p w14:paraId="27C5E828">
      <w:pPr>
        <w:spacing w:after="0" w:line="240" w:lineRule="auto"/>
        <w:ind w:right="-739"/>
        <w:jc w:val="right"/>
        <w:rPr>
          <w:rFonts w:ascii="Times New Roman" w:hAnsi="Times New Roman" w:cs="Times New Roman"/>
          <w:b/>
          <w:bCs/>
          <w:i/>
          <w:iCs/>
          <w:sz w:val="24"/>
          <w:szCs w:val="24"/>
          <w:lang w:val="ro-RO"/>
        </w:rPr>
      </w:pPr>
    </w:p>
    <w:p w14:paraId="126EAABD">
      <w:pPr>
        <w:spacing w:after="0" w:line="240" w:lineRule="auto"/>
        <w:ind w:right="-739"/>
        <w:jc w:val="right"/>
        <w:rPr>
          <w:rFonts w:ascii="Times New Roman" w:hAnsi="Times New Roman" w:cs="Times New Roman"/>
          <w:b/>
          <w:bCs/>
          <w:i/>
          <w:iCs/>
          <w:sz w:val="24"/>
          <w:szCs w:val="24"/>
          <w:lang w:val="ro-RO"/>
        </w:rPr>
      </w:pPr>
    </w:p>
    <w:p w14:paraId="0A94C53F">
      <w:pPr>
        <w:spacing w:after="0" w:line="240" w:lineRule="auto"/>
        <w:ind w:right="-739"/>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Anexa nr.2  la Tabelul de concordanță </w:t>
      </w:r>
    </w:p>
    <w:p w14:paraId="14875E44">
      <w:pPr>
        <w:spacing w:after="0" w:line="240" w:lineRule="auto"/>
        <w:ind w:right="-739"/>
        <w:jc w:val="right"/>
        <w:rPr>
          <w:rFonts w:ascii="Times New Roman" w:hAnsi="Times New Roman" w:cs="Times New Roman"/>
          <w:b/>
          <w:bCs/>
          <w:i/>
          <w:iCs/>
          <w:sz w:val="24"/>
          <w:szCs w:val="24"/>
          <w:lang w:val="ro-RO"/>
        </w:rPr>
      </w:pPr>
    </w:p>
    <w:tbl>
      <w:tblPr>
        <w:tblStyle w:val="3"/>
        <w:tblpPr w:leftFromText="180" w:rightFromText="180" w:vertAnchor="text" w:horzAnchor="margin" w:tblpY="63"/>
        <w:tblW w:w="52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3"/>
        <w:gridCol w:w="889"/>
        <w:gridCol w:w="3657"/>
        <w:gridCol w:w="926"/>
        <w:gridCol w:w="926"/>
        <w:gridCol w:w="1540"/>
        <w:gridCol w:w="877"/>
        <w:gridCol w:w="975"/>
        <w:gridCol w:w="1522"/>
        <w:gridCol w:w="987"/>
        <w:gridCol w:w="846"/>
        <w:gridCol w:w="1441"/>
      </w:tblGrid>
      <w:tr w14:paraId="2F95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561" w:type="pct"/>
            <w:gridSpan w:val="2"/>
            <w:vMerge w:val="restart"/>
            <w:textDirection w:val="btLr"/>
            <w:vAlign w:val="center"/>
          </w:tcPr>
          <w:p w14:paraId="28E89D92">
            <w:pPr>
              <w:pStyle w:val="35"/>
              <w:spacing w:line="202" w:lineRule="exact"/>
              <w:ind w:left="113" w:right="113"/>
              <w:jc w:val="center"/>
              <w:rPr>
                <w:rStyle w:val="36"/>
                <w:rFonts w:ascii="Times New Roman" w:hAnsi="Times New Roman" w:eastAsia="Calibri" w:cs="Times New Roman"/>
                <w:sz w:val="24"/>
                <w:szCs w:val="24"/>
              </w:rPr>
            </w:pPr>
          </w:p>
          <w:p w14:paraId="7EF1B21E">
            <w:pPr>
              <w:pStyle w:val="35"/>
              <w:spacing w:line="202" w:lineRule="exact"/>
              <w:ind w:left="113" w:right="113"/>
              <w:jc w:val="center"/>
              <w:rPr>
                <w:rStyle w:val="36"/>
                <w:rFonts w:ascii="Times New Roman" w:hAnsi="Times New Roman" w:eastAsia="Calibri" w:cs="Times New Roman"/>
                <w:b/>
                <w:bCs/>
                <w:sz w:val="24"/>
                <w:szCs w:val="24"/>
                <w:u w:val="single"/>
              </w:rPr>
            </w:pPr>
            <w:r>
              <w:rPr>
                <w:rStyle w:val="36"/>
                <w:rFonts w:ascii="Times New Roman" w:hAnsi="Times New Roman" w:eastAsia="Calibri" w:cs="Times New Roman"/>
                <w:sz w:val="24"/>
                <w:szCs w:val="24"/>
              </w:rPr>
              <w:t>Categoria</w:t>
            </w:r>
          </w:p>
        </w:tc>
        <w:tc>
          <w:tcPr>
            <w:tcW w:w="1185" w:type="pct"/>
            <w:vMerge w:val="restart"/>
            <w:vAlign w:val="center"/>
          </w:tcPr>
          <w:p w14:paraId="194B1F10">
            <w:pPr>
              <w:pStyle w:val="35"/>
              <w:spacing w:line="202" w:lineRule="exact"/>
              <w:jc w:val="center"/>
              <w:rPr>
                <w:rStyle w:val="36"/>
                <w:rFonts w:ascii="Times New Roman" w:hAnsi="Times New Roman" w:cs="Times New Roman"/>
                <w:sz w:val="24"/>
                <w:szCs w:val="24"/>
              </w:rPr>
            </w:pPr>
          </w:p>
          <w:p w14:paraId="71F36D85">
            <w:pPr>
              <w:pStyle w:val="35"/>
              <w:spacing w:line="202" w:lineRule="exact"/>
              <w:jc w:val="center"/>
              <w:rPr>
                <w:rStyle w:val="36"/>
                <w:rFonts w:ascii="Times New Roman" w:hAnsi="Times New Roman" w:cs="Times New Roman"/>
                <w:sz w:val="24"/>
                <w:szCs w:val="24"/>
              </w:rPr>
            </w:pPr>
          </w:p>
          <w:p w14:paraId="22BD76D0">
            <w:pPr>
              <w:pStyle w:val="35"/>
              <w:spacing w:line="202" w:lineRule="exact"/>
              <w:jc w:val="center"/>
              <w:rPr>
                <w:rStyle w:val="36"/>
                <w:rFonts w:ascii="Times New Roman" w:hAnsi="Times New Roman" w:cs="Times New Roman"/>
                <w:sz w:val="24"/>
                <w:szCs w:val="24"/>
              </w:rPr>
            </w:pPr>
            <w:r>
              <w:rPr>
                <w:rStyle w:val="36"/>
                <w:rFonts w:ascii="Times New Roman" w:hAnsi="Times New Roman" w:cs="Times New Roman"/>
                <w:sz w:val="24"/>
                <w:szCs w:val="24"/>
              </w:rPr>
              <w:t xml:space="preserve">Tipul de combustibil </w:t>
            </w:r>
          </w:p>
        </w:tc>
        <w:tc>
          <w:tcPr>
            <w:tcW w:w="3253" w:type="pct"/>
            <w:gridSpan w:val="9"/>
            <w:vAlign w:val="center"/>
          </w:tcPr>
          <w:p w14:paraId="5983C7D4">
            <w:pPr>
              <w:ind w:right="139" w:rightChars="63"/>
              <w:jc w:val="center"/>
              <w:rPr>
                <w:rStyle w:val="36"/>
                <w:rFonts w:ascii="Times New Roman" w:hAnsi="Times New Roman" w:cs="Times New Roman"/>
                <w:sz w:val="24"/>
                <w:szCs w:val="24"/>
              </w:rPr>
            </w:pPr>
            <w:r>
              <w:rPr>
                <w:rStyle w:val="36"/>
                <w:rFonts w:ascii="Times New Roman" w:hAnsi="Times New Roman" w:cs="Times New Roman"/>
                <w:sz w:val="24"/>
                <w:szCs w:val="24"/>
              </w:rPr>
              <w:t xml:space="preserve">       Anul construcției</w:t>
            </w:r>
          </w:p>
        </w:tc>
      </w:tr>
      <w:tr w14:paraId="30E6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561" w:type="pct"/>
            <w:gridSpan w:val="2"/>
            <w:vMerge w:val="continue"/>
          </w:tcPr>
          <w:p w14:paraId="24E5EBFC">
            <w:pPr>
              <w:pStyle w:val="35"/>
              <w:spacing w:line="202" w:lineRule="exact"/>
              <w:jc w:val="center"/>
              <w:rPr>
                <w:rStyle w:val="36"/>
                <w:rFonts w:ascii="Times New Roman" w:hAnsi="Times New Roman" w:cs="Times New Roman"/>
                <w:sz w:val="24"/>
                <w:szCs w:val="24"/>
              </w:rPr>
            </w:pPr>
          </w:p>
        </w:tc>
        <w:tc>
          <w:tcPr>
            <w:tcW w:w="1185" w:type="pct"/>
            <w:vMerge w:val="continue"/>
          </w:tcPr>
          <w:p w14:paraId="239AD9FF">
            <w:pPr>
              <w:pStyle w:val="35"/>
              <w:spacing w:line="202" w:lineRule="exact"/>
              <w:jc w:val="center"/>
              <w:rPr>
                <w:rStyle w:val="36"/>
                <w:rFonts w:ascii="Times New Roman" w:hAnsi="Times New Roman" w:cs="Times New Roman"/>
                <w:sz w:val="24"/>
                <w:szCs w:val="24"/>
              </w:rPr>
            </w:pPr>
          </w:p>
        </w:tc>
        <w:tc>
          <w:tcPr>
            <w:tcW w:w="1099" w:type="pct"/>
            <w:gridSpan w:val="3"/>
            <w:vAlign w:val="center"/>
          </w:tcPr>
          <w:p w14:paraId="06A9CF00">
            <w:pPr>
              <w:jc w:val="center"/>
              <w:rPr>
                <w:rStyle w:val="36"/>
                <w:rFonts w:ascii="Times New Roman" w:hAnsi="Times New Roman" w:cs="Times New Roman"/>
                <w:sz w:val="24"/>
                <w:szCs w:val="24"/>
              </w:rPr>
            </w:pPr>
            <w:r>
              <w:rPr>
                <w:rStyle w:val="36"/>
                <w:rFonts w:ascii="Times New Roman" w:hAnsi="Times New Roman" w:cs="Times New Roman"/>
                <w:sz w:val="24"/>
                <w:szCs w:val="24"/>
              </w:rPr>
              <w:t>Înainte de 2016</w:t>
            </w:r>
          </w:p>
        </w:tc>
        <w:tc>
          <w:tcPr>
            <w:tcW w:w="1093" w:type="pct"/>
            <w:gridSpan w:val="3"/>
            <w:vAlign w:val="center"/>
          </w:tcPr>
          <w:p w14:paraId="3B76F1CA">
            <w:pPr>
              <w:jc w:val="center"/>
              <w:rPr>
                <w:rStyle w:val="36"/>
                <w:rFonts w:ascii="Times New Roman" w:hAnsi="Times New Roman" w:cs="Times New Roman"/>
                <w:sz w:val="24"/>
                <w:szCs w:val="24"/>
              </w:rPr>
            </w:pPr>
            <w:r>
              <w:rPr>
                <w:rStyle w:val="36"/>
                <w:rFonts w:ascii="Times New Roman" w:hAnsi="Times New Roman" w:cs="Times New Roman"/>
                <w:sz w:val="24"/>
                <w:szCs w:val="24"/>
              </w:rPr>
              <w:t>2016-2023</w:t>
            </w:r>
          </w:p>
        </w:tc>
        <w:tc>
          <w:tcPr>
            <w:tcW w:w="1061" w:type="pct"/>
            <w:gridSpan w:val="3"/>
            <w:shd w:val="clear" w:color="auto" w:fill="auto"/>
            <w:vAlign w:val="center"/>
          </w:tcPr>
          <w:p w14:paraId="5D26B476">
            <w:pPr>
              <w:jc w:val="center"/>
              <w:rPr>
                <w:rFonts w:ascii="Times New Roman" w:hAnsi="Times New Roman" w:cs="Times New Roman"/>
                <w:sz w:val="24"/>
                <w:szCs w:val="24"/>
              </w:rPr>
            </w:pPr>
            <w:r>
              <w:rPr>
                <w:rStyle w:val="36"/>
                <w:rFonts w:ascii="Times New Roman" w:hAnsi="Times New Roman" w:cs="Times New Roman"/>
                <w:sz w:val="24"/>
                <w:szCs w:val="24"/>
              </w:rPr>
              <w:t>Începând cu 2024</w:t>
            </w:r>
          </w:p>
        </w:tc>
      </w:tr>
      <w:tr w14:paraId="3221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7" w:hRule="atLeast"/>
        </w:trPr>
        <w:tc>
          <w:tcPr>
            <w:tcW w:w="561" w:type="pct"/>
            <w:gridSpan w:val="2"/>
            <w:vMerge w:val="continue"/>
          </w:tcPr>
          <w:p w14:paraId="04205A9B">
            <w:pPr>
              <w:pStyle w:val="35"/>
              <w:shd w:val="clear" w:color="auto" w:fill="auto"/>
              <w:spacing w:line="202" w:lineRule="exact"/>
              <w:jc w:val="center"/>
              <w:rPr>
                <w:rFonts w:ascii="Times New Roman" w:hAnsi="Times New Roman" w:cs="Times New Roman"/>
                <w:sz w:val="24"/>
                <w:szCs w:val="24"/>
              </w:rPr>
            </w:pPr>
          </w:p>
        </w:tc>
        <w:tc>
          <w:tcPr>
            <w:tcW w:w="1185" w:type="pct"/>
            <w:vMerge w:val="continue"/>
          </w:tcPr>
          <w:p w14:paraId="68409704">
            <w:pPr>
              <w:pStyle w:val="35"/>
              <w:shd w:val="clear" w:color="auto" w:fill="auto"/>
              <w:spacing w:line="202" w:lineRule="exact"/>
              <w:jc w:val="center"/>
              <w:rPr>
                <w:rFonts w:ascii="Times New Roman" w:hAnsi="Times New Roman" w:cs="Times New Roman"/>
                <w:sz w:val="24"/>
                <w:szCs w:val="24"/>
              </w:rPr>
            </w:pPr>
          </w:p>
        </w:tc>
        <w:tc>
          <w:tcPr>
            <w:tcW w:w="300" w:type="pct"/>
            <w:vAlign w:val="center"/>
          </w:tcPr>
          <w:p w14:paraId="10EE62D3">
            <w:pPr>
              <w:jc w:val="center"/>
              <w:rPr>
                <w:rStyle w:val="36"/>
                <w:rFonts w:ascii="Times New Roman" w:hAnsi="Times New Roman" w:cs="Times New Roman"/>
                <w:sz w:val="24"/>
                <w:szCs w:val="24"/>
              </w:rPr>
            </w:pPr>
            <w:r>
              <w:rPr>
                <w:rStyle w:val="36"/>
                <w:rFonts w:ascii="Times New Roman" w:hAnsi="Times New Roman" w:cs="Times New Roman"/>
                <w:sz w:val="24"/>
                <w:szCs w:val="24"/>
              </w:rPr>
              <w:t>Apă caldă</w:t>
            </w:r>
          </w:p>
        </w:tc>
        <w:tc>
          <w:tcPr>
            <w:tcW w:w="300" w:type="pct"/>
            <w:vAlign w:val="center"/>
          </w:tcPr>
          <w:p w14:paraId="2452017C">
            <w:pPr>
              <w:jc w:val="center"/>
              <w:rPr>
                <w:rStyle w:val="36"/>
                <w:rFonts w:ascii="Times New Roman" w:hAnsi="Times New Roman" w:cs="Times New Roman"/>
                <w:sz w:val="24"/>
                <w:szCs w:val="24"/>
              </w:rPr>
            </w:pPr>
            <w:r>
              <w:rPr>
                <w:rStyle w:val="36"/>
                <w:rFonts w:ascii="Times New Roman" w:hAnsi="Times New Roman" w:cs="Times New Roman"/>
                <w:sz w:val="24"/>
                <w:szCs w:val="24"/>
              </w:rPr>
              <w:t xml:space="preserve">Aburi </w:t>
            </w:r>
          </w:p>
        </w:tc>
        <w:tc>
          <w:tcPr>
            <w:tcW w:w="499" w:type="pct"/>
            <w:shd w:val="clear" w:color="auto" w:fill="auto"/>
            <w:vAlign w:val="center"/>
          </w:tcPr>
          <w:p w14:paraId="790FBACD">
            <w:pPr>
              <w:jc w:val="center"/>
              <w:rPr>
                <w:rFonts w:ascii="Times New Roman" w:hAnsi="Times New Roman" w:cs="Times New Roman"/>
                <w:sz w:val="24"/>
                <w:szCs w:val="24"/>
              </w:rPr>
            </w:pPr>
            <w:r>
              <w:rPr>
                <w:rStyle w:val="36"/>
                <w:rFonts w:ascii="Times New Roman" w:hAnsi="Times New Roman" w:cs="Times New Roman"/>
                <w:sz w:val="24"/>
                <w:szCs w:val="24"/>
              </w:rPr>
              <w:t>Utilizarea directă a gazelor  evacuare</w:t>
            </w:r>
          </w:p>
        </w:tc>
        <w:tc>
          <w:tcPr>
            <w:tcW w:w="284" w:type="pct"/>
            <w:shd w:val="clear" w:color="auto" w:fill="auto"/>
            <w:vAlign w:val="center"/>
          </w:tcPr>
          <w:p w14:paraId="6B7E329F">
            <w:pPr>
              <w:jc w:val="center"/>
              <w:rPr>
                <w:rFonts w:ascii="Times New Roman" w:hAnsi="Times New Roman" w:cs="Times New Roman"/>
                <w:sz w:val="24"/>
                <w:szCs w:val="24"/>
              </w:rPr>
            </w:pPr>
            <w:r>
              <w:rPr>
                <w:rStyle w:val="36"/>
                <w:rFonts w:ascii="Times New Roman" w:hAnsi="Times New Roman" w:cs="Times New Roman"/>
                <w:sz w:val="24"/>
                <w:szCs w:val="24"/>
              </w:rPr>
              <w:t>Apă caldă</w:t>
            </w:r>
          </w:p>
        </w:tc>
        <w:tc>
          <w:tcPr>
            <w:tcW w:w="316" w:type="pct"/>
            <w:shd w:val="clear" w:color="auto" w:fill="auto"/>
            <w:vAlign w:val="center"/>
          </w:tcPr>
          <w:p w14:paraId="6368EA2E">
            <w:pPr>
              <w:jc w:val="center"/>
              <w:rPr>
                <w:rFonts w:ascii="Times New Roman" w:hAnsi="Times New Roman" w:cs="Times New Roman"/>
                <w:sz w:val="24"/>
                <w:szCs w:val="24"/>
              </w:rPr>
            </w:pPr>
            <w:r>
              <w:rPr>
                <w:rStyle w:val="36"/>
                <w:rFonts w:ascii="Times New Roman" w:hAnsi="Times New Roman" w:cs="Times New Roman"/>
                <w:sz w:val="24"/>
                <w:szCs w:val="24"/>
              </w:rPr>
              <w:t>Aburi</w:t>
            </w:r>
          </w:p>
        </w:tc>
        <w:tc>
          <w:tcPr>
            <w:tcW w:w="493" w:type="pct"/>
            <w:vAlign w:val="center"/>
          </w:tcPr>
          <w:p w14:paraId="4AECE09E">
            <w:pPr>
              <w:jc w:val="center"/>
              <w:rPr>
                <w:rStyle w:val="36"/>
                <w:rFonts w:ascii="Times New Roman" w:hAnsi="Times New Roman" w:cs="Times New Roman"/>
                <w:sz w:val="24"/>
                <w:szCs w:val="24"/>
              </w:rPr>
            </w:pPr>
            <w:r>
              <w:rPr>
                <w:rStyle w:val="36"/>
                <w:rFonts w:ascii="Times New Roman" w:hAnsi="Times New Roman" w:cs="Times New Roman"/>
                <w:sz w:val="24"/>
                <w:szCs w:val="24"/>
              </w:rPr>
              <w:t>Utilizarea directă a gazelor  evacuare</w:t>
            </w:r>
          </w:p>
        </w:tc>
        <w:tc>
          <w:tcPr>
            <w:tcW w:w="320" w:type="pct"/>
            <w:shd w:val="clear" w:color="auto" w:fill="auto"/>
            <w:vAlign w:val="center"/>
          </w:tcPr>
          <w:p w14:paraId="7C71FB8A">
            <w:pPr>
              <w:jc w:val="center"/>
              <w:rPr>
                <w:rFonts w:ascii="Times New Roman" w:hAnsi="Times New Roman" w:cs="Times New Roman"/>
                <w:sz w:val="24"/>
                <w:szCs w:val="24"/>
              </w:rPr>
            </w:pPr>
            <w:r>
              <w:rPr>
                <w:rStyle w:val="36"/>
                <w:rFonts w:ascii="Times New Roman" w:hAnsi="Times New Roman" w:cs="Times New Roman"/>
                <w:sz w:val="24"/>
                <w:szCs w:val="24"/>
              </w:rPr>
              <w:t>Apă caldă</w:t>
            </w:r>
          </w:p>
        </w:tc>
        <w:tc>
          <w:tcPr>
            <w:tcW w:w="274" w:type="pct"/>
            <w:shd w:val="clear" w:color="auto" w:fill="auto"/>
            <w:vAlign w:val="center"/>
          </w:tcPr>
          <w:p w14:paraId="3BCBDDC9">
            <w:pPr>
              <w:jc w:val="center"/>
              <w:rPr>
                <w:rFonts w:ascii="Times New Roman" w:hAnsi="Times New Roman" w:cs="Times New Roman"/>
                <w:sz w:val="24"/>
                <w:szCs w:val="24"/>
              </w:rPr>
            </w:pPr>
            <w:r>
              <w:rPr>
                <w:rStyle w:val="36"/>
                <w:rFonts w:ascii="Times New Roman" w:hAnsi="Times New Roman" w:cs="Times New Roman"/>
                <w:sz w:val="24"/>
                <w:szCs w:val="24"/>
              </w:rPr>
              <w:t>Aburi</w:t>
            </w:r>
          </w:p>
        </w:tc>
        <w:tc>
          <w:tcPr>
            <w:tcW w:w="467" w:type="pct"/>
            <w:shd w:val="clear" w:color="auto" w:fill="auto"/>
            <w:vAlign w:val="center"/>
          </w:tcPr>
          <w:p w14:paraId="17083D37">
            <w:pPr>
              <w:jc w:val="center"/>
              <w:rPr>
                <w:rFonts w:ascii="Times New Roman" w:hAnsi="Times New Roman" w:cs="Times New Roman"/>
                <w:sz w:val="24"/>
                <w:szCs w:val="24"/>
              </w:rPr>
            </w:pPr>
            <w:r>
              <w:rPr>
                <w:rStyle w:val="36"/>
                <w:rFonts w:ascii="Times New Roman" w:hAnsi="Times New Roman" w:cs="Times New Roman"/>
                <w:sz w:val="24"/>
                <w:szCs w:val="24"/>
              </w:rPr>
              <w:t>Utilizarea directă a gazelor  evacuare</w:t>
            </w:r>
          </w:p>
        </w:tc>
      </w:tr>
      <w:tr w14:paraId="7FD0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6" w:hRule="atLeast"/>
        </w:trPr>
        <w:tc>
          <w:tcPr>
            <w:tcW w:w="273" w:type="pct"/>
            <w:vMerge w:val="restart"/>
            <w:tcMar>
              <w:left w:w="28" w:type="dxa"/>
              <w:right w:w="28" w:type="dxa"/>
            </w:tcMar>
            <w:textDirection w:val="btLr"/>
            <w:vAlign w:val="center"/>
          </w:tcPr>
          <w:p w14:paraId="3E060963">
            <w:pPr>
              <w:pStyle w:val="35"/>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Solid</w:t>
            </w:r>
          </w:p>
        </w:tc>
        <w:tc>
          <w:tcPr>
            <w:tcW w:w="288" w:type="pct"/>
            <w:tcMar>
              <w:left w:w="28" w:type="dxa"/>
              <w:right w:w="28" w:type="dxa"/>
            </w:tcMar>
            <w:vAlign w:val="center"/>
          </w:tcPr>
          <w:p w14:paraId="08A2F854">
            <w:pPr>
              <w:pStyle w:val="37"/>
              <w:shd w:val="clear" w:color="auto" w:fill="auto"/>
              <w:spacing w:after="0" w:line="240" w:lineRule="auto"/>
              <w:ind w:left="-24" w:firstLine="0"/>
              <w:jc w:val="center"/>
              <w:rPr>
                <w:rStyle w:val="38"/>
                <w:rFonts w:ascii="Times New Roman" w:hAnsi="Times New Roman" w:cs="Times New Roman"/>
                <w:sz w:val="24"/>
                <w:szCs w:val="24"/>
                <w:lang w:val="en-US" w:eastAsia="en-US"/>
              </w:rPr>
            </w:pPr>
            <w:r>
              <w:rPr>
                <w:rStyle w:val="38"/>
                <w:rFonts w:ascii="Times New Roman" w:hAnsi="Times New Roman" w:cs="Times New Roman"/>
                <w:sz w:val="24"/>
                <w:szCs w:val="24"/>
              </w:rPr>
              <w:t>S1</w:t>
            </w:r>
          </w:p>
        </w:tc>
        <w:tc>
          <w:tcPr>
            <w:tcW w:w="1185" w:type="pct"/>
            <w:vAlign w:val="center"/>
          </w:tcPr>
          <w:p w14:paraId="6F1D6E6D">
            <w:pPr>
              <w:rPr>
                <w:rFonts w:ascii="Times New Roman" w:hAnsi="Times New Roman" w:cs="Times New Roman"/>
                <w:sz w:val="24"/>
                <w:szCs w:val="24"/>
              </w:rPr>
            </w:pPr>
            <w:r>
              <w:rPr>
                <w:rFonts w:ascii="Times New Roman" w:hAnsi="Times New Roman" w:cs="Times New Roman"/>
                <w:sz w:val="24"/>
                <w:szCs w:val="24"/>
              </w:rPr>
              <w:t>Cărbune superior, inclusiv antracit, cărbune bituminos, cărbune sub-bituminos</w:t>
            </w:r>
          </w:p>
        </w:tc>
        <w:tc>
          <w:tcPr>
            <w:tcW w:w="300" w:type="pct"/>
            <w:vAlign w:val="center"/>
          </w:tcPr>
          <w:p w14:paraId="5722497A">
            <w:pPr>
              <w:jc w:val="center"/>
              <w:rPr>
                <w:rFonts w:ascii="Times New Roman" w:hAnsi="Times New Roman" w:cs="Times New Roman"/>
                <w:sz w:val="24"/>
                <w:szCs w:val="24"/>
              </w:rPr>
            </w:pPr>
            <w:r>
              <w:rPr>
                <w:rFonts w:ascii="Times New Roman" w:hAnsi="Times New Roman" w:cs="Times New Roman"/>
                <w:sz w:val="24"/>
                <w:szCs w:val="24"/>
              </w:rPr>
              <w:t>88</w:t>
            </w:r>
          </w:p>
        </w:tc>
        <w:tc>
          <w:tcPr>
            <w:tcW w:w="300" w:type="pct"/>
            <w:vAlign w:val="center"/>
          </w:tcPr>
          <w:p w14:paraId="5969AD27">
            <w:pPr>
              <w:jc w:val="center"/>
              <w:rPr>
                <w:rFonts w:ascii="Times New Roman" w:hAnsi="Times New Roman" w:cs="Times New Roman"/>
                <w:sz w:val="24"/>
                <w:szCs w:val="24"/>
              </w:rPr>
            </w:pPr>
            <w:r>
              <w:rPr>
                <w:rFonts w:ascii="Times New Roman" w:hAnsi="Times New Roman" w:cs="Times New Roman"/>
                <w:sz w:val="24"/>
                <w:szCs w:val="24"/>
              </w:rPr>
              <w:t>83</w:t>
            </w:r>
          </w:p>
        </w:tc>
        <w:tc>
          <w:tcPr>
            <w:tcW w:w="499" w:type="pct"/>
            <w:vAlign w:val="center"/>
          </w:tcPr>
          <w:p w14:paraId="46249738">
            <w:pPr>
              <w:jc w:val="center"/>
              <w:rPr>
                <w:rFonts w:ascii="Times New Roman" w:hAnsi="Times New Roman" w:cs="Times New Roman"/>
                <w:sz w:val="24"/>
                <w:szCs w:val="24"/>
              </w:rPr>
            </w:pPr>
            <w:r>
              <w:rPr>
                <w:rFonts w:ascii="Times New Roman" w:hAnsi="Times New Roman" w:cs="Times New Roman"/>
                <w:sz w:val="24"/>
                <w:szCs w:val="24"/>
              </w:rPr>
              <w:t>80</w:t>
            </w:r>
          </w:p>
        </w:tc>
        <w:tc>
          <w:tcPr>
            <w:tcW w:w="284" w:type="pct"/>
            <w:vAlign w:val="center"/>
          </w:tcPr>
          <w:p w14:paraId="04CA2852">
            <w:pPr>
              <w:jc w:val="center"/>
              <w:rPr>
                <w:rFonts w:ascii="Times New Roman" w:hAnsi="Times New Roman" w:cs="Times New Roman"/>
                <w:sz w:val="24"/>
                <w:szCs w:val="24"/>
              </w:rPr>
            </w:pPr>
            <w:r>
              <w:rPr>
                <w:rFonts w:ascii="Times New Roman" w:hAnsi="Times New Roman" w:cs="Times New Roman"/>
                <w:sz w:val="24"/>
                <w:szCs w:val="24"/>
              </w:rPr>
              <w:t>88</w:t>
            </w:r>
          </w:p>
        </w:tc>
        <w:tc>
          <w:tcPr>
            <w:tcW w:w="316" w:type="pct"/>
            <w:vAlign w:val="center"/>
          </w:tcPr>
          <w:p w14:paraId="5A79979F">
            <w:pPr>
              <w:jc w:val="center"/>
              <w:rPr>
                <w:rFonts w:ascii="Times New Roman" w:hAnsi="Times New Roman" w:cs="Times New Roman"/>
                <w:sz w:val="24"/>
                <w:szCs w:val="24"/>
              </w:rPr>
            </w:pPr>
            <w:r>
              <w:rPr>
                <w:rFonts w:ascii="Times New Roman" w:hAnsi="Times New Roman" w:cs="Times New Roman"/>
                <w:sz w:val="24"/>
                <w:szCs w:val="24"/>
              </w:rPr>
              <w:t>83</w:t>
            </w:r>
          </w:p>
        </w:tc>
        <w:tc>
          <w:tcPr>
            <w:tcW w:w="493" w:type="pct"/>
            <w:vAlign w:val="center"/>
          </w:tcPr>
          <w:p w14:paraId="05BA93B2">
            <w:pPr>
              <w:jc w:val="center"/>
              <w:rPr>
                <w:rFonts w:ascii="Times New Roman" w:hAnsi="Times New Roman" w:cs="Times New Roman"/>
                <w:sz w:val="24"/>
                <w:szCs w:val="24"/>
              </w:rPr>
            </w:pPr>
            <w:r>
              <w:rPr>
                <w:rFonts w:ascii="Times New Roman" w:hAnsi="Times New Roman" w:cs="Times New Roman"/>
                <w:sz w:val="24"/>
                <w:szCs w:val="24"/>
              </w:rPr>
              <w:t>80</w:t>
            </w:r>
          </w:p>
        </w:tc>
        <w:tc>
          <w:tcPr>
            <w:tcW w:w="320" w:type="pct"/>
            <w:shd w:val="clear" w:color="auto" w:fill="auto"/>
            <w:vAlign w:val="center"/>
          </w:tcPr>
          <w:p w14:paraId="61C0BA7A">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39BEB79B">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6496949E">
            <w:pPr>
              <w:jc w:val="center"/>
              <w:rPr>
                <w:rFonts w:ascii="Times New Roman" w:hAnsi="Times New Roman" w:cs="Times New Roman"/>
                <w:sz w:val="24"/>
                <w:szCs w:val="24"/>
              </w:rPr>
            </w:pPr>
            <w:r>
              <w:rPr>
                <w:rFonts w:ascii="Times New Roman" w:hAnsi="Times New Roman" w:cs="Times New Roman"/>
                <w:sz w:val="24"/>
                <w:szCs w:val="24"/>
              </w:rPr>
              <w:t>84</w:t>
            </w:r>
          </w:p>
        </w:tc>
      </w:tr>
      <w:tr w14:paraId="2AEC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22" w:hRule="atLeast"/>
        </w:trPr>
        <w:tc>
          <w:tcPr>
            <w:tcW w:w="273" w:type="pct"/>
            <w:vMerge w:val="continue"/>
            <w:tcMar>
              <w:left w:w="28" w:type="dxa"/>
              <w:right w:w="28" w:type="dxa"/>
            </w:tcMar>
            <w:textDirection w:val="btLr"/>
            <w:vAlign w:val="center"/>
          </w:tcPr>
          <w:p w14:paraId="752831BA">
            <w:pPr>
              <w:pStyle w:val="37"/>
              <w:spacing w:after="0" w:line="240" w:lineRule="auto"/>
              <w:ind w:right="113"/>
              <w:jc w:val="center"/>
              <w:rPr>
                <w:rFonts w:ascii="Times New Roman" w:hAnsi="Times New Roman" w:cs="Times New Roman"/>
                <w:sz w:val="24"/>
                <w:szCs w:val="24"/>
              </w:rPr>
            </w:pPr>
          </w:p>
        </w:tc>
        <w:tc>
          <w:tcPr>
            <w:tcW w:w="288" w:type="pct"/>
            <w:tcMar>
              <w:left w:w="28" w:type="dxa"/>
              <w:right w:w="28" w:type="dxa"/>
            </w:tcMar>
            <w:vAlign w:val="center"/>
          </w:tcPr>
          <w:p w14:paraId="2208964C">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S2</w:t>
            </w:r>
          </w:p>
        </w:tc>
        <w:tc>
          <w:tcPr>
            <w:tcW w:w="1185" w:type="pct"/>
            <w:vAlign w:val="center"/>
          </w:tcPr>
          <w:p w14:paraId="3E7AA07A">
            <w:pPr>
              <w:rPr>
                <w:rFonts w:ascii="Times New Roman" w:hAnsi="Times New Roman" w:cs="Times New Roman"/>
                <w:sz w:val="24"/>
                <w:szCs w:val="24"/>
              </w:rPr>
            </w:pPr>
            <w:r>
              <w:rPr>
                <w:rFonts w:ascii="Times New Roman" w:hAnsi="Times New Roman" w:cs="Times New Roman"/>
                <w:sz w:val="24"/>
                <w:szCs w:val="24"/>
              </w:rPr>
              <w:t>Biomasă uscată, inclusiv   lemn și alte tipuri de biomasă solidă, brichete și pelete de lemn, așchii de lemn uscate, deșeuri de lemn curate și uscate, coji de nuci</w:t>
            </w:r>
          </w:p>
        </w:tc>
        <w:tc>
          <w:tcPr>
            <w:tcW w:w="300" w:type="pct"/>
            <w:vAlign w:val="center"/>
          </w:tcPr>
          <w:p w14:paraId="016B2B03">
            <w:pPr>
              <w:jc w:val="center"/>
              <w:rPr>
                <w:rFonts w:ascii="Times New Roman" w:hAnsi="Times New Roman" w:cs="Times New Roman"/>
                <w:sz w:val="24"/>
                <w:szCs w:val="24"/>
              </w:rPr>
            </w:pPr>
            <w:r>
              <w:rPr>
                <w:rFonts w:ascii="Times New Roman" w:hAnsi="Times New Roman" w:cs="Times New Roman"/>
                <w:sz w:val="24"/>
                <w:szCs w:val="24"/>
              </w:rPr>
              <w:t>86</w:t>
            </w:r>
          </w:p>
        </w:tc>
        <w:tc>
          <w:tcPr>
            <w:tcW w:w="300" w:type="pct"/>
            <w:vAlign w:val="center"/>
          </w:tcPr>
          <w:p w14:paraId="075DB888">
            <w:pPr>
              <w:jc w:val="center"/>
              <w:rPr>
                <w:rFonts w:ascii="Times New Roman" w:hAnsi="Times New Roman" w:cs="Times New Roman"/>
                <w:sz w:val="24"/>
                <w:szCs w:val="24"/>
              </w:rPr>
            </w:pPr>
            <w:r>
              <w:rPr>
                <w:rFonts w:ascii="Times New Roman" w:hAnsi="Times New Roman" w:cs="Times New Roman"/>
                <w:sz w:val="24"/>
                <w:szCs w:val="24"/>
              </w:rPr>
              <w:t>81</w:t>
            </w:r>
          </w:p>
        </w:tc>
        <w:tc>
          <w:tcPr>
            <w:tcW w:w="499" w:type="pct"/>
            <w:vAlign w:val="center"/>
          </w:tcPr>
          <w:p w14:paraId="317CF3DA">
            <w:pPr>
              <w:jc w:val="center"/>
              <w:rPr>
                <w:rFonts w:ascii="Times New Roman" w:hAnsi="Times New Roman" w:cs="Times New Roman"/>
                <w:sz w:val="24"/>
                <w:szCs w:val="24"/>
              </w:rPr>
            </w:pPr>
            <w:r>
              <w:rPr>
                <w:rFonts w:ascii="Times New Roman" w:hAnsi="Times New Roman" w:cs="Times New Roman"/>
                <w:sz w:val="24"/>
                <w:szCs w:val="24"/>
              </w:rPr>
              <w:t>78</w:t>
            </w:r>
          </w:p>
        </w:tc>
        <w:tc>
          <w:tcPr>
            <w:tcW w:w="284" w:type="pct"/>
            <w:vAlign w:val="center"/>
          </w:tcPr>
          <w:p w14:paraId="21A3CB40">
            <w:pPr>
              <w:jc w:val="center"/>
              <w:rPr>
                <w:rFonts w:ascii="Times New Roman" w:hAnsi="Times New Roman" w:cs="Times New Roman"/>
                <w:sz w:val="24"/>
                <w:szCs w:val="24"/>
              </w:rPr>
            </w:pPr>
            <w:r>
              <w:rPr>
                <w:rFonts w:ascii="Times New Roman" w:hAnsi="Times New Roman" w:cs="Times New Roman"/>
                <w:sz w:val="24"/>
                <w:szCs w:val="24"/>
              </w:rPr>
              <w:t>86</w:t>
            </w:r>
          </w:p>
        </w:tc>
        <w:tc>
          <w:tcPr>
            <w:tcW w:w="316" w:type="pct"/>
            <w:vAlign w:val="center"/>
          </w:tcPr>
          <w:p w14:paraId="23B9184D">
            <w:pPr>
              <w:jc w:val="center"/>
              <w:rPr>
                <w:rFonts w:ascii="Times New Roman" w:hAnsi="Times New Roman" w:cs="Times New Roman"/>
                <w:sz w:val="24"/>
                <w:szCs w:val="24"/>
              </w:rPr>
            </w:pPr>
            <w:r>
              <w:rPr>
                <w:rFonts w:ascii="Times New Roman" w:hAnsi="Times New Roman" w:cs="Times New Roman"/>
                <w:sz w:val="24"/>
                <w:szCs w:val="24"/>
              </w:rPr>
              <w:t>81</w:t>
            </w:r>
          </w:p>
        </w:tc>
        <w:tc>
          <w:tcPr>
            <w:tcW w:w="493" w:type="pct"/>
            <w:vAlign w:val="center"/>
          </w:tcPr>
          <w:p w14:paraId="0EE60D17">
            <w:pPr>
              <w:jc w:val="center"/>
              <w:rPr>
                <w:rFonts w:ascii="Times New Roman" w:hAnsi="Times New Roman" w:cs="Times New Roman"/>
                <w:sz w:val="24"/>
                <w:szCs w:val="24"/>
              </w:rPr>
            </w:pPr>
            <w:r>
              <w:rPr>
                <w:rFonts w:ascii="Times New Roman" w:hAnsi="Times New Roman" w:cs="Times New Roman"/>
                <w:sz w:val="24"/>
                <w:szCs w:val="24"/>
              </w:rPr>
              <w:t>78</w:t>
            </w:r>
          </w:p>
        </w:tc>
        <w:tc>
          <w:tcPr>
            <w:tcW w:w="320" w:type="pct"/>
            <w:shd w:val="clear" w:color="auto" w:fill="auto"/>
            <w:vAlign w:val="center"/>
          </w:tcPr>
          <w:p w14:paraId="2A90F5A6">
            <w:pPr>
              <w:jc w:val="center"/>
              <w:rPr>
                <w:rFonts w:ascii="Times New Roman" w:hAnsi="Times New Roman" w:cs="Times New Roman"/>
                <w:sz w:val="24"/>
                <w:szCs w:val="24"/>
              </w:rPr>
            </w:pPr>
            <w:r>
              <w:rPr>
                <w:rFonts w:ascii="Times New Roman" w:hAnsi="Times New Roman" w:cs="Times New Roman"/>
                <w:sz w:val="24"/>
                <w:szCs w:val="24"/>
              </w:rPr>
              <w:t>86</w:t>
            </w:r>
          </w:p>
        </w:tc>
        <w:tc>
          <w:tcPr>
            <w:tcW w:w="274" w:type="pct"/>
            <w:shd w:val="clear" w:color="auto" w:fill="auto"/>
            <w:vAlign w:val="center"/>
          </w:tcPr>
          <w:p w14:paraId="162CABAD">
            <w:pPr>
              <w:jc w:val="center"/>
              <w:rPr>
                <w:rFonts w:ascii="Times New Roman" w:hAnsi="Times New Roman" w:cs="Times New Roman"/>
                <w:sz w:val="24"/>
                <w:szCs w:val="24"/>
              </w:rPr>
            </w:pPr>
            <w:r>
              <w:rPr>
                <w:rFonts w:ascii="Times New Roman" w:hAnsi="Times New Roman" w:cs="Times New Roman"/>
                <w:sz w:val="24"/>
                <w:szCs w:val="24"/>
              </w:rPr>
              <w:t>81</w:t>
            </w:r>
          </w:p>
        </w:tc>
        <w:tc>
          <w:tcPr>
            <w:tcW w:w="467" w:type="pct"/>
            <w:shd w:val="clear" w:color="auto" w:fill="auto"/>
            <w:vAlign w:val="center"/>
          </w:tcPr>
          <w:p w14:paraId="4AC2B6D2">
            <w:pPr>
              <w:jc w:val="center"/>
              <w:rPr>
                <w:rFonts w:ascii="Times New Roman" w:hAnsi="Times New Roman" w:cs="Times New Roman"/>
                <w:sz w:val="24"/>
                <w:szCs w:val="24"/>
              </w:rPr>
            </w:pPr>
            <w:r>
              <w:rPr>
                <w:rFonts w:ascii="Times New Roman" w:hAnsi="Times New Roman" w:cs="Times New Roman"/>
                <w:sz w:val="24"/>
                <w:szCs w:val="24"/>
              </w:rPr>
              <w:t>78</w:t>
            </w:r>
          </w:p>
        </w:tc>
      </w:tr>
      <w:tr w14:paraId="6BA0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7" w:hRule="atLeast"/>
        </w:trPr>
        <w:tc>
          <w:tcPr>
            <w:tcW w:w="273" w:type="pct"/>
            <w:vMerge w:val="continue"/>
            <w:tcMar>
              <w:left w:w="28" w:type="dxa"/>
              <w:right w:w="28" w:type="dxa"/>
            </w:tcMar>
            <w:textDirection w:val="btLr"/>
            <w:vAlign w:val="center"/>
          </w:tcPr>
          <w:p w14:paraId="49B2197D">
            <w:pPr>
              <w:pStyle w:val="37"/>
              <w:shd w:val="clear" w:color="auto" w:fill="auto"/>
              <w:spacing w:after="0" w:line="240" w:lineRule="auto"/>
              <w:ind w:left="113" w:right="113" w:firstLine="0"/>
              <w:jc w:val="center"/>
              <w:rPr>
                <w:rFonts w:ascii="Times New Roman" w:hAnsi="Times New Roman" w:cs="Times New Roman"/>
                <w:sz w:val="24"/>
                <w:szCs w:val="24"/>
              </w:rPr>
            </w:pPr>
          </w:p>
        </w:tc>
        <w:tc>
          <w:tcPr>
            <w:tcW w:w="288" w:type="pct"/>
            <w:tcMar>
              <w:left w:w="28" w:type="dxa"/>
              <w:right w:w="28" w:type="dxa"/>
            </w:tcMar>
            <w:vAlign w:val="center"/>
          </w:tcPr>
          <w:p w14:paraId="5088B124">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S3</w:t>
            </w:r>
          </w:p>
        </w:tc>
        <w:tc>
          <w:tcPr>
            <w:tcW w:w="1185" w:type="pct"/>
            <w:vAlign w:val="center"/>
          </w:tcPr>
          <w:p w14:paraId="27009F07">
            <w:pPr>
              <w:rPr>
                <w:rFonts w:ascii="Times New Roman" w:hAnsi="Times New Roman" w:cs="Times New Roman"/>
                <w:sz w:val="24"/>
                <w:szCs w:val="24"/>
              </w:rPr>
            </w:pPr>
            <w:r>
              <w:rPr>
                <w:rFonts w:ascii="Times New Roman" w:hAnsi="Times New Roman" w:cs="Times New Roman"/>
                <w:sz w:val="24"/>
                <w:szCs w:val="24"/>
              </w:rPr>
              <w:t>Alte tipuri de biomasă solidă, inclusiv toate tipurile de lemn care nu sunt incluse în categoriei S2</w:t>
            </w:r>
          </w:p>
        </w:tc>
        <w:tc>
          <w:tcPr>
            <w:tcW w:w="300" w:type="pct"/>
            <w:vAlign w:val="center"/>
          </w:tcPr>
          <w:p w14:paraId="5DE18710">
            <w:pPr>
              <w:jc w:val="center"/>
              <w:rPr>
                <w:rFonts w:ascii="Times New Roman" w:hAnsi="Times New Roman" w:cs="Times New Roman"/>
                <w:sz w:val="24"/>
                <w:szCs w:val="24"/>
              </w:rPr>
            </w:pPr>
            <w:r>
              <w:rPr>
                <w:rFonts w:ascii="Times New Roman" w:hAnsi="Times New Roman" w:cs="Times New Roman"/>
                <w:sz w:val="24"/>
                <w:szCs w:val="24"/>
              </w:rPr>
              <w:t>80</w:t>
            </w:r>
          </w:p>
        </w:tc>
        <w:tc>
          <w:tcPr>
            <w:tcW w:w="300" w:type="pct"/>
            <w:vAlign w:val="center"/>
          </w:tcPr>
          <w:p w14:paraId="30076182">
            <w:pPr>
              <w:jc w:val="center"/>
              <w:rPr>
                <w:rFonts w:ascii="Times New Roman" w:hAnsi="Times New Roman" w:cs="Times New Roman"/>
                <w:sz w:val="24"/>
                <w:szCs w:val="24"/>
              </w:rPr>
            </w:pPr>
            <w:r>
              <w:rPr>
                <w:rFonts w:ascii="Times New Roman" w:hAnsi="Times New Roman" w:cs="Times New Roman"/>
                <w:sz w:val="24"/>
                <w:szCs w:val="24"/>
              </w:rPr>
              <w:t>75</w:t>
            </w:r>
          </w:p>
        </w:tc>
        <w:tc>
          <w:tcPr>
            <w:tcW w:w="499" w:type="pct"/>
            <w:vAlign w:val="center"/>
          </w:tcPr>
          <w:p w14:paraId="263472E6">
            <w:pPr>
              <w:jc w:val="center"/>
              <w:rPr>
                <w:rFonts w:ascii="Times New Roman" w:hAnsi="Times New Roman" w:cs="Times New Roman"/>
                <w:sz w:val="24"/>
                <w:szCs w:val="24"/>
              </w:rPr>
            </w:pPr>
            <w:r>
              <w:rPr>
                <w:rFonts w:ascii="Times New Roman" w:hAnsi="Times New Roman" w:cs="Times New Roman"/>
                <w:sz w:val="24"/>
                <w:szCs w:val="24"/>
              </w:rPr>
              <w:t>72</w:t>
            </w:r>
          </w:p>
        </w:tc>
        <w:tc>
          <w:tcPr>
            <w:tcW w:w="284" w:type="pct"/>
            <w:vAlign w:val="center"/>
          </w:tcPr>
          <w:p w14:paraId="45289DA6">
            <w:pPr>
              <w:jc w:val="center"/>
              <w:rPr>
                <w:rFonts w:ascii="Times New Roman" w:hAnsi="Times New Roman" w:cs="Times New Roman"/>
                <w:sz w:val="24"/>
                <w:szCs w:val="24"/>
              </w:rPr>
            </w:pPr>
            <w:r>
              <w:rPr>
                <w:rFonts w:ascii="Times New Roman" w:hAnsi="Times New Roman" w:cs="Times New Roman"/>
                <w:sz w:val="24"/>
                <w:szCs w:val="24"/>
              </w:rPr>
              <w:t>80</w:t>
            </w:r>
          </w:p>
        </w:tc>
        <w:tc>
          <w:tcPr>
            <w:tcW w:w="316" w:type="pct"/>
            <w:vAlign w:val="center"/>
          </w:tcPr>
          <w:p w14:paraId="4234B6B5">
            <w:pPr>
              <w:jc w:val="center"/>
              <w:rPr>
                <w:rFonts w:ascii="Times New Roman" w:hAnsi="Times New Roman" w:cs="Times New Roman"/>
                <w:sz w:val="24"/>
                <w:szCs w:val="24"/>
              </w:rPr>
            </w:pPr>
            <w:r>
              <w:rPr>
                <w:rFonts w:ascii="Times New Roman" w:hAnsi="Times New Roman" w:cs="Times New Roman"/>
                <w:sz w:val="24"/>
                <w:szCs w:val="24"/>
              </w:rPr>
              <w:t>75</w:t>
            </w:r>
          </w:p>
        </w:tc>
        <w:tc>
          <w:tcPr>
            <w:tcW w:w="493" w:type="pct"/>
            <w:vAlign w:val="center"/>
          </w:tcPr>
          <w:p w14:paraId="7B520994">
            <w:pPr>
              <w:jc w:val="center"/>
              <w:rPr>
                <w:rFonts w:ascii="Times New Roman" w:hAnsi="Times New Roman" w:cs="Times New Roman"/>
                <w:sz w:val="24"/>
                <w:szCs w:val="24"/>
              </w:rPr>
            </w:pPr>
            <w:r>
              <w:rPr>
                <w:rFonts w:ascii="Times New Roman" w:hAnsi="Times New Roman" w:cs="Times New Roman"/>
                <w:sz w:val="24"/>
                <w:szCs w:val="24"/>
              </w:rPr>
              <w:t>72</w:t>
            </w:r>
          </w:p>
        </w:tc>
        <w:tc>
          <w:tcPr>
            <w:tcW w:w="320" w:type="pct"/>
            <w:shd w:val="clear" w:color="auto" w:fill="auto"/>
            <w:vAlign w:val="center"/>
          </w:tcPr>
          <w:p w14:paraId="15466C14">
            <w:pPr>
              <w:jc w:val="center"/>
              <w:rPr>
                <w:rFonts w:ascii="Times New Roman" w:hAnsi="Times New Roman" w:cs="Times New Roman"/>
                <w:sz w:val="24"/>
                <w:szCs w:val="24"/>
              </w:rPr>
            </w:pPr>
            <w:r>
              <w:rPr>
                <w:rFonts w:ascii="Times New Roman" w:hAnsi="Times New Roman" w:cs="Times New Roman"/>
                <w:sz w:val="24"/>
                <w:szCs w:val="24"/>
              </w:rPr>
              <w:t>80</w:t>
            </w:r>
          </w:p>
        </w:tc>
        <w:tc>
          <w:tcPr>
            <w:tcW w:w="274" w:type="pct"/>
            <w:shd w:val="clear" w:color="auto" w:fill="auto"/>
            <w:vAlign w:val="center"/>
          </w:tcPr>
          <w:p w14:paraId="49ACF1BD">
            <w:pPr>
              <w:jc w:val="center"/>
              <w:rPr>
                <w:rFonts w:ascii="Times New Roman" w:hAnsi="Times New Roman" w:cs="Times New Roman"/>
                <w:sz w:val="24"/>
                <w:szCs w:val="24"/>
              </w:rPr>
            </w:pPr>
            <w:r>
              <w:rPr>
                <w:rFonts w:ascii="Times New Roman" w:hAnsi="Times New Roman" w:cs="Times New Roman"/>
                <w:sz w:val="24"/>
                <w:szCs w:val="24"/>
              </w:rPr>
              <w:t>75</w:t>
            </w:r>
          </w:p>
        </w:tc>
        <w:tc>
          <w:tcPr>
            <w:tcW w:w="467" w:type="pct"/>
            <w:shd w:val="clear" w:color="auto" w:fill="auto"/>
            <w:vAlign w:val="center"/>
          </w:tcPr>
          <w:p w14:paraId="0AC2BB87">
            <w:pPr>
              <w:jc w:val="center"/>
              <w:rPr>
                <w:rFonts w:ascii="Times New Roman" w:hAnsi="Times New Roman" w:cs="Times New Roman"/>
                <w:sz w:val="24"/>
                <w:szCs w:val="24"/>
              </w:rPr>
            </w:pPr>
            <w:r>
              <w:rPr>
                <w:rFonts w:ascii="Times New Roman" w:hAnsi="Times New Roman" w:cs="Times New Roman"/>
                <w:sz w:val="24"/>
                <w:szCs w:val="24"/>
              </w:rPr>
              <w:t>72</w:t>
            </w:r>
          </w:p>
        </w:tc>
      </w:tr>
      <w:tr w14:paraId="356D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2" w:hRule="atLeast"/>
        </w:trPr>
        <w:tc>
          <w:tcPr>
            <w:tcW w:w="273" w:type="pct"/>
            <w:vMerge w:val="continue"/>
            <w:tcMar>
              <w:left w:w="28" w:type="dxa"/>
              <w:right w:w="28" w:type="dxa"/>
            </w:tcMar>
            <w:textDirection w:val="btLr"/>
            <w:vAlign w:val="center"/>
          </w:tcPr>
          <w:p w14:paraId="1398DD6D">
            <w:pPr>
              <w:ind w:left="113" w:right="113"/>
              <w:jc w:val="center"/>
              <w:rPr>
                <w:rFonts w:ascii="Times New Roman" w:hAnsi="Times New Roman" w:cs="Times New Roman"/>
                <w:sz w:val="24"/>
                <w:szCs w:val="24"/>
              </w:rPr>
            </w:pPr>
          </w:p>
        </w:tc>
        <w:tc>
          <w:tcPr>
            <w:tcW w:w="288" w:type="pct"/>
            <w:tcMar>
              <w:left w:w="28" w:type="dxa"/>
              <w:right w:w="28" w:type="dxa"/>
            </w:tcMar>
            <w:vAlign w:val="center"/>
          </w:tcPr>
          <w:p w14:paraId="6A735093">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S4</w:t>
            </w:r>
          </w:p>
        </w:tc>
        <w:tc>
          <w:tcPr>
            <w:tcW w:w="1185" w:type="pct"/>
            <w:vAlign w:val="center"/>
          </w:tcPr>
          <w:p w14:paraId="64E6F729">
            <w:pPr>
              <w:rPr>
                <w:rFonts w:ascii="Times New Roman" w:hAnsi="Times New Roman" w:cs="Times New Roman"/>
                <w:sz w:val="24"/>
                <w:szCs w:val="24"/>
              </w:rPr>
            </w:pPr>
            <w:r>
              <w:rPr>
                <w:rFonts w:ascii="Times New Roman" w:hAnsi="Times New Roman" w:cs="Times New Roman"/>
                <w:sz w:val="24"/>
                <w:szCs w:val="24"/>
              </w:rPr>
              <w:t>Deșeuri municipale și industriale (neregenerabile, de origine nebiologică, cum ar fi materiale plastice, cauciucul și alte materiale sintetice) și deșeuri regenerabile/ biodegradabile</w:t>
            </w:r>
          </w:p>
        </w:tc>
        <w:tc>
          <w:tcPr>
            <w:tcW w:w="300" w:type="pct"/>
            <w:vAlign w:val="center"/>
          </w:tcPr>
          <w:p w14:paraId="0BA4BEFB">
            <w:pPr>
              <w:jc w:val="center"/>
              <w:rPr>
                <w:rFonts w:ascii="Times New Roman" w:hAnsi="Times New Roman" w:cs="Times New Roman"/>
                <w:sz w:val="24"/>
                <w:szCs w:val="24"/>
              </w:rPr>
            </w:pPr>
            <w:r>
              <w:rPr>
                <w:rFonts w:ascii="Times New Roman" w:hAnsi="Times New Roman" w:cs="Times New Roman"/>
                <w:sz w:val="24"/>
                <w:szCs w:val="24"/>
              </w:rPr>
              <w:t>80</w:t>
            </w:r>
          </w:p>
        </w:tc>
        <w:tc>
          <w:tcPr>
            <w:tcW w:w="300" w:type="pct"/>
            <w:vAlign w:val="center"/>
          </w:tcPr>
          <w:p w14:paraId="4A3F69EA">
            <w:pPr>
              <w:jc w:val="center"/>
              <w:rPr>
                <w:rFonts w:ascii="Times New Roman" w:hAnsi="Times New Roman" w:cs="Times New Roman"/>
                <w:sz w:val="24"/>
                <w:szCs w:val="24"/>
              </w:rPr>
            </w:pPr>
            <w:r>
              <w:rPr>
                <w:rFonts w:ascii="Times New Roman" w:hAnsi="Times New Roman" w:cs="Times New Roman"/>
                <w:sz w:val="24"/>
                <w:szCs w:val="24"/>
              </w:rPr>
              <w:t>75</w:t>
            </w:r>
          </w:p>
        </w:tc>
        <w:tc>
          <w:tcPr>
            <w:tcW w:w="499" w:type="pct"/>
            <w:vAlign w:val="center"/>
          </w:tcPr>
          <w:p w14:paraId="7DCF21D4">
            <w:pPr>
              <w:jc w:val="center"/>
              <w:rPr>
                <w:rFonts w:ascii="Times New Roman" w:hAnsi="Times New Roman" w:cs="Times New Roman"/>
                <w:sz w:val="24"/>
                <w:szCs w:val="24"/>
              </w:rPr>
            </w:pPr>
            <w:r>
              <w:rPr>
                <w:rFonts w:ascii="Times New Roman" w:hAnsi="Times New Roman" w:cs="Times New Roman"/>
                <w:sz w:val="24"/>
                <w:szCs w:val="24"/>
              </w:rPr>
              <w:t>72</w:t>
            </w:r>
          </w:p>
        </w:tc>
        <w:tc>
          <w:tcPr>
            <w:tcW w:w="284" w:type="pct"/>
            <w:vAlign w:val="center"/>
          </w:tcPr>
          <w:p w14:paraId="0E51AA78">
            <w:pPr>
              <w:jc w:val="center"/>
              <w:rPr>
                <w:rFonts w:ascii="Times New Roman" w:hAnsi="Times New Roman" w:cs="Times New Roman"/>
                <w:sz w:val="24"/>
                <w:szCs w:val="24"/>
              </w:rPr>
            </w:pPr>
            <w:r>
              <w:rPr>
                <w:rFonts w:ascii="Times New Roman" w:hAnsi="Times New Roman" w:cs="Times New Roman"/>
                <w:sz w:val="24"/>
                <w:szCs w:val="24"/>
              </w:rPr>
              <w:t>80</w:t>
            </w:r>
          </w:p>
        </w:tc>
        <w:tc>
          <w:tcPr>
            <w:tcW w:w="316" w:type="pct"/>
            <w:vAlign w:val="center"/>
          </w:tcPr>
          <w:p w14:paraId="6E057929">
            <w:pPr>
              <w:jc w:val="center"/>
              <w:rPr>
                <w:rFonts w:ascii="Times New Roman" w:hAnsi="Times New Roman" w:cs="Times New Roman"/>
                <w:sz w:val="24"/>
                <w:szCs w:val="24"/>
              </w:rPr>
            </w:pPr>
            <w:r>
              <w:rPr>
                <w:rFonts w:ascii="Times New Roman" w:hAnsi="Times New Roman" w:cs="Times New Roman"/>
                <w:sz w:val="24"/>
                <w:szCs w:val="24"/>
              </w:rPr>
              <w:t>75</w:t>
            </w:r>
          </w:p>
        </w:tc>
        <w:tc>
          <w:tcPr>
            <w:tcW w:w="493" w:type="pct"/>
            <w:vAlign w:val="center"/>
          </w:tcPr>
          <w:p w14:paraId="6306033E">
            <w:pPr>
              <w:jc w:val="center"/>
              <w:rPr>
                <w:rFonts w:ascii="Times New Roman" w:hAnsi="Times New Roman" w:cs="Times New Roman"/>
                <w:sz w:val="24"/>
                <w:szCs w:val="24"/>
              </w:rPr>
            </w:pPr>
            <w:r>
              <w:rPr>
                <w:rFonts w:ascii="Times New Roman" w:hAnsi="Times New Roman" w:cs="Times New Roman"/>
                <w:sz w:val="24"/>
                <w:szCs w:val="24"/>
              </w:rPr>
              <w:t>72</w:t>
            </w:r>
          </w:p>
        </w:tc>
        <w:tc>
          <w:tcPr>
            <w:tcW w:w="320" w:type="pct"/>
            <w:shd w:val="clear" w:color="auto" w:fill="auto"/>
            <w:vAlign w:val="center"/>
          </w:tcPr>
          <w:p w14:paraId="78B74A58">
            <w:pPr>
              <w:jc w:val="center"/>
              <w:rPr>
                <w:rFonts w:ascii="Times New Roman" w:hAnsi="Times New Roman" w:cs="Times New Roman"/>
                <w:sz w:val="24"/>
                <w:szCs w:val="24"/>
              </w:rPr>
            </w:pPr>
            <w:r>
              <w:rPr>
                <w:rFonts w:ascii="Times New Roman" w:hAnsi="Times New Roman" w:cs="Times New Roman"/>
                <w:sz w:val="24"/>
                <w:szCs w:val="24"/>
              </w:rPr>
              <w:t>80</w:t>
            </w:r>
          </w:p>
        </w:tc>
        <w:tc>
          <w:tcPr>
            <w:tcW w:w="274" w:type="pct"/>
            <w:shd w:val="clear" w:color="auto" w:fill="auto"/>
            <w:vAlign w:val="center"/>
          </w:tcPr>
          <w:p w14:paraId="2AAC1698">
            <w:pPr>
              <w:jc w:val="center"/>
              <w:rPr>
                <w:rFonts w:ascii="Times New Roman" w:hAnsi="Times New Roman" w:cs="Times New Roman"/>
                <w:sz w:val="24"/>
                <w:szCs w:val="24"/>
              </w:rPr>
            </w:pPr>
            <w:r>
              <w:rPr>
                <w:rFonts w:ascii="Times New Roman" w:hAnsi="Times New Roman" w:cs="Times New Roman"/>
                <w:sz w:val="24"/>
                <w:szCs w:val="24"/>
              </w:rPr>
              <w:t>75</w:t>
            </w:r>
          </w:p>
        </w:tc>
        <w:tc>
          <w:tcPr>
            <w:tcW w:w="467" w:type="pct"/>
            <w:shd w:val="clear" w:color="auto" w:fill="auto"/>
            <w:vAlign w:val="center"/>
          </w:tcPr>
          <w:p w14:paraId="26EB8C2D">
            <w:pPr>
              <w:jc w:val="center"/>
              <w:rPr>
                <w:rFonts w:ascii="Times New Roman" w:hAnsi="Times New Roman" w:cs="Times New Roman"/>
                <w:sz w:val="24"/>
                <w:szCs w:val="24"/>
              </w:rPr>
            </w:pPr>
            <w:r>
              <w:rPr>
                <w:rFonts w:ascii="Times New Roman" w:hAnsi="Times New Roman" w:cs="Times New Roman"/>
                <w:sz w:val="24"/>
                <w:szCs w:val="24"/>
              </w:rPr>
              <w:t>72</w:t>
            </w:r>
          </w:p>
        </w:tc>
      </w:tr>
      <w:tr w14:paraId="09BC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6" w:hRule="atLeast"/>
        </w:trPr>
        <w:tc>
          <w:tcPr>
            <w:tcW w:w="273" w:type="pct"/>
            <w:vMerge w:val="restart"/>
            <w:tcMar>
              <w:left w:w="28" w:type="dxa"/>
              <w:right w:w="28" w:type="dxa"/>
            </w:tcMar>
            <w:textDirection w:val="btLr"/>
            <w:vAlign w:val="center"/>
          </w:tcPr>
          <w:p w14:paraId="43234634">
            <w:pPr>
              <w:pStyle w:val="35"/>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Lichid</w:t>
            </w:r>
          </w:p>
        </w:tc>
        <w:tc>
          <w:tcPr>
            <w:tcW w:w="288" w:type="pct"/>
            <w:tcMar>
              <w:left w:w="28" w:type="dxa"/>
              <w:right w:w="28" w:type="dxa"/>
            </w:tcMar>
            <w:vAlign w:val="center"/>
          </w:tcPr>
          <w:p w14:paraId="3B491BCC">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L5</w:t>
            </w:r>
          </w:p>
        </w:tc>
        <w:tc>
          <w:tcPr>
            <w:tcW w:w="1185" w:type="pct"/>
            <w:vAlign w:val="center"/>
          </w:tcPr>
          <w:p w14:paraId="7EBC31F4">
            <w:pPr>
              <w:rPr>
                <w:rFonts w:ascii="Times New Roman" w:hAnsi="Times New Roman" w:cs="Times New Roman"/>
                <w:sz w:val="24"/>
                <w:szCs w:val="24"/>
              </w:rPr>
            </w:pPr>
            <w:r>
              <w:rPr>
                <w:rFonts w:ascii="Times New Roman" w:hAnsi="Times New Roman" w:cs="Times New Roman"/>
                <w:sz w:val="24"/>
                <w:szCs w:val="24"/>
              </w:rPr>
              <w:t>Păcură grea, motorină/carburant diesel, alte produse petroliere</w:t>
            </w:r>
          </w:p>
        </w:tc>
        <w:tc>
          <w:tcPr>
            <w:tcW w:w="300" w:type="pct"/>
            <w:vAlign w:val="center"/>
          </w:tcPr>
          <w:p w14:paraId="14D55D79">
            <w:pPr>
              <w:jc w:val="center"/>
              <w:rPr>
                <w:rFonts w:ascii="Times New Roman" w:hAnsi="Times New Roman" w:cs="Times New Roman"/>
                <w:sz w:val="24"/>
                <w:szCs w:val="24"/>
              </w:rPr>
            </w:pPr>
            <w:r>
              <w:rPr>
                <w:rFonts w:ascii="Times New Roman" w:hAnsi="Times New Roman" w:cs="Times New Roman"/>
                <w:sz w:val="24"/>
                <w:szCs w:val="24"/>
              </w:rPr>
              <w:t>89</w:t>
            </w:r>
          </w:p>
        </w:tc>
        <w:tc>
          <w:tcPr>
            <w:tcW w:w="300" w:type="pct"/>
            <w:vAlign w:val="center"/>
          </w:tcPr>
          <w:p w14:paraId="586F99F0">
            <w:pPr>
              <w:jc w:val="center"/>
              <w:rPr>
                <w:rFonts w:ascii="Times New Roman" w:hAnsi="Times New Roman" w:cs="Times New Roman"/>
                <w:sz w:val="24"/>
                <w:szCs w:val="24"/>
              </w:rPr>
            </w:pPr>
            <w:r>
              <w:rPr>
                <w:rFonts w:ascii="Times New Roman" w:hAnsi="Times New Roman" w:cs="Times New Roman"/>
                <w:sz w:val="24"/>
                <w:szCs w:val="24"/>
              </w:rPr>
              <w:t>84</w:t>
            </w:r>
          </w:p>
        </w:tc>
        <w:tc>
          <w:tcPr>
            <w:tcW w:w="499" w:type="pct"/>
            <w:vAlign w:val="center"/>
          </w:tcPr>
          <w:p w14:paraId="4C7161C1">
            <w:pPr>
              <w:jc w:val="center"/>
              <w:rPr>
                <w:rFonts w:ascii="Times New Roman" w:hAnsi="Times New Roman" w:cs="Times New Roman"/>
                <w:sz w:val="24"/>
                <w:szCs w:val="24"/>
              </w:rPr>
            </w:pPr>
            <w:r>
              <w:rPr>
                <w:rFonts w:ascii="Times New Roman" w:hAnsi="Times New Roman" w:cs="Times New Roman"/>
                <w:sz w:val="24"/>
                <w:szCs w:val="24"/>
              </w:rPr>
              <w:t>81</w:t>
            </w:r>
          </w:p>
        </w:tc>
        <w:tc>
          <w:tcPr>
            <w:tcW w:w="284" w:type="pct"/>
            <w:vAlign w:val="center"/>
          </w:tcPr>
          <w:p w14:paraId="34C01396">
            <w:pPr>
              <w:jc w:val="center"/>
              <w:rPr>
                <w:rFonts w:ascii="Times New Roman" w:hAnsi="Times New Roman" w:cs="Times New Roman"/>
                <w:sz w:val="24"/>
                <w:szCs w:val="24"/>
              </w:rPr>
            </w:pPr>
            <w:r>
              <w:rPr>
                <w:rFonts w:ascii="Times New Roman" w:hAnsi="Times New Roman" w:cs="Times New Roman"/>
                <w:sz w:val="24"/>
                <w:szCs w:val="24"/>
              </w:rPr>
              <w:t>85</w:t>
            </w:r>
          </w:p>
        </w:tc>
        <w:tc>
          <w:tcPr>
            <w:tcW w:w="316" w:type="pct"/>
            <w:vAlign w:val="center"/>
          </w:tcPr>
          <w:p w14:paraId="47BC3F9A">
            <w:pPr>
              <w:jc w:val="center"/>
              <w:rPr>
                <w:rFonts w:ascii="Times New Roman" w:hAnsi="Times New Roman" w:cs="Times New Roman"/>
                <w:sz w:val="24"/>
                <w:szCs w:val="24"/>
              </w:rPr>
            </w:pPr>
            <w:r>
              <w:rPr>
                <w:rFonts w:ascii="Times New Roman" w:hAnsi="Times New Roman" w:cs="Times New Roman"/>
                <w:sz w:val="24"/>
                <w:szCs w:val="24"/>
              </w:rPr>
              <w:t>80</w:t>
            </w:r>
          </w:p>
        </w:tc>
        <w:tc>
          <w:tcPr>
            <w:tcW w:w="493" w:type="pct"/>
            <w:vAlign w:val="center"/>
          </w:tcPr>
          <w:p w14:paraId="1BE0D62F">
            <w:pPr>
              <w:jc w:val="center"/>
              <w:rPr>
                <w:rFonts w:ascii="Times New Roman" w:hAnsi="Times New Roman" w:cs="Times New Roman"/>
                <w:sz w:val="24"/>
                <w:szCs w:val="24"/>
              </w:rPr>
            </w:pPr>
            <w:r>
              <w:rPr>
                <w:rFonts w:ascii="Times New Roman" w:hAnsi="Times New Roman" w:cs="Times New Roman"/>
                <w:sz w:val="24"/>
                <w:szCs w:val="24"/>
              </w:rPr>
              <w:t>77</w:t>
            </w:r>
          </w:p>
        </w:tc>
        <w:tc>
          <w:tcPr>
            <w:tcW w:w="320" w:type="pct"/>
            <w:shd w:val="clear" w:color="auto" w:fill="auto"/>
            <w:vAlign w:val="center"/>
          </w:tcPr>
          <w:p w14:paraId="1B857762">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6A41A7D1">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73CFE61F">
            <w:pPr>
              <w:jc w:val="center"/>
              <w:rPr>
                <w:rFonts w:ascii="Times New Roman" w:hAnsi="Times New Roman" w:cs="Times New Roman"/>
                <w:sz w:val="24"/>
                <w:szCs w:val="24"/>
              </w:rPr>
            </w:pPr>
            <w:r>
              <w:rPr>
                <w:rFonts w:ascii="Times New Roman" w:hAnsi="Times New Roman" w:cs="Times New Roman"/>
                <w:sz w:val="24"/>
                <w:szCs w:val="24"/>
              </w:rPr>
              <w:t>84</w:t>
            </w:r>
          </w:p>
        </w:tc>
      </w:tr>
      <w:tr w14:paraId="3929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7" w:hRule="atLeast"/>
        </w:trPr>
        <w:tc>
          <w:tcPr>
            <w:tcW w:w="273" w:type="pct"/>
            <w:vMerge w:val="continue"/>
            <w:tcMar>
              <w:left w:w="28" w:type="dxa"/>
              <w:right w:w="28" w:type="dxa"/>
            </w:tcMar>
            <w:textDirection w:val="btLr"/>
            <w:vAlign w:val="center"/>
          </w:tcPr>
          <w:p w14:paraId="1431AC6E">
            <w:pPr>
              <w:pStyle w:val="35"/>
              <w:spacing w:line="240" w:lineRule="auto"/>
              <w:ind w:left="113" w:right="113"/>
              <w:jc w:val="center"/>
              <w:rPr>
                <w:rFonts w:ascii="Times New Roman" w:hAnsi="Times New Roman" w:cs="Times New Roman"/>
                <w:sz w:val="24"/>
                <w:szCs w:val="24"/>
              </w:rPr>
            </w:pPr>
          </w:p>
        </w:tc>
        <w:tc>
          <w:tcPr>
            <w:tcW w:w="288" w:type="pct"/>
            <w:tcMar>
              <w:left w:w="28" w:type="dxa"/>
              <w:right w:w="28" w:type="dxa"/>
            </w:tcMar>
            <w:vAlign w:val="center"/>
          </w:tcPr>
          <w:p w14:paraId="50B0A6DE">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L6</w:t>
            </w:r>
          </w:p>
        </w:tc>
        <w:tc>
          <w:tcPr>
            <w:tcW w:w="1185" w:type="pct"/>
            <w:vAlign w:val="center"/>
          </w:tcPr>
          <w:p w14:paraId="23FE6140">
            <w:pPr>
              <w:rPr>
                <w:rFonts w:ascii="Times New Roman" w:hAnsi="Times New Roman" w:cs="Times New Roman"/>
                <w:sz w:val="24"/>
                <w:szCs w:val="24"/>
              </w:rPr>
            </w:pPr>
            <w:r>
              <w:rPr>
                <w:rFonts w:ascii="Times New Roman" w:hAnsi="Times New Roman" w:cs="Times New Roman"/>
                <w:sz w:val="24"/>
                <w:szCs w:val="24"/>
              </w:rPr>
              <w:t>Biolichide, inclusiv biometanol, bioetanol, biobutanol, biodiesel și alți biocombustibili și e-lichide</w:t>
            </w:r>
          </w:p>
        </w:tc>
        <w:tc>
          <w:tcPr>
            <w:tcW w:w="300" w:type="pct"/>
            <w:vAlign w:val="center"/>
          </w:tcPr>
          <w:p w14:paraId="70E59C7A">
            <w:pPr>
              <w:jc w:val="center"/>
              <w:rPr>
                <w:rFonts w:ascii="Times New Roman" w:hAnsi="Times New Roman" w:cs="Times New Roman"/>
                <w:sz w:val="24"/>
                <w:szCs w:val="24"/>
              </w:rPr>
            </w:pPr>
            <w:r>
              <w:rPr>
                <w:rFonts w:ascii="Times New Roman" w:hAnsi="Times New Roman" w:cs="Times New Roman"/>
                <w:sz w:val="24"/>
                <w:szCs w:val="24"/>
              </w:rPr>
              <w:t>89</w:t>
            </w:r>
          </w:p>
        </w:tc>
        <w:tc>
          <w:tcPr>
            <w:tcW w:w="300" w:type="pct"/>
            <w:vAlign w:val="center"/>
          </w:tcPr>
          <w:p w14:paraId="33B0F86C">
            <w:pPr>
              <w:jc w:val="center"/>
              <w:rPr>
                <w:rFonts w:ascii="Times New Roman" w:hAnsi="Times New Roman" w:cs="Times New Roman"/>
                <w:sz w:val="24"/>
                <w:szCs w:val="24"/>
              </w:rPr>
            </w:pPr>
            <w:r>
              <w:rPr>
                <w:rFonts w:ascii="Times New Roman" w:hAnsi="Times New Roman" w:cs="Times New Roman"/>
                <w:sz w:val="24"/>
                <w:szCs w:val="24"/>
              </w:rPr>
              <w:t>84</w:t>
            </w:r>
          </w:p>
        </w:tc>
        <w:tc>
          <w:tcPr>
            <w:tcW w:w="499" w:type="pct"/>
            <w:vAlign w:val="center"/>
          </w:tcPr>
          <w:p w14:paraId="273703B4">
            <w:pPr>
              <w:jc w:val="center"/>
              <w:rPr>
                <w:rFonts w:ascii="Times New Roman" w:hAnsi="Times New Roman" w:cs="Times New Roman"/>
                <w:sz w:val="24"/>
                <w:szCs w:val="24"/>
              </w:rPr>
            </w:pPr>
            <w:r>
              <w:rPr>
                <w:rFonts w:ascii="Times New Roman" w:hAnsi="Times New Roman" w:cs="Times New Roman"/>
                <w:sz w:val="24"/>
                <w:szCs w:val="24"/>
              </w:rPr>
              <w:t>81</w:t>
            </w:r>
          </w:p>
        </w:tc>
        <w:tc>
          <w:tcPr>
            <w:tcW w:w="284" w:type="pct"/>
            <w:vAlign w:val="center"/>
          </w:tcPr>
          <w:p w14:paraId="0495DA46">
            <w:pPr>
              <w:jc w:val="center"/>
              <w:rPr>
                <w:rFonts w:ascii="Times New Roman" w:hAnsi="Times New Roman" w:cs="Times New Roman"/>
                <w:sz w:val="24"/>
                <w:szCs w:val="24"/>
              </w:rPr>
            </w:pPr>
            <w:r>
              <w:rPr>
                <w:rFonts w:ascii="Times New Roman" w:hAnsi="Times New Roman" w:cs="Times New Roman"/>
                <w:sz w:val="24"/>
                <w:szCs w:val="24"/>
              </w:rPr>
              <w:t>85</w:t>
            </w:r>
          </w:p>
        </w:tc>
        <w:tc>
          <w:tcPr>
            <w:tcW w:w="316" w:type="pct"/>
            <w:vAlign w:val="center"/>
          </w:tcPr>
          <w:p w14:paraId="03E366A8">
            <w:pPr>
              <w:jc w:val="center"/>
              <w:rPr>
                <w:rFonts w:ascii="Times New Roman" w:hAnsi="Times New Roman" w:cs="Times New Roman"/>
                <w:sz w:val="24"/>
                <w:szCs w:val="24"/>
              </w:rPr>
            </w:pPr>
            <w:r>
              <w:rPr>
                <w:rFonts w:ascii="Times New Roman" w:hAnsi="Times New Roman" w:cs="Times New Roman"/>
                <w:sz w:val="24"/>
                <w:szCs w:val="24"/>
              </w:rPr>
              <w:t>80</w:t>
            </w:r>
          </w:p>
        </w:tc>
        <w:tc>
          <w:tcPr>
            <w:tcW w:w="493" w:type="pct"/>
            <w:vAlign w:val="center"/>
          </w:tcPr>
          <w:p w14:paraId="45E5E97D">
            <w:pPr>
              <w:jc w:val="center"/>
              <w:rPr>
                <w:rFonts w:ascii="Times New Roman" w:hAnsi="Times New Roman" w:cs="Times New Roman"/>
                <w:sz w:val="24"/>
                <w:szCs w:val="24"/>
              </w:rPr>
            </w:pPr>
            <w:r>
              <w:rPr>
                <w:rFonts w:ascii="Times New Roman" w:hAnsi="Times New Roman" w:cs="Times New Roman"/>
                <w:sz w:val="24"/>
                <w:szCs w:val="24"/>
              </w:rPr>
              <w:t>77</w:t>
            </w:r>
          </w:p>
        </w:tc>
        <w:tc>
          <w:tcPr>
            <w:tcW w:w="320" w:type="pct"/>
            <w:shd w:val="clear" w:color="auto" w:fill="auto"/>
            <w:vAlign w:val="center"/>
          </w:tcPr>
          <w:p w14:paraId="203B2B91">
            <w:pPr>
              <w:jc w:val="center"/>
              <w:rPr>
                <w:rFonts w:ascii="Times New Roman" w:hAnsi="Times New Roman" w:cs="Times New Roman"/>
                <w:sz w:val="24"/>
                <w:szCs w:val="24"/>
              </w:rPr>
            </w:pPr>
            <w:r>
              <w:rPr>
                <w:rFonts w:ascii="Times New Roman" w:hAnsi="Times New Roman" w:cs="Times New Roman"/>
                <w:sz w:val="24"/>
                <w:szCs w:val="24"/>
              </w:rPr>
              <w:t>85</w:t>
            </w:r>
          </w:p>
        </w:tc>
        <w:tc>
          <w:tcPr>
            <w:tcW w:w="274" w:type="pct"/>
            <w:shd w:val="clear" w:color="auto" w:fill="auto"/>
            <w:vAlign w:val="center"/>
          </w:tcPr>
          <w:p w14:paraId="19031446">
            <w:pPr>
              <w:jc w:val="center"/>
              <w:rPr>
                <w:rFonts w:ascii="Times New Roman" w:hAnsi="Times New Roman" w:cs="Times New Roman"/>
                <w:sz w:val="24"/>
                <w:szCs w:val="24"/>
              </w:rPr>
            </w:pPr>
            <w:r>
              <w:rPr>
                <w:rFonts w:ascii="Times New Roman" w:hAnsi="Times New Roman" w:cs="Times New Roman"/>
                <w:sz w:val="24"/>
                <w:szCs w:val="24"/>
              </w:rPr>
              <w:t>80</w:t>
            </w:r>
          </w:p>
        </w:tc>
        <w:tc>
          <w:tcPr>
            <w:tcW w:w="467" w:type="pct"/>
            <w:shd w:val="clear" w:color="auto" w:fill="auto"/>
            <w:vAlign w:val="center"/>
          </w:tcPr>
          <w:p w14:paraId="262D768E">
            <w:pPr>
              <w:jc w:val="center"/>
              <w:rPr>
                <w:rFonts w:ascii="Times New Roman" w:hAnsi="Times New Roman" w:cs="Times New Roman"/>
                <w:sz w:val="24"/>
                <w:szCs w:val="24"/>
              </w:rPr>
            </w:pPr>
            <w:r>
              <w:rPr>
                <w:rFonts w:ascii="Times New Roman" w:hAnsi="Times New Roman" w:cs="Times New Roman"/>
                <w:sz w:val="24"/>
                <w:szCs w:val="24"/>
              </w:rPr>
              <w:t>77</w:t>
            </w:r>
          </w:p>
        </w:tc>
      </w:tr>
      <w:tr w14:paraId="40BF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7" w:hRule="atLeast"/>
        </w:trPr>
        <w:tc>
          <w:tcPr>
            <w:tcW w:w="273" w:type="pct"/>
            <w:vMerge w:val="continue"/>
            <w:tcMar>
              <w:left w:w="28" w:type="dxa"/>
              <w:right w:w="28" w:type="dxa"/>
            </w:tcMar>
            <w:textDirection w:val="btLr"/>
            <w:vAlign w:val="center"/>
          </w:tcPr>
          <w:p w14:paraId="19F9B8A1">
            <w:pPr>
              <w:pStyle w:val="35"/>
              <w:shd w:val="clear" w:color="auto" w:fill="auto"/>
              <w:spacing w:line="240" w:lineRule="auto"/>
              <w:ind w:left="113" w:right="113"/>
              <w:jc w:val="center"/>
              <w:rPr>
                <w:rFonts w:ascii="Times New Roman" w:hAnsi="Times New Roman" w:cs="Times New Roman"/>
                <w:sz w:val="24"/>
                <w:szCs w:val="24"/>
              </w:rPr>
            </w:pPr>
          </w:p>
        </w:tc>
        <w:tc>
          <w:tcPr>
            <w:tcW w:w="288" w:type="pct"/>
            <w:tcMar>
              <w:left w:w="28" w:type="dxa"/>
              <w:right w:w="28" w:type="dxa"/>
            </w:tcMar>
            <w:vAlign w:val="center"/>
          </w:tcPr>
          <w:p w14:paraId="1C2CA898">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L7</w:t>
            </w:r>
          </w:p>
        </w:tc>
        <w:tc>
          <w:tcPr>
            <w:tcW w:w="1185" w:type="pct"/>
            <w:vAlign w:val="center"/>
          </w:tcPr>
          <w:p w14:paraId="784C9A38">
            <w:pPr>
              <w:rPr>
                <w:rFonts w:ascii="Times New Roman" w:hAnsi="Times New Roman" w:cs="Times New Roman"/>
                <w:sz w:val="24"/>
                <w:szCs w:val="24"/>
              </w:rPr>
            </w:pPr>
            <w:r>
              <w:rPr>
                <w:rFonts w:ascii="Times New Roman" w:hAnsi="Times New Roman" w:cs="Times New Roman"/>
                <w:sz w:val="24"/>
                <w:szCs w:val="24"/>
              </w:rPr>
              <w:t>Deșeuri lichide, inclusiv deșeuri biodegradabile și neregenerabile (seu, grăsime, borhot)</w:t>
            </w:r>
          </w:p>
        </w:tc>
        <w:tc>
          <w:tcPr>
            <w:tcW w:w="300" w:type="pct"/>
            <w:vAlign w:val="center"/>
          </w:tcPr>
          <w:p w14:paraId="2DC54FBB">
            <w:pPr>
              <w:jc w:val="center"/>
              <w:rPr>
                <w:rFonts w:ascii="Times New Roman" w:hAnsi="Times New Roman" w:cs="Times New Roman"/>
                <w:sz w:val="24"/>
                <w:szCs w:val="24"/>
              </w:rPr>
            </w:pPr>
            <w:r>
              <w:rPr>
                <w:rFonts w:ascii="Times New Roman" w:hAnsi="Times New Roman" w:cs="Times New Roman"/>
                <w:sz w:val="24"/>
                <w:szCs w:val="24"/>
              </w:rPr>
              <w:t>80</w:t>
            </w:r>
          </w:p>
        </w:tc>
        <w:tc>
          <w:tcPr>
            <w:tcW w:w="300" w:type="pct"/>
            <w:vAlign w:val="center"/>
          </w:tcPr>
          <w:p w14:paraId="0590764E">
            <w:pPr>
              <w:jc w:val="center"/>
              <w:rPr>
                <w:rFonts w:ascii="Times New Roman" w:hAnsi="Times New Roman" w:cs="Times New Roman"/>
                <w:sz w:val="24"/>
                <w:szCs w:val="24"/>
              </w:rPr>
            </w:pPr>
            <w:r>
              <w:rPr>
                <w:rFonts w:ascii="Times New Roman" w:hAnsi="Times New Roman" w:cs="Times New Roman"/>
                <w:sz w:val="24"/>
                <w:szCs w:val="24"/>
              </w:rPr>
              <w:t>75</w:t>
            </w:r>
          </w:p>
        </w:tc>
        <w:tc>
          <w:tcPr>
            <w:tcW w:w="499" w:type="pct"/>
            <w:vAlign w:val="center"/>
          </w:tcPr>
          <w:p w14:paraId="121738C0">
            <w:pPr>
              <w:jc w:val="center"/>
              <w:rPr>
                <w:rFonts w:ascii="Times New Roman" w:hAnsi="Times New Roman" w:cs="Times New Roman"/>
                <w:sz w:val="24"/>
                <w:szCs w:val="24"/>
              </w:rPr>
            </w:pPr>
            <w:r>
              <w:rPr>
                <w:rFonts w:ascii="Times New Roman" w:hAnsi="Times New Roman" w:cs="Times New Roman"/>
                <w:sz w:val="24"/>
                <w:szCs w:val="24"/>
              </w:rPr>
              <w:t>72</w:t>
            </w:r>
          </w:p>
        </w:tc>
        <w:tc>
          <w:tcPr>
            <w:tcW w:w="284" w:type="pct"/>
            <w:vAlign w:val="center"/>
          </w:tcPr>
          <w:p w14:paraId="1FE8C9E3">
            <w:pPr>
              <w:jc w:val="center"/>
              <w:rPr>
                <w:rFonts w:ascii="Times New Roman" w:hAnsi="Times New Roman" w:cs="Times New Roman"/>
                <w:sz w:val="24"/>
                <w:szCs w:val="24"/>
              </w:rPr>
            </w:pPr>
            <w:r>
              <w:rPr>
                <w:rFonts w:ascii="Times New Roman" w:hAnsi="Times New Roman" w:cs="Times New Roman"/>
                <w:sz w:val="24"/>
                <w:szCs w:val="24"/>
              </w:rPr>
              <w:t>75</w:t>
            </w:r>
          </w:p>
        </w:tc>
        <w:tc>
          <w:tcPr>
            <w:tcW w:w="316" w:type="pct"/>
            <w:vAlign w:val="center"/>
          </w:tcPr>
          <w:p w14:paraId="4095BC6B">
            <w:pPr>
              <w:jc w:val="center"/>
              <w:rPr>
                <w:rFonts w:ascii="Times New Roman" w:hAnsi="Times New Roman" w:cs="Times New Roman"/>
                <w:sz w:val="24"/>
                <w:szCs w:val="24"/>
              </w:rPr>
            </w:pPr>
            <w:r>
              <w:rPr>
                <w:rFonts w:ascii="Times New Roman" w:hAnsi="Times New Roman" w:cs="Times New Roman"/>
                <w:sz w:val="24"/>
                <w:szCs w:val="24"/>
              </w:rPr>
              <w:t>70</w:t>
            </w:r>
          </w:p>
        </w:tc>
        <w:tc>
          <w:tcPr>
            <w:tcW w:w="493" w:type="pct"/>
            <w:vAlign w:val="center"/>
          </w:tcPr>
          <w:p w14:paraId="4B6A1C21">
            <w:pPr>
              <w:jc w:val="center"/>
              <w:rPr>
                <w:rFonts w:ascii="Times New Roman" w:hAnsi="Times New Roman" w:cs="Times New Roman"/>
                <w:sz w:val="24"/>
                <w:szCs w:val="24"/>
              </w:rPr>
            </w:pPr>
            <w:r>
              <w:rPr>
                <w:rFonts w:ascii="Times New Roman" w:hAnsi="Times New Roman" w:cs="Times New Roman"/>
                <w:sz w:val="24"/>
                <w:szCs w:val="24"/>
              </w:rPr>
              <w:t>67</w:t>
            </w:r>
          </w:p>
        </w:tc>
        <w:tc>
          <w:tcPr>
            <w:tcW w:w="320" w:type="pct"/>
            <w:shd w:val="clear" w:color="auto" w:fill="auto"/>
            <w:vAlign w:val="center"/>
          </w:tcPr>
          <w:p w14:paraId="40C5EDDD">
            <w:pPr>
              <w:jc w:val="center"/>
              <w:rPr>
                <w:rFonts w:ascii="Times New Roman" w:hAnsi="Times New Roman" w:cs="Times New Roman"/>
                <w:sz w:val="24"/>
                <w:szCs w:val="24"/>
              </w:rPr>
            </w:pPr>
            <w:r>
              <w:rPr>
                <w:rFonts w:ascii="Times New Roman" w:hAnsi="Times New Roman" w:cs="Times New Roman"/>
                <w:sz w:val="24"/>
                <w:szCs w:val="24"/>
              </w:rPr>
              <w:t>75</w:t>
            </w:r>
          </w:p>
        </w:tc>
        <w:tc>
          <w:tcPr>
            <w:tcW w:w="274" w:type="pct"/>
            <w:shd w:val="clear" w:color="auto" w:fill="auto"/>
            <w:vAlign w:val="center"/>
          </w:tcPr>
          <w:p w14:paraId="044302E4">
            <w:pPr>
              <w:jc w:val="center"/>
              <w:rPr>
                <w:rFonts w:ascii="Times New Roman" w:hAnsi="Times New Roman" w:cs="Times New Roman"/>
                <w:sz w:val="24"/>
                <w:szCs w:val="24"/>
              </w:rPr>
            </w:pPr>
            <w:r>
              <w:rPr>
                <w:rFonts w:ascii="Times New Roman" w:hAnsi="Times New Roman" w:cs="Times New Roman"/>
                <w:sz w:val="24"/>
                <w:szCs w:val="24"/>
              </w:rPr>
              <w:t>70</w:t>
            </w:r>
          </w:p>
        </w:tc>
        <w:tc>
          <w:tcPr>
            <w:tcW w:w="467" w:type="pct"/>
            <w:shd w:val="clear" w:color="auto" w:fill="auto"/>
            <w:vAlign w:val="center"/>
          </w:tcPr>
          <w:p w14:paraId="19D2A2DF">
            <w:pPr>
              <w:jc w:val="center"/>
              <w:rPr>
                <w:rFonts w:ascii="Times New Roman" w:hAnsi="Times New Roman" w:cs="Times New Roman"/>
                <w:sz w:val="24"/>
                <w:szCs w:val="24"/>
              </w:rPr>
            </w:pPr>
            <w:r>
              <w:rPr>
                <w:rFonts w:ascii="Times New Roman" w:hAnsi="Times New Roman" w:cs="Times New Roman"/>
                <w:sz w:val="24"/>
                <w:szCs w:val="24"/>
              </w:rPr>
              <w:t>67</w:t>
            </w:r>
          </w:p>
        </w:tc>
      </w:tr>
      <w:tr w14:paraId="3EA1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4" w:hRule="atLeast"/>
        </w:trPr>
        <w:tc>
          <w:tcPr>
            <w:tcW w:w="273" w:type="pct"/>
            <w:vMerge w:val="restart"/>
            <w:tcMar>
              <w:left w:w="28" w:type="dxa"/>
              <w:right w:w="28" w:type="dxa"/>
            </w:tcMar>
            <w:textDirection w:val="btLr"/>
            <w:vAlign w:val="center"/>
          </w:tcPr>
          <w:p w14:paraId="7B9A0AB2">
            <w:pPr>
              <w:pStyle w:val="35"/>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Gazos</w:t>
            </w:r>
          </w:p>
        </w:tc>
        <w:tc>
          <w:tcPr>
            <w:tcW w:w="288" w:type="pct"/>
            <w:tcMar>
              <w:left w:w="28" w:type="dxa"/>
              <w:right w:w="28" w:type="dxa"/>
            </w:tcMar>
            <w:vAlign w:val="center"/>
          </w:tcPr>
          <w:p w14:paraId="5F9951B6">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G8</w:t>
            </w:r>
          </w:p>
        </w:tc>
        <w:tc>
          <w:tcPr>
            <w:tcW w:w="1185" w:type="pct"/>
            <w:vAlign w:val="center"/>
          </w:tcPr>
          <w:p w14:paraId="17E0A77C">
            <w:pPr>
              <w:rPr>
                <w:rFonts w:ascii="Times New Roman" w:hAnsi="Times New Roman" w:cs="Times New Roman"/>
                <w:sz w:val="24"/>
                <w:szCs w:val="24"/>
              </w:rPr>
            </w:pPr>
            <w:r>
              <w:rPr>
                <w:rFonts w:ascii="Times New Roman" w:hAnsi="Times New Roman" w:cs="Times New Roman"/>
                <w:sz w:val="24"/>
                <w:szCs w:val="24"/>
              </w:rPr>
              <w:t>Gaz natural, GPL, GNL și biometan</w:t>
            </w:r>
          </w:p>
        </w:tc>
        <w:tc>
          <w:tcPr>
            <w:tcW w:w="300" w:type="pct"/>
            <w:vAlign w:val="center"/>
          </w:tcPr>
          <w:p w14:paraId="2085F6E6">
            <w:pPr>
              <w:jc w:val="center"/>
              <w:rPr>
                <w:rFonts w:ascii="Times New Roman" w:hAnsi="Times New Roman" w:cs="Times New Roman"/>
                <w:sz w:val="24"/>
                <w:szCs w:val="24"/>
              </w:rPr>
            </w:pPr>
            <w:r>
              <w:rPr>
                <w:rFonts w:ascii="Times New Roman" w:hAnsi="Times New Roman" w:cs="Times New Roman"/>
                <w:sz w:val="24"/>
                <w:szCs w:val="24"/>
              </w:rPr>
              <w:t>90</w:t>
            </w:r>
          </w:p>
        </w:tc>
        <w:tc>
          <w:tcPr>
            <w:tcW w:w="300" w:type="pct"/>
            <w:vAlign w:val="center"/>
          </w:tcPr>
          <w:p w14:paraId="4E5D8788">
            <w:pPr>
              <w:jc w:val="center"/>
              <w:rPr>
                <w:rFonts w:ascii="Times New Roman" w:hAnsi="Times New Roman" w:cs="Times New Roman"/>
                <w:sz w:val="24"/>
                <w:szCs w:val="24"/>
              </w:rPr>
            </w:pPr>
            <w:r>
              <w:rPr>
                <w:rFonts w:ascii="Times New Roman" w:hAnsi="Times New Roman" w:cs="Times New Roman"/>
                <w:sz w:val="24"/>
                <w:szCs w:val="24"/>
              </w:rPr>
              <w:t>85</w:t>
            </w:r>
          </w:p>
        </w:tc>
        <w:tc>
          <w:tcPr>
            <w:tcW w:w="499" w:type="pct"/>
            <w:vAlign w:val="center"/>
          </w:tcPr>
          <w:p w14:paraId="75254C29">
            <w:pPr>
              <w:jc w:val="center"/>
              <w:rPr>
                <w:rFonts w:ascii="Times New Roman" w:hAnsi="Times New Roman" w:cs="Times New Roman"/>
                <w:sz w:val="24"/>
                <w:szCs w:val="24"/>
              </w:rPr>
            </w:pPr>
            <w:r>
              <w:rPr>
                <w:rFonts w:ascii="Times New Roman" w:hAnsi="Times New Roman" w:cs="Times New Roman"/>
                <w:sz w:val="24"/>
                <w:szCs w:val="24"/>
              </w:rPr>
              <w:t>82</w:t>
            </w:r>
          </w:p>
        </w:tc>
        <w:tc>
          <w:tcPr>
            <w:tcW w:w="284" w:type="pct"/>
            <w:vAlign w:val="center"/>
          </w:tcPr>
          <w:p w14:paraId="32E7C658">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00B0E4C8">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1D4572B9">
            <w:pPr>
              <w:jc w:val="center"/>
              <w:rPr>
                <w:rFonts w:ascii="Times New Roman" w:hAnsi="Times New Roman" w:cs="Times New Roman"/>
                <w:sz w:val="24"/>
                <w:szCs w:val="24"/>
              </w:rPr>
            </w:pPr>
            <w:r>
              <w:rPr>
                <w:rFonts w:ascii="Times New Roman" w:hAnsi="Times New Roman" w:cs="Times New Roman"/>
                <w:sz w:val="24"/>
                <w:szCs w:val="24"/>
              </w:rPr>
              <w:t>84</w:t>
            </w:r>
          </w:p>
        </w:tc>
        <w:tc>
          <w:tcPr>
            <w:tcW w:w="320" w:type="pct"/>
            <w:shd w:val="clear" w:color="auto" w:fill="auto"/>
            <w:vAlign w:val="center"/>
          </w:tcPr>
          <w:p w14:paraId="0C4EE12D">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492142A4">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1C06741F">
            <w:pPr>
              <w:jc w:val="center"/>
              <w:rPr>
                <w:rFonts w:ascii="Times New Roman" w:hAnsi="Times New Roman" w:cs="Times New Roman"/>
                <w:sz w:val="24"/>
                <w:szCs w:val="24"/>
              </w:rPr>
            </w:pPr>
            <w:r>
              <w:rPr>
                <w:rFonts w:ascii="Times New Roman" w:hAnsi="Times New Roman" w:cs="Times New Roman"/>
                <w:sz w:val="24"/>
                <w:szCs w:val="24"/>
              </w:rPr>
              <w:t>84</w:t>
            </w:r>
          </w:p>
        </w:tc>
      </w:tr>
      <w:tr w14:paraId="77F9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trPr>
        <w:tc>
          <w:tcPr>
            <w:tcW w:w="273" w:type="pct"/>
            <w:vMerge w:val="continue"/>
            <w:tcMar>
              <w:left w:w="28" w:type="dxa"/>
              <w:right w:w="28" w:type="dxa"/>
            </w:tcMar>
            <w:textDirection w:val="btLr"/>
            <w:vAlign w:val="center"/>
          </w:tcPr>
          <w:p w14:paraId="54AB4B4A">
            <w:pPr>
              <w:pStyle w:val="35"/>
              <w:spacing w:line="240" w:lineRule="auto"/>
              <w:ind w:left="113" w:right="113"/>
              <w:jc w:val="center"/>
              <w:rPr>
                <w:rFonts w:ascii="Times New Roman" w:hAnsi="Times New Roman" w:cs="Times New Roman"/>
                <w:sz w:val="24"/>
                <w:szCs w:val="24"/>
              </w:rPr>
            </w:pPr>
          </w:p>
        </w:tc>
        <w:tc>
          <w:tcPr>
            <w:tcW w:w="288" w:type="pct"/>
            <w:shd w:val="clear" w:color="auto" w:fill="auto"/>
            <w:tcMar>
              <w:left w:w="28" w:type="dxa"/>
              <w:right w:w="28" w:type="dxa"/>
            </w:tcMar>
            <w:vAlign w:val="center"/>
          </w:tcPr>
          <w:p w14:paraId="4A742801">
            <w:pPr>
              <w:pStyle w:val="37"/>
              <w:shd w:val="clear" w:color="auto" w:fill="auto"/>
              <w:spacing w:after="0" w:line="240" w:lineRule="auto"/>
              <w:ind w:left="5" w:firstLine="0"/>
              <w:jc w:val="center"/>
              <w:rPr>
                <w:rFonts w:ascii="Times New Roman" w:hAnsi="Times New Roman" w:cs="Times New Roman"/>
                <w:sz w:val="24"/>
                <w:szCs w:val="24"/>
              </w:rPr>
            </w:pPr>
            <w:r>
              <w:rPr>
                <w:rStyle w:val="38"/>
                <w:rFonts w:ascii="Times New Roman" w:hAnsi="Times New Roman" w:cs="Times New Roman"/>
                <w:sz w:val="24"/>
                <w:szCs w:val="24"/>
              </w:rPr>
              <w:t>G9</w:t>
            </w:r>
          </w:p>
        </w:tc>
        <w:tc>
          <w:tcPr>
            <w:tcW w:w="1185" w:type="pct"/>
            <w:shd w:val="clear" w:color="auto" w:fill="auto"/>
            <w:vAlign w:val="center"/>
          </w:tcPr>
          <w:p w14:paraId="652F8B33">
            <w:pPr>
              <w:rPr>
                <w:rFonts w:ascii="Times New Roman" w:hAnsi="Times New Roman" w:cs="Times New Roman"/>
                <w:sz w:val="24"/>
                <w:szCs w:val="24"/>
              </w:rPr>
            </w:pPr>
            <w:r>
              <w:rPr>
                <w:rFonts w:ascii="Times New Roman" w:hAnsi="Times New Roman" w:cs="Times New Roman"/>
                <w:sz w:val="24"/>
                <w:szCs w:val="24"/>
              </w:rPr>
              <w:t>Hidrogen tranzacționat</w:t>
            </w:r>
            <w:r>
              <w:rPr>
                <w:rFonts w:ascii="Times New Roman" w:hAnsi="Times New Roman" w:cs="Times New Roman"/>
                <w:sz w:val="24"/>
                <w:szCs w:val="24"/>
                <w:vertAlign w:val="superscript"/>
              </w:rPr>
              <w:t>(1)</w:t>
            </w:r>
          </w:p>
        </w:tc>
        <w:tc>
          <w:tcPr>
            <w:tcW w:w="300" w:type="pct"/>
            <w:shd w:val="clear" w:color="auto" w:fill="auto"/>
            <w:vAlign w:val="center"/>
          </w:tcPr>
          <w:p w14:paraId="6BFBFF63">
            <w:pPr>
              <w:jc w:val="center"/>
              <w:rPr>
                <w:rFonts w:ascii="Times New Roman" w:hAnsi="Times New Roman" w:cs="Times New Roman"/>
                <w:sz w:val="24"/>
                <w:szCs w:val="24"/>
              </w:rPr>
            </w:pPr>
            <w:r>
              <w:rPr>
                <w:rFonts w:ascii="Times New Roman" w:hAnsi="Times New Roman" w:cs="Times New Roman"/>
                <w:sz w:val="24"/>
                <w:szCs w:val="24"/>
              </w:rPr>
              <w:t>89</w:t>
            </w:r>
          </w:p>
        </w:tc>
        <w:tc>
          <w:tcPr>
            <w:tcW w:w="300" w:type="pct"/>
            <w:shd w:val="clear" w:color="auto" w:fill="auto"/>
            <w:vAlign w:val="center"/>
          </w:tcPr>
          <w:p w14:paraId="3D816D54">
            <w:pPr>
              <w:jc w:val="center"/>
              <w:rPr>
                <w:rFonts w:ascii="Times New Roman" w:hAnsi="Times New Roman" w:cs="Times New Roman"/>
                <w:sz w:val="24"/>
                <w:szCs w:val="24"/>
              </w:rPr>
            </w:pPr>
            <w:r>
              <w:rPr>
                <w:rFonts w:ascii="Times New Roman" w:hAnsi="Times New Roman" w:cs="Times New Roman"/>
                <w:sz w:val="24"/>
                <w:szCs w:val="24"/>
              </w:rPr>
              <w:t>84</w:t>
            </w:r>
          </w:p>
        </w:tc>
        <w:tc>
          <w:tcPr>
            <w:tcW w:w="499" w:type="pct"/>
            <w:shd w:val="clear" w:color="auto" w:fill="auto"/>
            <w:vAlign w:val="center"/>
          </w:tcPr>
          <w:p w14:paraId="294C0CCE">
            <w:pPr>
              <w:jc w:val="center"/>
              <w:rPr>
                <w:rFonts w:ascii="Times New Roman" w:hAnsi="Times New Roman" w:cs="Times New Roman"/>
                <w:sz w:val="24"/>
                <w:szCs w:val="24"/>
              </w:rPr>
            </w:pPr>
            <w:r>
              <w:rPr>
                <w:rFonts w:ascii="Times New Roman" w:hAnsi="Times New Roman" w:cs="Times New Roman"/>
                <w:sz w:val="24"/>
                <w:szCs w:val="24"/>
              </w:rPr>
              <w:t>81</w:t>
            </w:r>
          </w:p>
        </w:tc>
        <w:tc>
          <w:tcPr>
            <w:tcW w:w="284" w:type="pct"/>
            <w:shd w:val="clear" w:color="auto" w:fill="auto"/>
            <w:vAlign w:val="center"/>
          </w:tcPr>
          <w:p w14:paraId="6593F3C8">
            <w:pPr>
              <w:jc w:val="center"/>
              <w:rPr>
                <w:rFonts w:ascii="Times New Roman" w:hAnsi="Times New Roman" w:cs="Times New Roman"/>
                <w:sz w:val="24"/>
                <w:szCs w:val="24"/>
              </w:rPr>
            </w:pPr>
            <w:r>
              <w:rPr>
                <w:rFonts w:ascii="Times New Roman" w:hAnsi="Times New Roman" w:cs="Times New Roman"/>
                <w:sz w:val="24"/>
                <w:szCs w:val="24"/>
              </w:rPr>
              <w:t>90</w:t>
            </w:r>
          </w:p>
        </w:tc>
        <w:tc>
          <w:tcPr>
            <w:tcW w:w="316" w:type="pct"/>
            <w:shd w:val="clear" w:color="auto" w:fill="auto"/>
            <w:vAlign w:val="center"/>
          </w:tcPr>
          <w:p w14:paraId="77FC1B4A">
            <w:pPr>
              <w:jc w:val="center"/>
              <w:rPr>
                <w:rFonts w:ascii="Times New Roman" w:hAnsi="Times New Roman" w:cs="Times New Roman"/>
                <w:sz w:val="24"/>
                <w:szCs w:val="24"/>
              </w:rPr>
            </w:pPr>
            <w:r>
              <w:rPr>
                <w:rFonts w:ascii="Times New Roman" w:hAnsi="Times New Roman" w:cs="Times New Roman"/>
                <w:sz w:val="24"/>
                <w:szCs w:val="24"/>
              </w:rPr>
              <w:t>85</w:t>
            </w:r>
          </w:p>
        </w:tc>
        <w:tc>
          <w:tcPr>
            <w:tcW w:w="493" w:type="pct"/>
            <w:shd w:val="clear" w:color="auto" w:fill="auto"/>
            <w:vAlign w:val="center"/>
          </w:tcPr>
          <w:p w14:paraId="1DAFEBB5">
            <w:pPr>
              <w:jc w:val="center"/>
              <w:rPr>
                <w:rFonts w:ascii="Times New Roman" w:hAnsi="Times New Roman" w:cs="Times New Roman"/>
                <w:sz w:val="24"/>
                <w:szCs w:val="24"/>
              </w:rPr>
            </w:pPr>
            <w:r>
              <w:rPr>
                <w:rFonts w:ascii="Times New Roman" w:hAnsi="Times New Roman" w:cs="Times New Roman"/>
                <w:sz w:val="24"/>
                <w:szCs w:val="24"/>
              </w:rPr>
              <w:t>82</w:t>
            </w:r>
          </w:p>
        </w:tc>
        <w:tc>
          <w:tcPr>
            <w:tcW w:w="320" w:type="pct"/>
            <w:shd w:val="clear" w:color="auto" w:fill="auto"/>
            <w:vAlign w:val="center"/>
          </w:tcPr>
          <w:p w14:paraId="00F2421E">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68DF37B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56683D05">
            <w:pPr>
              <w:jc w:val="center"/>
              <w:rPr>
                <w:rFonts w:ascii="Times New Roman" w:hAnsi="Times New Roman" w:cs="Times New Roman"/>
                <w:sz w:val="24"/>
                <w:szCs w:val="24"/>
              </w:rPr>
            </w:pPr>
            <w:r>
              <w:rPr>
                <w:rFonts w:ascii="Times New Roman" w:hAnsi="Times New Roman" w:cs="Times New Roman"/>
                <w:sz w:val="24"/>
                <w:szCs w:val="24"/>
              </w:rPr>
              <w:t>84</w:t>
            </w:r>
          </w:p>
        </w:tc>
      </w:tr>
      <w:tr w14:paraId="33C1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trPr>
        <w:tc>
          <w:tcPr>
            <w:tcW w:w="273" w:type="pct"/>
            <w:vMerge w:val="continue"/>
            <w:tcMar>
              <w:left w:w="28" w:type="dxa"/>
              <w:right w:w="28" w:type="dxa"/>
            </w:tcMar>
            <w:textDirection w:val="btLr"/>
            <w:vAlign w:val="center"/>
          </w:tcPr>
          <w:p w14:paraId="440F344E">
            <w:pPr>
              <w:pStyle w:val="35"/>
              <w:spacing w:line="240" w:lineRule="auto"/>
              <w:ind w:left="113" w:right="113"/>
              <w:jc w:val="center"/>
              <w:rPr>
                <w:rFonts w:ascii="Times New Roman" w:hAnsi="Times New Roman" w:cs="Times New Roman"/>
                <w:sz w:val="24"/>
                <w:szCs w:val="24"/>
              </w:rPr>
            </w:pPr>
          </w:p>
        </w:tc>
        <w:tc>
          <w:tcPr>
            <w:tcW w:w="288" w:type="pct"/>
            <w:tcMar>
              <w:left w:w="28" w:type="dxa"/>
              <w:right w:w="28" w:type="dxa"/>
            </w:tcMar>
            <w:vAlign w:val="center"/>
          </w:tcPr>
          <w:p w14:paraId="16567B11">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G10</w:t>
            </w:r>
          </w:p>
        </w:tc>
        <w:tc>
          <w:tcPr>
            <w:tcW w:w="1185" w:type="pct"/>
            <w:vAlign w:val="center"/>
          </w:tcPr>
          <w:p w14:paraId="0EBBEFC7">
            <w:pPr>
              <w:rPr>
                <w:rFonts w:ascii="Times New Roman" w:hAnsi="Times New Roman" w:cs="Times New Roman"/>
                <w:sz w:val="24"/>
                <w:szCs w:val="24"/>
              </w:rPr>
            </w:pPr>
            <w:r>
              <w:rPr>
                <w:rFonts w:ascii="Times New Roman" w:hAnsi="Times New Roman" w:cs="Times New Roman"/>
                <w:sz w:val="24"/>
                <w:szCs w:val="24"/>
              </w:rPr>
              <w:t>Gaze de rafinărie, gaz de sinteză, hidrogen (produs secundar), e-gaze</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c>
          <w:tcPr>
            <w:tcW w:w="300" w:type="pct"/>
            <w:vAlign w:val="center"/>
          </w:tcPr>
          <w:p w14:paraId="5AEA6C66">
            <w:pPr>
              <w:jc w:val="center"/>
              <w:rPr>
                <w:rFonts w:ascii="Times New Roman" w:hAnsi="Times New Roman" w:cs="Times New Roman"/>
                <w:sz w:val="24"/>
                <w:szCs w:val="24"/>
              </w:rPr>
            </w:pPr>
            <w:r>
              <w:rPr>
                <w:rFonts w:ascii="Times New Roman" w:hAnsi="Times New Roman" w:cs="Times New Roman"/>
                <w:sz w:val="24"/>
                <w:szCs w:val="24"/>
              </w:rPr>
              <w:t>89</w:t>
            </w:r>
          </w:p>
        </w:tc>
        <w:tc>
          <w:tcPr>
            <w:tcW w:w="300" w:type="pct"/>
            <w:vAlign w:val="center"/>
          </w:tcPr>
          <w:p w14:paraId="6E4D6D5A">
            <w:pPr>
              <w:jc w:val="center"/>
              <w:rPr>
                <w:rFonts w:ascii="Times New Roman" w:hAnsi="Times New Roman" w:cs="Times New Roman"/>
                <w:sz w:val="24"/>
                <w:szCs w:val="24"/>
              </w:rPr>
            </w:pPr>
            <w:r>
              <w:rPr>
                <w:rFonts w:ascii="Times New Roman" w:hAnsi="Times New Roman" w:cs="Times New Roman"/>
                <w:sz w:val="24"/>
                <w:szCs w:val="24"/>
              </w:rPr>
              <w:t>84</w:t>
            </w:r>
          </w:p>
        </w:tc>
        <w:tc>
          <w:tcPr>
            <w:tcW w:w="499" w:type="pct"/>
            <w:vAlign w:val="center"/>
          </w:tcPr>
          <w:p w14:paraId="2B690FE8">
            <w:pPr>
              <w:jc w:val="center"/>
              <w:rPr>
                <w:rFonts w:ascii="Times New Roman" w:hAnsi="Times New Roman" w:cs="Times New Roman"/>
                <w:sz w:val="24"/>
                <w:szCs w:val="24"/>
              </w:rPr>
            </w:pPr>
            <w:r>
              <w:rPr>
                <w:rFonts w:ascii="Times New Roman" w:hAnsi="Times New Roman" w:cs="Times New Roman"/>
                <w:sz w:val="24"/>
                <w:szCs w:val="24"/>
              </w:rPr>
              <w:t>81</w:t>
            </w:r>
          </w:p>
        </w:tc>
        <w:tc>
          <w:tcPr>
            <w:tcW w:w="284" w:type="pct"/>
            <w:vAlign w:val="center"/>
          </w:tcPr>
          <w:p w14:paraId="7893F4A5">
            <w:pPr>
              <w:jc w:val="center"/>
              <w:rPr>
                <w:rFonts w:ascii="Times New Roman" w:hAnsi="Times New Roman" w:cs="Times New Roman"/>
                <w:sz w:val="24"/>
                <w:szCs w:val="24"/>
              </w:rPr>
            </w:pPr>
            <w:r>
              <w:rPr>
                <w:rFonts w:ascii="Times New Roman" w:hAnsi="Times New Roman" w:cs="Times New Roman"/>
                <w:sz w:val="24"/>
                <w:szCs w:val="24"/>
              </w:rPr>
              <w:t>90</w:t>
            </w:r>
          </w:p>
        </w:tc>
        <w:tc>
          <w:tcPr>
            <w:tcW w:w="316" w:type="pct"/>
            <w:vAlign w:val="center"/>
          </w:tcPr>
          <w:p w14:paraId="5F1D5513">
            <w:pPr>
              <w:jc w:val="center"/>
              <w:rPr>
                <w:rFonts w:ascii="Times New Roman" w:hAnsi="Times New Roman" w:cs="Times New Roman"/>
                <w:sz w:val="24"/>
                <w:szCs w:val="24"/>
              </w:rPr>
            </w:pPr>
            <w:r>
              <w:rPr>
                <w:rFonts w:ascii="Times New Roman" w:hAnsi="Times New Roman" w:cs="Times New Roman"/>
                <w:sz w:val="24"/>
                <w:szCs w:val="24"/>
              </w:rPr>
              <w:t>85</w:t>
            </w:r>
          </w:p>
        </w:tc>
        <w:tc>
          <w:tcPr>
            <w:tcW w:w="493" w:type="pct"/>
            <w:vAlign w:val="center"/>
          </w:tcPr>
          <w:p w14:paraId="0355B2EA">
            <w:pPr>
              <w:jc w:val="center"/>
              <w:rPr>
                <w:rFonts w:ascii="Times New Roman" w:hAnsi="Times New Roman" w:cs="Times New Roman"/>
                <w:sz w:val="24"/>
                <w:szCs w:val="24"/>
              </w:rPr>
            </w:pPr>
            <w:r>
              <w:rPr>
                <w:rFonts w:ascii="Times New Roman" w:hAnsi="Times New Roman" w:cs="Times New Roman"/>
                <w:sz w:val="24"/>
                <w:szCs w:val="24"/>
              </w:rPr>
              <w:t>82</w:t>
            </w:r>
          </w:p>
        </w:tc>
        <w:tc>
          <w:tcPr>
            <w:tcW w:w="320" w:type="pct"/>
            <w:shd w:val="clear" w:color="auto" w:fill="auto"/>
            <w:vAlign w:val="center"/>
          </w:tcPr>
          <w:p w14:paraId="09BD7BE6">
            <w:pPr>
              <w:jc w:val="center"/>
              <w:rPr>
                <w:rFonts w:ascii="Times New Roman" w:hAnsi="Times New Roman" w:cs="Times New Roman"/>
                <w:sz w:val="24"/>
                <w:szCs w:val="24"/>
              </w:rPr>
            </w:pPr>
            <w:r>
              <w:rPr>
                <w:rFonts w:ascii="Times New Roman" w:hAnsi="Times New Roman" w:cs="Times New Roman"/>
                <w:sz w:val="24"/>
                <w:szCs w:val="24"/>
              </w:rPr>
              <w:t>90</w:t>
            </w:r>
          </w:p>
        </w:tc>
        <w:tc>
          <w:tcPr>
            <w:tcW w:w="274" w:type="pct"/>
            <w:shd w:val="clear" w:color="auto" w:fill="auto"/>
            <w:vAlign w:val="center"/>
          </w:tcPr>
          <w:p w14:paraId="4546E592">
            <w:pPr>
              <w:jc w:val="center"/>
              <w:rPr>
                <w:rFonts w:ascii="Times New Roman" w:hAnsi="Times New Roman" w:cs="Times New Roman"/>
                <w:sz w:val="24"/>
                <w:szCs w:val="24"/>
              </w:rPr>
            </w:pPr>
            <w:r>
              <w:rPr>
                <w:rFonts w:ascii="Times New Roman" w:hAnsi="Times New Roman" w:cs="Times New Roman"/>
                <w:sz w:val="24"/>
                <w:szCs w:val="24"/>
              </w:rPr>
              <w:t>85</w:t>
            </w:r>
          </w:p>
        </w:tc>
        <w:tc>
          <w:tcPr>
            <w:tcW w:w="467" w:type="pct"/>
            <w:shd w:val="clear" w:color="auto" w:fill="auto"/>
            <w:vAlign w:val="center"/>
          </w:tcPr>
          <w:p w14:paraId="4BE1E2A9">
            <w:pPr>
              <w:jc w:val="center"/>
              <w:rPr>
                <w:rFonts w:ascii="Times New Roman" w:hAnsi="Times New Roman" w:cs="Times New Roman"/>
                <w:sz w:val="24"/>
                <w:szCs w:val="24"/>
              </w:rPr>
            </w:pPr>
            <w:r>
              <w:rPr>
                <w:rFonts w:ascii="Times New Roman" w:hAnsi="Times New Roman" w:cs="Times New Roman"/>
                <w:sz w:val="24"/>
                <w:szCs w:val="24"/>
              </w:rPr>
              <w:t>82</w:t>
            </w:r>
          </w:p>
        </w:tc>
      </w:tr>
      <w:tr w14:paraId="56EF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trPr>
        <w:tc>
          <w:tcPr>
            <w:tcW w:w="273" w:type="pct"/>
            <w:vMerge w:val="continue"/>
            <w:tcMar>
              <w:left w:w="28" w:type="dxa"/>
              <w:right w:w="28" w:type="dxa"/>
            </w:tcMar>
            <w:textDirection w:val="btLr"/>
            <w:vAlign w:val="center"/>
          </w:tcPr>
          <w:p w14:paraId="1B65FCFC">
            <w:pPr>
              <w:pStyle w:val="35"/>
              <w:shd w:val="clear" w:color="auto" w:fill="auto"/>
              <w:spacing w:line="240" w:lineRule="auto"/>
              <w:ind w:left="113" w:right="113"/>
              <w:jc w:val="center"/>
              <w:rPr>
                <w:rFonts w:ascii="Times New Roman" w:hAnsi="Times New Roman" w:cs="Times New Roman"/>
                <w:sz w:val="24"/>
                <w:szCs w:val="24"/>
              </w:rPr>
            </w:pPr>
          </w:p>
        </w:tc>
        <w:tc>
          <w:tcPr>
            <w:tcW w:w="288" w:type="pct"/>
            <w:tcMar>
              <w:left w:w="28" w:type="dxa"/>
              <w:right w:w="28" w:type="dxa"/>
            </w:tcMar>
            <w:vAlign w:val="center"/>
          </w:tcPr>
          <w:p w14:paraId="32A7160E">
            <w:pPr>
              <w:pStyle w:val="37"/>
              <w:shd w:val="clear" w:color="auto" w:fill="auto"/>
              <w:spacing w:after="0" w:line="240" w:lineRule="auto"/>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G12</w:t>
            </w:r>
          </w:p>
        </w:tc>
        <w:tc>
          <w:tcPr>
            <w:tcW w:w="1185" w:type="pct"/>
            <w:vAlign w:val="center"/>
          </w:tcPr>
          <w:p w14:paraId="4F05EE01">
            <w:pPr>
              <w:rPr>
                <w:rFonts w:ascii="Times New Roman" w:hAnsi="Times New Roman" w:cs="Times New Roman"/>
                <w:sz w:val="24"/>
                <w:szCs w:val="24"/>
              </w:rPr>
            </w:pPr>
            <w:r>
              <w:rPr>
                <w:rFonts w:ascii="Times New Roman" w:hAnsi="Times New Roman" w:cs="Times New Roman"/>
                <w:sz w:val="24"/>
                <w:szCs w:val="24"/>
              </w:rPr>
              <w:t>Biogaz provenit din digestia anaerobă, de la depozitele de deșeuri și de la instalațiile de epurare a apelor uzate</w:t>
            </w:r>
          </w:p>
        </w:tc>
        <w:tc>
          <w:tcPr>
            <w:tcW w:w="300" w:type="pct"/>
            <w:vAlign w:val="center"/>
          </w:tcPr>
          <w:p w14:paraId="31886AD0">
            <w:pPr>
              <w:jc w:val="center"/>
              <w:rPr>
                <w:rFonts w:ascii="Times New Roman" w:hAnsi="Times New Roman" w:cs="Times New Roman"/>
                <w:sz w:val="24"/>
                <w:szCs w:val="24"/>
              </w:rPr>
            </w:pPr>
            <w:r>
              <w:rPr>
                <w:rFonts w:ascii="Times New Roman" w:hAnsi="Times New Roman" w:cs="Times New Roman"/>
                <w:sz w:val="24"/>
                <w:szCs w:val="24"/>
              </w:rPr>
              <w:t>70</w:t>
            </w:r>
          </w:p>
        </w:tc>
        <w:tc>
          <w:tcPr>
            <w:tcW w:w="300" w:type="pct"/>
            <w:vAlign w:val="center"/>
          </w:tcPr>
          <w:p w14:paraId="59768E38">
            <w:pPr>
              <w:jc w:val="center"/>
              <w:rPr>
                <w:rFonts w:ascii="Times New Roman" w:hAnsi="Times New Roman" w:cs="Times New Roman"/>
                <w:sz w:val="24"/>
                <w:szCs w:val="24"/>
              </w:rPr>
            </w:pPr>
            <w:r>
              <w:rPr>
                <w:rFonts w:ascii="Times New Roman" w:hAnsi="Times New Roman" w:cs="Times New Roman"/>
                <w:sz w:val="24"/>
                <w:szCs w:val="24"/>
              </w:rPr>
              <w:t>65</w:t>
            </w:r>
          </w:p>
        </w:tc>
        <w:tc>
          <w:tcPr>
            <w:tcW w:w="499" w:type="pct"/>
            <w:vAlign w:val="center"/>
          </w:tcPr>
          <w:p w14:paraId="343AE052">
            <w:pPr>
              <w:jc w:val="center"/>
              <w:rPr>
                <w:rFonts w:ascii="Times New Roman" w:hAnsi="Times New Roman" w:cs="Times New Roman"/>
                <w:sz w:val="24"/>
                <w:szCs w:val="24"/>
              </w:rPr>
            </w:pPr>
            <w:r>
              <w:rPr>
                <w:rFonts w:ascii="Times New Roman" w:hAnsi="Times New Roman" w:cs="Times New Roman"/>
                <w:sz w:val="24"/>
                <w:szCs w:val="24"/>
              </w:rPr>
              <w:t>62</w:t>
            </w:r>
          </w:p>
        </w:tc>
        <w:tc>
          <w:tcPr>
            <w:tcW w:w="284" w:type="pct"/>
            <w:vAlign w:val="center"/>
          </w:tcPr>
          <w:p w14:paraId="51BC8BCB">
            <w:pPr>
              <w:jc w:val="center"/>
              <w:rPr>
                <w:rFonts w:ascii="Times New Roman" w:hAnsi="Times New Roman" w:cs="Times New Roman"/>
                <w:sz w:val="24"/>
                <w:szCs w:val="24"/>
              </w:rPr>
            </w:pPr>
            <w:r>
              <w:rPr>
                <w:rFonts w:ascii="Times New Roman" w:hAnsi="Times New Roman" w:cs="Times New Roman"/>
                <w:sz w:val="24"/>
                <w:szCs w:val="24"/>
              </w:rPr>
              <w:t>80</w:t>
            </w:r>
          </w:p>
        </w:tc>
        <w:tc>
          <w:tcPr>
            <w:tcW w:w="316" w:type="pct"/>
            <w:vAlign w:val="center"/>
          </w:tcPr>
          <w:p w14:paraId="494BDB10">
            <w:pPr>
              <w:jc w:val="center"/>
              <w:rPr>
                <w:rFonts w:ascii="Times New Roman" w:hAnsi="Times New Roman" w:cs="Times New Roman"/>
                <w:sz w:val="24"/>
                <w:szCs w:val="24"/>
              </w:rPr>
            </w:pPr>
            <w:r>
              <w:rPr>
                <w:rFonts w:ascii="Times New Roman" w:hAnsi="Times New Roman" w:cs="Times New Roman"/>
                <w:sz w:val="24"/>
                <w:szCs w:val="24"/>
              </w:rPr>
              <w:t>75</w:t>
            </w:r>
          </w:p>
        </w:tc>
        <w:tc>
          <w:tcPr>
            <w:tcW w:w="493" w:type="pct"/>
            <w:vAlign w:val="center"/>
          </w:tcPr>
          <w:p w14:paraId="7E1FD95D">
            <w:pPr>
              <w:jc w:val="center"/>
              <w:rPr>
                <w:rFonts w:ascii="Times New Roman" w:hAnsi="Times New Roman" w:cs="Times New Roman"/>
                <w:sz w:val="24"/>
                <w:szCs w:val="24"/>
              </w:rPr>
            </w:pPr>
            <w:r>
              <w:rPr>
                <w:rFonts w:ascii="Times New Roman" w:hAnsi="Times New Roman" w:cs="Times New Roman"/>
                <w:sz w:val="24"/>
                <w:szCs w:val="24"/>
              </w:rPr>
              <w:t>72</w:t>
            </w:r>
          </w:p>
        </w:tc>
        <w:tc>
          <w:tcPr>
            <w:tcW w:w="320" w:type="pct"/>
            <w:shd w:val="clear" w:color="auto" w:fill="auto"/>
            <w:vAlign w:val="center"/>
          </w:tcPr>
          <w:p w14:paraId="26E2BBD9">
            <w:pPr>
              <w:jc w:val="center"/>
              <w:rPr>
                <w:rFonts w:ascii="Times New Roman" w:hAnsi="Times New Roman" w:cs="Times New Roman"/>
                <w:sz w:val="24"/>
                <w:szCs w:val="24"/>
              </w:rPr>
            </w:pPr>
            <w:r>
              <w:rPr>
                <w:rFonts w:ascii="Times New Roman" w:hAnsi="Times New Roman" w:cs="Times New Roman"/>
                <w:sz w:val="24"/>
                <w:szCs w:val="24"/>
              </w:rPr>
              <w:t>80</w:t>
            </w:r>
          </w:p>
        </w:tc>
        <w:tc>
          <w:tcPr>
            <w:tcW w:w="274" w:type="pct"/>
            <w:shd w:val="clear" w:color="auto" w:fill="auto"/>
            <w:vAlign w:val="center"/>
          </w:tcPr>
          <w:p w14:paraId="634D3F6F">
            <w:pPr>
              <w:jc w:val="center"/>
              <w:rPr>
                <w:rFonts w:ascii="Times New Roman" w:hAnsi="Times New Roman" w:cs="Times New Roman"/>
                <w:sz w:val="24"/>
                <w:szCs w:val="24"/>
              </w:rPr>
            </w:pPr>
            <w:r>
              <w:rPr>
                <w:rFonts w:ascii="Times New Roman" w:hAnsi="Times New Roman" w:cs="Times New Roman"/>
                <w:sz w:val="24"/>
                <w:szCs w:val="24"/>
              </w:rPr>
              <w:t>75</w:t>
            </w:r>
          </w:p>
        </w:tc>
        <w:tc>
          <w:tcPr>
            <w:tcW w:w="467" w:type="pct"/>
            <w:shd w:val="clear" w:color="auto" w:fill="auto"/>
            <w:vAlign w:val="center"/>
          </w:tcPr>
          <w:p w14:paraId="258769BB">
            <w:pPr>
              <w:jc w:val="center"/>
              <w:rPr>
                <w:rFonts w:ascii="Times New Roman" w:hAnsi="Times New Roman" w:cs="Times New Roman"/>
                <w:sz w:val="24"/>
                <w:szCs w:val="24"/>
              </w:rPr>
            </w:pPr>
            <w:r>
              <w:rPr>
                <w:rFonts w:ascii="Times New Roman" w:hAnsi="Times New Roman" w:cs="Times New Roman"/>
                <w:sz w:val="24"/>
                <w:szCs w:val="24"/>
              </w:rPr>
              <w:t>72</w:t>
            </w:r>
          </w:p>
        </w:tc>
      </w:tr>
      <w:tr w14:paraId="4795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1" w:hRule="atLeast"/>
        </w:trPr>
        <w:tc>
          <w:tcPr>
            <w:tcW w:w="273" w:type="pct"/>
            <w:vMerge w:val="restart"/>
            <w:tcMar>
              <w:left w:w="28" w:type="dxa"/>
              <w:right w:w="28" w:type="dxa"/>
            </w:tcMar>
            <w:textDirection w:val="btLr"/>
            <w:vAlign w:val="center"/>
          </w:tcPr>
          <w:p w14:paraId="4D7E996F">
            <w:pPr>
              <w:pStyle w:val="37"/>
              <w:shd w:val="clear" w:color="auto" w:fill="auto"/>
              <w:spacing w:after="0" w:line="240" w:lineRule="auto"/>
              <w:ind w:left="113" w:right="60" w:firstLine="0"/>
              <w:jc w:val="center"/>
              <w:rPr>
                <w:rFonts w:ascii="Times New Roman" w:hAnsi="Times New Roman" w:cs="Times New Roman"/>
                <w:sz w:val="24"/>
                <w:szCs w:val="24"/>
              </w:rPr>
            </w:pPr>
            <w:r>
              <w:rPr>
                <w:rFonts w:ascii="Times New Roman" w:hAnsi="Times New Roman" w:cs="Times New Roman"/>
                <w:sz w:val="24"/>
                <w:szCs w:val="24"/>
              </w:rPr>
              <w:t>Alţi combustibili</w:t>
            </w:r>
          </w:p>
        </w:tc>
        <w:tc>
          <w:tcPr>
            <w:tcW w:w="288" w:type="pct"/>
            <w:shd w:val="clear" w:color="auto" w:fill="auto"/>
            <w:tcMar>
              <w:left w:w="28" w:type="dxa"/>
              <w:right w:w="28" w:type="dxa"/>
            </w:tcMar>
            <w:vAlign w:val="center"/>
          </w:tcPr>
          <w:p w14:paraId="0CD11404">
            <w:pPr>
              <w:pStyle w:val="37"/>
              <w:shd w:val="clear" w:color="auto" w:fill="auto"/>
              <w:spacing w:after="0" w:line="240" w:lineRule="auto"/>
              <w:ind w:left="5" w:firstLine="0"/>
              <w:jc w:val="center"/>
              <w:rPr>
                <w:rFonts w:ascii="Times New Roman" w:hAnsi="Times New Roman" w:cs="Times New Roman"/>
                <w:sz w:val="24"/>
                <w:szCs w:val="24"/>
                <w:lang w:eastAsia="en-US"/>
              </w:rPr>
            </w:pPr>
            <w:r>
              <w:rPr>
                <w:rStyle w:val="38"/>
                <w:rFonts w:ascii="Times New Roman" w:hAnsi="Times New Roman" w:cs="Times New Roman"/>
                <w:sz w:val="24"/>
                <w:szCs w:val="24"/>
              </w:rPr>
              <w:t>O13</w:t>
            </w:r>
          </w:p>
        </w:tc>
        <w:tc>
          <w:tcPr>
            <w:tcW w:w="1185" w:type="pct"/>
            <w:shd w:val="clear" w:color="auto" w:fill="auto"/>
            <w:vAlign w:val="center"/>
          </w:tcPr>
          <w:p w14:paraId="4BF98504">
            <w:pPr>
              <w:rPr>
                <w:rFonts w:ascii="Times New Roman" w:hAnsi="Times New Roman" w:cs="Times New Roman"/>
                <w:sz w:val="24"/>
                <w:szCs w:val="24"/>
              </w:rPr>
            </w:pPr>
            <w:r>
              <w:rPr>
                <w:rFonts w:ascii="Times New Roman" w:hAnsi="Times New Roman" w:cs="Times New Roman"/>
                <w:sz w:val="24"/>
                <w:szCs w:val="24"/>
              </w:rPr>
              <w:t>Căldura reziduală, inclusiv gazele de evacuare rezultate din procese, produs al reacțiilor chimice exoterme (temperatura de intrare ˃200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tc>
        <w:tc>
          <w:tcPr>
            <w:tcW w:w="300" w:type="pct"/>
            <w:vAlign w:val="center"/>
          </w:tcPr>
          <w:p w14:paraId="3E70C0B2">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vAlign w:val="center"/>
          </w:tcPr>
          <w:p w14:paraId="069D4921">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vAlign w:val="center"/>
          </w:tcPr>
          <w:p w14:paraId="5B0B3002">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vAlign w:val="center"/>
          </w:tcPr>
          <w:p w14:paraId="573D9F55">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72165B37">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5EB636ED">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0F661C4F">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5B58BFFD">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76CA3D13">
            <w:pPr>
              <w:jc w:val="center"/>
              <w:rPr>
                <w:rFonts w:ascii="Times New Roman" w:hAnsi="Times New Roman" w:cs="Times New Roman"/>
                <w:sz w:val="24"/>
                <w:szCs w:val="24"/>
              </w:rPr>
            </w:pPr>
            <w:r>
              <w:rPr>
                <w:rFonts w:ascii="Times New Roman" w:hAnsi="Times New Roman" w:cs="Times New Roman"/>
                <w:sz w:val="24"/>
                <w:szCs w:val="24"/>
              </w:rPr>
              <w:t>-</w:t>
            </w:r>
          </w:p>
        </w:tc>
      </w:tr>
      <w:tr w14:paraId="7888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1" w:hRule="atLeast"/>
        </w:trPr>
        <w:tc>
          <w:tcPr>
            <w:tcW w:w="273" w:type="pct"/>
            <w:vMerge w:val="continue"/>
            <w:tcMar>
              <w:left w:w="28" w:type="dxa"/>
              <w:right w:w="28" w:type="dxa"/>
            </w:tcMar>
            <w:textDirection w:val="btLr"/>
            <w:vAlign w:val="center"/>
          </w:tcPr>
          <w:p w14:paraId="605FFD0A">
            <w:pPr>
              <w:pStyle w:val="37"/>
              <w:shd w:val="clear" w:color="auto" w:fill="auto"/>
              <w:spacing w:after="0" w:line="240" w:lineRule="auto"/>
              <w:ind w:left="113" w:right="60" w:firstLine="0"/>
              <w:jc w:val="center"/>
              <w:rPr>
                <w:rFonts w:ascii="Times New Roman" w:hAnsi="Times New Roman" w:cs="Times New Roman"/>
                <w:sz w:val="24"/>
                <w:szCs w:val="24"/>
              </w:rPr>
            </w:pPr>
          </w:p>
        </w:tc>
        <w:tc>
          <w:tcPr>
            <w:tcW w:w="288" w:type="pct"/>
            <w:shd w:val="clear" w:color="auto" w:fill="auto"/>
            <w:tcMar>
              <w:left w:w="28" w:type="dxa"/>
              <w:right w:w="28" w:type="dxa"/>
            </w:tcMar>
            <w:vAlign w:val="center"/>
          </w:tcPr>
          <w:p w14:paraId="5D7B59C6">
            <w:pPr>
              <w:pStyle w:val="37"/>
              <w:shd w:val="clear" w:color="auto" w:fill="auto"/>
              <w:spacing w:after="0" w:line="240" w:lineRule="auto"/>
              <w:ind w:left="5" w:firstLine="0"/>
              <w:jc w:val="center"/>
              <w:rPr>
                <w:rFonts w:ascii="Times New Roman" w:hAnsi="Times New Roman" w:cs="Times New Roman"/>
                <w:sz w:val="24"/>
                <w:szCs w:val="24"/>
              </w:rPr>
            </w:pPr>
            <w:r>
              <w:rPr>
                <w:rStyle w:val="38"/>
                <w:rFonts w:ascii="Times New Roman" w:hAnsi="Times New Roman" w:cs="Times New Roman"/>
                <w:sz w:val="24"/>
                <w:szCs w:val="24"/>
              </w:rPr>
              <w:t>O14</w:t>
            </w:r>
          </w:p>
        </w:tc>
        <w:tc>
          <w:tcPr>
            <w:tcW w:w="1185" w:type="pct"/>
            <w:shd w:val="clear" w:color="auto" w:fill="auto"/>
            <w:vAlign w:val="center"/>
          </w:tcPr>
          <w:p w14:paraId="602FE568">
            <w:pPr>
              <w:rPr>
                <w:rFonts w:ascii="Times New Roman" w:hAnsi="Times New Roman" w:cs="Times New Roman"/>
                <w:sz w:val="24"/>
                <w:szCs w:val="24"/>
              </w:rPr>
            </w:pPr>
            <w:r>
              <w:rPr>
                <w:rFonts w:ascii="Times New Roman" w:hAnsi="Times New Roman" w:cs="Times New Roman"/>
                <w:sz w:val="24"/>
                <w:szCs w:val="24"/>
              </w:rPr>
              <w:t>Căldura reziduală, inclusiv gazele de evacuare rezultate din procese, produs al reacțiilor chimice exoterme (temperatura de intrare &lt;200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tc>
        <w:tc>
          <w:tcPr>
            <w:tcW w:w="300" w:type="pct"/>
            <w:shd w:val="clear" w:color="auto" w:fill="auto"/>
            <w:vAlign w:val="center"/>
          </w:tcPr>
          <w:p w14:paraId="2880B6E0">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shd w:val="clear" w:color="auto" w:fill="auto"/>
            <w:vAlign w:val="center"/>
          </w:tcPr>
          <w:p w14:paraId="6CF47F05">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shd w:val="clear" w:color="auto" w:fill="auto"/>
            <w:vAlign w:val="center"/>
          </w:tcPr>
          <w:p w14:paraId="7AB9E63D">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shd w:val="clear" w:color="auto" w:fill="auto"/>
            <w:vAlign w:val="center"/>
          </w:tcPr>
          <w:p w14:paraId="48C2A314">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shd w:val="clear" w:color="auto" w:fill="auto"/>
            <w:vAlign w:val="center"/>
          </w:tcPr>
          <w:p w14:paraId="6DF705E9">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shd w:val="clear" w:color="auto" w:fill="auto"/>
            <w:vAlign w:val="center"/>
          </w:tcPr>
          <w:p w14:paraId="38AABF12">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0970E019">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4A51C84B">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3E7DBB57">
            <w:pPr>
              <w:jc w:val="center"/>
              <w:rPr>
                <w:rFonts w:ascii="Times New Roman" w:hAnsi="Times New Roman" w:cs="Times New Roman"/>
                <w:sz w:val="24"/>
                <w:szCs w:val="24"/>
              </w:rPr>
            </w:pPr>
            <w:r>
              <w:rPr>
                <w:rFonts w:ascii="Times New Roman" w:hAnsi="Times New Roman" w:cs="Times New Roman"/>
                <w:sz w:val="24"/>
                <w:szCs w:val="24"/>
              </w:rPr>
              <w:t>-</w:t>
            </w:r>
          </w:p>
        </w:tc>
      </w:tr>
      <w:tr w14:paraId="64D9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73" w:type="pct"/>
            <w:vMerge w:val="continue"/>
          </w:tcPr>
          <w:p w14:paraId="324C249E">
            <w:pPr>
              <w:pStyle w:val="37"/>
              <w:shd w:val="clear" w:color="auto" w:fill="auto"/>
              <w:spacing w:after="0" w:line="240" w:lineRule="auto"/>
              <w:ind w:right="60" w:firstLine="0"/>
              <w:jc w:val="center"/>
              <w:rPr>
                <w:rFonts w:ascii="Times New Roman" w:hAnsi="Times New Roman" w:cs="Times New Roman"/>
                <w:sz w:val="24"/>
                <w:szCs w:val="24"/>
              </w:rPr>
            </w:pPr>
          </w:p>
        </w:tc>
        <w:tc>
          <w:tcPr>
            <w:tcW w:w="288" w:type="pct"/>
            <w:tcMar>
              <w:left w:w="28" w:type="dxa"/>
              <w:right w:w="28" w:type="dxa"/>
            </w:tcMar>
            <w:vAlign w:val="center"/>
          </w:tcPr>
          <w:p w14:paraId="2E257CF8">
            <w:pPr>
              <w:pStyle w:val="37"/>
              <w:shd w:val="clear" w:color="auto" w:fill="auto"/>
              <w:spacing w:after="0" w:line="168" w:lineRule="exact"/>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O15</w:t>
            </w:r>
          </w:p>
        </w:tc>
        <w:tc>
          <w:tcPr>
            <w:tcW w:w="1185" w:type="pct"/>
            <w:vAlign w:val="center"/>
          </w:tcPr>
          <w:p w14:paraId="6F37F914">
            <w:pPr>
              <w:rPr>
                <w:rFonts w:ascii="Times New Roman" w:hAnsi="Times New Roman" w:cs="Times New Roman"/>
                <w:sz w:val="24"/>
                <w:szCs w:val="24"/>
              </w:rPr>
            </w:pPr>
            <w:r>
              <w:rPr>
                <w:rFonts w:ascii="Times New Roman" w:hAnsi="Times New Roman" w:cs="Times New Roman"/>
                <w:sz w:val="24"/>
                <w:szCs w:val="24"/>
              </w:rPr>
              <w:t>Energie termică solară</w:t>
            </w:r>
          </w:p>
        </w:tc>
        <w:tc>
          <w:tcPr>
            <w:tcW w:w="300" w:type="pct"/>
            <w:vAlign w:val="center"/>
          </w:tcPr>
          <w:p w14:paraId="515B5CF1">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vAlign w:val="center"/>
          </w:tcPr>
          <w:p w14:paraId="390959F3">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vAlign w:val="center"/>
          </w:tcPr>
          <w:p w14:paraId="36CC954C">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vAlign w:val="center"/>
          </w:tcPr>
          <w:p w14:paraId="61884C2A">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44DED301">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3351AED9">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5FAD7A5F">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1D3C698D">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31AA144D">
            <w:pPr>
              <w:jc w:val="center"/>
              <w:rPr>
                <w:rFonts w:ascii="Times New Roman" w:hAnsi="Times New Roman" w:cs="Times New Roman"/>
                <w:sz w:val="24"/>
                <w:szCs w:val="24"/>
              </w:rPr>
            </w:pPr>
            <w:r>
              <w:rPr>
                <w:rFonts w:ascii="Times New Roman" w:hAnsi="Times New Roman" w:cs="Times New Roman"/>
                <w:sz w:val="24"/>
                <w:szCs w:val="24"/>
              </w:rPr>
              <w:t>-</w:t>
            </w:r>
          </w:p>
        </w:tc>
      </w:tr>
      <w:tr w14:paraId="7157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73" w:type="pct"/>
            <w:vMerge w:val="continue"/>
          </w:tcPr>
          <w:p w14:paraId="08D4989B">
            <w:pPr>
              <w:pStyle w:val="37"/>
              <w:shd w:val="clear" w:color="auto" w:fill="auto"/>
              <w:spacing w:after="0" w:line="240" w:lineRule="auto"/>
              <w:ind w:right="60" w:firstLine="0"/>
              <w:jc w:val="center"/>
              <w:rPr>
                <w:rFonts w:ascii="Times New Roman" w:hAnsi="Times New Roman" w:cs="Times New Roman"/>
                <w:sz w:val="24"/>
                <w:szCs w:val="24"/>
              </w:rPr>
            </w:pPr>
          </w:p>
        </w:tc>
        <w:tc>
          <w:tcPr>
            <w:tcW w:w="288" w:type="pct"/>
            <w:tcMar>
              <w:left w:w="28" w:type="dxa"/>
              <w:right w:w="28" w:type="dxa"/>
            </w:tcMar>
            <w:vAlign w:val="center"/>
          </w:tcPr>
          <w:p w14:paraId="5EEF2C14">
            <w:pPr>
              <w:pStyle w:val="37"/>
              <w:shd w:val="clear" w:color="auto" w:fill="auto"/>
              <w:spacing w:after="0" w:line="168" w:lineRule="exact"/>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O16</w:t>
            </w:r>
          </w:p>
        </w:tc>
        <w:tc>
          <w:tcPr>
            <w:tcW w:w="1185" w:type="pct"/>
            <w:vAlign w:val="center"/>
          </w:tcPr>
          <w:p w14:paraId="187AD6D5">
            <w:pPr>
              <w:rPr>
                <w:rFonts w:ascii="Times New Roman" w:hAnsi="Times New Roman" w:cs="Times New Roman"/>
                <w:sz w:val="24"/>
                <w:szCs w:val="24"/>
              </w:rPr>
            </w:pPr>
            <w:r>
              <w:rPr>
                <w:rFonts w:ascii="Times New Roman" w:hAnsi="Times New Roman" w:cs="Times New Roman"/>
                <w:sz w:val="24"/>
                <w:szCs w:val="24"/>
              </w:rPr>
              <w:t>Energie geotermică</w:t>
            </w:r>
          </w:p>
        </w:tc>
        <w:tc>
          <w:tcPr>
            <w:tcW w:w="300" w:type="pct"/>
            <w:vAlign w:val="center"/>
          </w:tcPr>
          <w:p w14:paraId="3B905B82">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vAlign w:val="center"/>
          </w:tcPr>
          <w:p w14:paraId="2C13518F">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vAlign w:val="center"/>
          </w:tcPr>
          <w:p w14:paraId="7C2CB1CA">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vAlign w:val="center"/>
          </w:tcPr>
          <w:p w14:paraId="59AD803A">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701D15FF">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26E1CB2E">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3F3C5AC9">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097397E8">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32974C50">
            <w:pPr>
              <w:jc w:val="center"/>
              <w:rPr>
                <w:rFonts w:ascii="Times New Roman" w:hAnsi="Times New Roman" w:cs="Times New Roman"/>
                <w:sz w:val="24"/>
                <w:szCs w:val="24"/>
              </w:rPr>
            </w:pPr>
            <w:r>
              <w:rPr>
                <w:rFonts w:ascii="Times New Roman" w:hAnsi="Times New Roman" w:cs="Times New Roman"/>
                <w:sz w:val="24"/>
                <w:szCs w:val="24"/>
              </w:rPr>
              <w:t>-</w:t>
            </w:r>
          </w:p>
        </w:tc>
      </w:tr>
      <w:tr w14:paraId="258D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trPr>
        <w:tc>
          <w:tcPr>
            <w:tcW w:w="273" w:type="pct"/>
            <w:vMerge w:val="continue"/>
          </w:tcPr>
          <w:p w14:paraId="43D42E99">
            <w:pPr>
              <w:pStyle w:val="37"/>
              <w:shd w:val="clear" w:color="auto" w:fill="auto"/>
              <w:spacing w:after="0" w:line="240" w:lineRule="auto"/>
              <w:ind w:right="60" w:firstLine="0"/>
              <w:jc w:val="center"/>
              <w:rPr>
                <w:rFonts w:ascii="Times New Roman" w:hAnsi="Times New Roman" w:cs="Times New Roman"/>
                <w:sz w:val="24"/>
                <w:szCs w:val="24"/>
              </w:rPr>
            </w:pPr>
          </w:p>
        </w:tc>
        <w:tc>
          <w:tcPr>
            <w:tcW w:w="288" w:type="pct"/>
            <w:tcMar>
              <w:left w:w="28" w:type="dxa"/>
              <w:right w:w="28" w:type="dxa"/>
            </w:tcMar>
            <w:vAlign w:val="center"/>
          </w:tcPr>
          <w:p w14:paraId="3E0C7807">
            <w:pPr>
              <w:pStyle w:val="37"/>
              <w:shd w:val="clear" w:color="auto" w:fill="auto"/>
              <w:spacing w:after="0" w:line="168" w:lineRule="exact"/>
              <w:ind w:left="-24" w:firstLine="0"/>
              <w:jc w:val="center"/>
              <w:rPr>
                <w:rStyle w:val="38"/>
                <w:rFonts w:ascii="Times New Roman" w:hAnsi="Times New Roman" w:cs="Times New Roman"/>
                <w:sz w:val="24"/>
                <w:szCs w:val="24"/>
                <w:lang w:eastAsia="en-US"/>
              </w:rPr>
            </w:pPr>
            <w:r>
              <w:rPr>
                <w:rStyle w:val="38"/>
                <w:rFonts w:ascii="Times New Roman" w:hAnsi="Times New Roman" w:cs="Times New Roman"/>
                <w:sz w:val="24"/>
                <w:szCs w:val="24"/>
              </w:rPr>
              <w:t>O17</w:t>
            </w:r>
          </w:p>
        </w:tc>
        <w:tc>
          <w:tcPr>
            <w:tcW w:w="1185" w:type="pct"/>
            <w:vAlign w:val="center"/>
          </w:tcPr>
          <w:p w14:paraId="7F657337">
            <w:pPr>
              <w:rPr>
                <w:rFonts w:ascii="Times New Roman" w:hAnsi="Times New Roman" w:cs="Times New Roman"/>
                <w:sz w:val="24"/>
                <w:szCs w:val="24"/>
              </w:rPr>
            </w:pPr>
            <w:r>
              <w:rPr>
                <w:rFonts w:ascii="Times New Roman" w:hAnsi="Times New Roman" w:cs="Times New Roman"/>
                <w:color w:val="000000"/>
                <w:sz w:val="24"/>
                <w:szCs w:val="24"/>
              </w:rPr>
              <w:t>Alți combustibili care nu au fost menționați anterior</w:t>
            </w:r>
          </w:p>
        </w:tc>
        <w:tc>
          <w:tcPr>
            <w:tcW w:w="300" w:type="pct"/>
            <w:vAlign w:val="center"/>
          </w:tcPr>
          <w:p w14:paraId="7201FA8A">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vAlign w:val="center"/>
          </w:tcPr>
          <w:p w14:paraId="50F5802F">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vAlign w:val="center"/>
          </w:tcPr>
          <w:p w14:paraId="7543753F">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vAlign w:val="center"/>
          </w:tcPr>
          <w:p w14:paraId="37F5DA7D">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6DCBB6C3">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3B2F5060">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212B3E54">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1302F2FC">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7330788C">
            <w:pPr>
              <w:jc w:val="center"/>
              <w:rPr>
                <w:rFonts w:ascii="Times New Roman" w:hAnsi="Times New Roman" w:cs="Times New Roman"/>
                <w:sz w:val="24"/>
                <w:szCs w:val="24"/>
              </w:rPr>
            </w:pPr>
            <w:r>
              <w:rPr>
                <w:rFonts w:ascii="Times New Roman" w:hAnsi="Times New Roman" w:cs="Times New Roman"/>
                <w:sz w:val="24"/>
                <w:szCs w:val="24"/>
              </w:rPr>
              <w:t>-</w:t>
            </w:r>
          </w:p>
        </w:tc>
      </w:tr>
    </w:tbl>
    <w:p w14:paraId="0EAD497B">
      <w:pPr>
        <w:spacing w:after="0" w:line="240" w:lineRule="auto"/>
        <w:ind w:right="-739"/>
        <w:jc w:val="right"/>
        <w:rPr>
          <w:rFonts w:ascii="Times New Roman" w:hAnsi="Times New Roman" w:cs="Times New Roman"/>
          <w:b/>
          <w:bCs/>
          <w:i/>
          <w:iCs/>
          <w:sz w:val="24"/>
          <w:szCs w:val="24"/>
          <w:lang w:val="ro-RO"/>
        </w:rPr>
      </w:pPr>
    </w:p>
    <w:sectPr>
      <w:pgSz w:w="16838" w:h="11906" w:orient="landscape"/>
      <w:pgMar w:top="709" w:right="1134" w:bottom="568"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EUAlbertina">
    <w:altName w:val="Cambria"/>
    <w:panose1 w:val="00000000000000000000"/>
    <w:charset w:val="00"/>
    <w:family w:val="roman"/>
    <w:pitch w:val="default"/>
    <w:sig w:usb0="00000000" w:usb1="00000000" w:usb2="00000000" w:usb3="00000000" w:csb0="0000000B" w:csb1="00000000"/>
  </w:font>
  <w:font w:name="Calibri">
    <w:panose1 w:val="020F0502020204030204"/>
    <w:charset w:val="CC"/>
    <w:family w:val="swiss"/>
    <w:pitch w:val="default"/>
    <w:sig w:usb0="E4002EFF" w:usb1="C000247B" w:usb2="00000009" w:usb3="00000000" w:csb0="200001FF" w:csb1="00000000"/>
  </w:font>
  <w:font w:name="Palatino Linotype">
    <w:panose1 w:val="02040502050505030304"/>
    <w:charset w:val="CC"/>
    <w:family w:val="roman"/>
    <w:pitch w:val="default"/>
    <w:sig w:usb0="E0000287" w:usb1="40000013" w:usb2="00000000" w:usb3="00000000" w:csb0="2000019F"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71886"/>
    <w:multiLevelType w:val="multilevel"/>
    <w:tmpl w:val="5F2718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75"/>
    <w:rsid w:val="000572EA"/>
    <w:rsid w:val="00076A28"/>
    <w:rsid w:val="001A0A07"/>
    <w:rsid w:val="00211DFB"/>
    <w:rsid w:val="0039130D"/>
    <w:rsid w:val="003C59CB"/>
    <w:rsid w:val="004D426A"/>
    <w:rsid w:val="00617968"/>
    <w:rsid w:val="008E1154"/>
    <w:rsid w:val="00917847"/>
    <w:rsid w:val="009C498D"/>
    <w:rsid w:val="00A069F8"/>
    <w:rsid w:val="00B64E01"/>
    <w:rsid w:val="00BE7BBF"/>
    <w:rsid w:val="00C26F2B"/>
    <w:rsid w:val="00DD634E"/>
    <w:rsid w:val="00ED5C75"/>
    <w:rsid w:val="00F275F2"/>
    <w:rsid w:val="0126580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eastAsia="SimSun" w:asciiTheme="minorHAnsi" w:hAnsiTheme="minorHAnsi" w:cstheme="minorBidi"/>
      <w:sz w:val="22"/>
      <w:szCs w:val="22"/>
      <w:lang w:val="zh-C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basedOn w:val="1"/>
    <w:link w:val="21"/>
    <w:qFormat/>
    <w:uiPriority w:val="99"/>
    <w:pPr>
      <w:spacing w:after="0" w:line="240" w:lineRule="auto"/>
      <w:ind w:firstLine="567"/>
      <w:jc w:val="both"/>
    </w:pPr>
    <w:rPr>
      <w:rFonts w:ascii="Times New Roman" w:hAnsi="Times New Roman" w:eastAsia="Times New Roman" w:cs="Times New Roman"/>
      <w:sz w:val="24"/>
      <w:szCs w:val="24"/>
      <w:lang w:val="ro-RO" w:eastAsia="ru-RU"/>
    </w:rPr>
  </w:style>
  <w:style w:type="table" w:styleId="6">
    <w:name w:val="Table Grid"/>
    <w:basedOn w:val="3"/>
    <w:qFormat/>
    <w:uiPriority w:val="3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iPriority w:val="0"/>
    <w:pPr>
      <w:autoSpaceDE w:val="0"/>
      <w:autoSpaceDN w:val="0"/>
      <w:adjustRightInd w:val="0"/>
      <w:spacing w:after="0" w:line="240" w:lineRule="auto"/>
    </w:pPr>
    <w:rPr>
      <w:rFonts w:ascii="EUAlbertina" w:hAnsi="EUAlbertina" w:eastAsia="SimSun" w:cs="EUAlbertina"/>
      <w:color w:val="000000"/>
      <w:sz w:val="24"/>
      <w:szCs w:val="24"/>
      <w:lang w:val="en-US" w:eastAsia="en-US" w:bidi="ar-SA"/>
    </w:rPr>
  </w:style>
  <w:style w:type="paragraph" w:customStyle="1" w:styleId="8">
    <w:name w:val="CM4"/>
    <w:basedOn w:val="7"/>
    <w:next w:val="7"/>
    <w:uiPriority w:val="99"/>
    <w:rPr>
      <w:rFonts w:cstheme="minorBidi"/>
      <w:color w:val="auto"/>
    </w:rPr>
  </w:style>
  <w:style w:type="paragraph" w:customStyle="1" w:styleId="9">
    <w:name w:val="tt"/>
    <w:basedOn w:val="1"/>
    <w:uiPriority w:val="0"/>
    <w:pPr>
      <w:spacing w:after="0" w:line="240" w:lineRule="auto"/>
      <w:jc w:val="center"/>
    </w:pPr>
    <w:rPr>
      <w:rFonts w:ascii="Times New Roman" w:hAnsi="Times New Roman" w:eastAsia="Times New Roman" w:cs="Times New Roman"/>
      <w:b/>
      <w:bCs/>
      <w:sz w:val="24"/>
      <w:szCs w:val="24"/>
      <w:lang w:val="ro-RO" w:eastAsia="ru-RU"/>
    </w:rPr>
  </w:style>
  <w:style w:type="paragraph" w:styleId="10">
    <w:name w:val="List Paragraph"/>
    <w:basedOn w:val="1"/>
    <w:link w:val="20"/>
    <w:qFormat/>
    <w:uiPriority w:val="34"/>
    <w:pPr>
      <w:ind w:left="720"/>
      <w:contextualSpacing/>
    </w:pPr>
  </w:style>
  <w:style w:type="paragraph" w:customStyle="1" w:styleId="11">
    <w:name w:val="doc-ti"/>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12">
    <w:name w:val="ti-grseq-1"/>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13">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14">
    <w:name w:val="italic"/>
    <w:basedOn w:val="2"/>
    <w:uiPriority w:val="0"/>
  </w:style>
  <w:style w:type="paragraph" w:customStyle="1" w:styleId="15">
    <w:name w:val="image"/>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16">
    <w:name w:val="super"/>
    <w:basedOn w:val="2"/>
    <w:uiPriority w:val="0"/>
  </w:style>
  <w:style w:type="character" w:customStyle="1" w:styleId="17">
    <w:name w:val="sub"/>
    <w:basedOn w:val="2"/>
    <w:uiPriority w:val="0"/>
  </w:style>
  <w:style w:type="paragraph" w:customStyle="1" w:styleId="18">
    <w:name w:val="tbl-hdr"/>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19">
    <w:name w:val="note"/>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20">
    <w:name w:val="Listă paragraf Caracter"/>
    <w:basedOn w:val="2"/>
    <w:link w:val="10"/>
    <w:qFormat/>
    <w:uiPriority w:val="34"/>
  </w:style>
  <w:style w:type="character" w:customStyle="1" w:styleId="21">
    <w:name w:val="Normal (Web) Caracter"/>
    <w:basedOn w:val="2"/>
    <w:link w:val="5"/>
    <w:qFormat/>
    <w:uiPriority w:val="99"/>
    <w:rPr>
      <w:rFonts w:ascii="Times New Roman" w:hAnsi="Times New Roman" w:eastAsia="Times New Roman" w:cs="Times New Roman"/>
      <w:sz w:val="24"/>
      <w:szCs w:val="24"/>
      <w:lang w:val="ro-RO" w:eastAsia="ru-RU"/>
    </w:rPr>
  </w:style>
  <w:style w:type="paragraph" w:customStyle="1" w:styleId="22">
    <w:name w:val="oj-ti-art"/>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23">
    <w:name w:val="oj-normal"/>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24">
    <w:name w:val="oj-italic"/>
    <w:basedOn w:val="2"/>
    <w:uiPriority w:val="0"/>
  </w:style>
  <w:style w:type="paragraph" w:customStyle="1" w:styleId="25">
    <w:name w:val="oj-signatory"/>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26">
    <w:name w:val="oj-doc-ti"/>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27">
    <w:name w:val="oj-tbl-hdr"/>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28">
    <w:name w:val="oj-tbl-txt"/>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29">
    <w:name w:val="oj-bold"/>
    <w:basedOn w:val="2"/>
    <w:uiPriority w:val="0"/>
  </w:style>
  <w:style w:type="paragraph" w:customStyle="1" w:styleId="30">
    <w:name w:val="oj-tbl-num"/>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customStyle="1" w:styleId="31">
    <w:name w:val="oj-super"/>
    <w:basedOn w:val="2"/>
    <w:uiPriority w:val="0"/>
  </w:style>
  <w:style w:type="paragraph" w:customStyle="1" w:styleId="32">
    <w:name w:val="oj-note"/>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33">
    <w:name w:val="Annexe titre"/>
    <w:basedOn w:val="1"/>
    <w:next w:val="1"/>
    <w:qFormat/>
    <w:uiPriority w:val="99"/>
    <w:pPr>
      <w:spacing w:before="120" w:after="120"/>
      <w:jc w:val="center"/>
    </w:pPr>
    <w:rPr>
      <w:rFonts w:eastAsia="Calibri"/>
      <w:b/>
      <w:bCs/>
      <w:sz w:val="24"/>
      <w:szCs w:val="24"/>
      <w:u w:val="single"/>
      <w:lang w:val="ro-RO" w:eastAsia="ro-RO"/>
    </w:rPr>
  </w:style>
  <w:style w:type="character" w:customStyle="1" w:styleId="34">
    <w:name w:val="Body text (3)5"/>
    <w:qFormat/>
    <w:uiPriority w:val="99"/>
    <w:rPr>
      <w:rFonts w:ascii="Palatino Linotype" w:hAnsi="Palatino Linotype" w:cs="Palatino Linotype"/>
      <w:b/>
      <w:bCs/>
      <w:sz w:val="16"/>
      <w:szCs w:val="16"/>
    </w:rPr>
  </w:style>
  <w:style w:type="paragraph" w:customStyle="1" w:styleId="35">
    <w:name w:val="Body text (5)1"/>
    <w:basedOn w:val="1"/>
    <w:qFormat/>
    <w:uiPriority w:val="99"/>
    <w:pPr>
      <w:shd w:val="clear" w:color="auto" w:fill="FFFFFF"/>
      <w:spacing w:line="240" w:lineRule="atLeast"/>
      <w:jc w:val="both"/>
    </w:pPr>
    <w:rPr>
      <w:rFonts w:ascii="Palatino Linotype" w:hAnsi="Palatino Linotype" w:cs="Palatino Linotype" w:eastAsiaTheme="minorHAnsi"/>
      <w:sz w:val="12"/>
      <w:szCs w:val="12"/>
      <w:lang w:val="ro-RO" w:eastAsia="ro-RO"/>
    </w:rPr>
  </w:style>
  <w:style w:type="character" w:customStyle="1" w:styleId="36">
    <w:name w:val="Body text (5)"/>
    <w:qFormat/>
    <w:uiPriority w:val="99"/>
    <w:rPr>
      <w:rFonts w:ascii="Palatino Linotype" w:hAnsi="Palatino Linotype" w:cs="Palatino Linotype"/>
      <w:sz w:val="12"/>
      <w:szCs w:val="12"/>
    </w:rPr>
  </w:style>
  <w:style w:type="paragraph" w:customStyle="1" w:styleId="37">
    <w:name w:val="Body text (4)1"/>
    <w:basedOn w:val="1"/>
    <w:qFormat/>
    <w:uiPriority w:val="99"/>
    <w:pPr>
      <w:shd w:val="clear" w:color="auto" w:fill="FFFFFF"/>
      <w:spacing w:after="480" w:line="240" w:lineRule="atLeast"/>
      <w:ind w:hanging="400"/>
      <w:jc w:val="both"/>
    </w:pPr>
    <w:rPr>
      <w:rFonts w:ascii="Palatino Linotype" w:hAnsi="Palatino Linotype" w:cs="Palatino Linotype" w:eastAsiaTheme="minorHAnsi"/>
      <w:sz w:val="14"/>
      <w:szCs w:val="14"/>
      <w:lang w:val="ro-RO" w:eastAsia="ro-RO"/>
    </w:rPr>
  </w:style>
  <w:style w:type="character" w:customStyle="1" w:styleId="38">
    <w:name w:val="Body text (4)5"/>
    <w:qFormat/>
    <w:uiPriority w:val="99"/>
    <w:rPr>
      <w:rFonts w:ascii="Palatino Linotype" w:hAnsi="Palatino Linotype" w:cs="Palatino Linotype"/>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2417</Words>
  <Characters>14023</Characters>
  <Lines>116</Lines>
  <Paragraphs>32</Paragraphs>
  <TotalTime>64</TotalTime>
  <ScaleCrop>false</ScaleCrop>
  <LinksUpToDate>false</LinksUpToDate>
  <CharactersWithSpaces>16408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2024-12-30T10:11:00Z</dcterms:created>
  <dc:creator>Adrian Crasnobaev</dc:creator>
  <cp:lastModifiedBy>Adrian Crasnobaev</cp:lastModifiedBy>
  <dcterms:modified xsi:type="dcterms:W3CDTF">2024-12-30T14:08:30Z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9284BCDF1B4E4CEC8BE943FF33A65C67_12</vt:lpwstr>
  </property>
</Properties>
</file>