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0642" w:rsidRPr="00282ACB" w:rsidRDefault="00D70642" w:rsidP="00FB03B0">
      <w:pPr>
        <w:pStyle w:val="NoSpacing"/>
        <w:jc w:val="center"/>
        <w:rPr>
          <w:rFonts w:ascii="Times New Roman" w:hAnsi="Times New Roman"/>
          <w:b/>
          <w:sz w:val="28"/>
          <w:szCs w:val="28"/>
          <w:lang w:val="ro-RO"/>
        </w:rPr>
      </w:pPr>
      <w:r w:rsidRPr="00282ACB">
        <w:rPr>
          <w:rFonts w:ascii="Times New Roman" w:hAnsi="Times New Roman"/>
          <w:b/>
          <w:sz w:val="28"/>
          <w:szCs w:val="28"/>
          <w:lang w:val="ro-RO"/>
        </w:rPr>
        <w:t>Tabelul de sinteză</w:t>
      </w:r>
    </w:p>
    <w:p w:rsidR="00D70642" w:rsidRPr="00282ACB" w:rsidRDefault="00D70642" w:rsidP="00FB03B0">
      <w:pPr>
        <w:pStyle w:val="NoSpacing"/>
        <w:jc w:val="center"/>
        <w:rPr>
          <w:rFonts w:ascii="Times New Roman" w:hAnsi="Times New Roman"/>
          <w:b/>
          <w:i/>
          <w:lang w:val="ro-RO"/>
        </w:rPr>
      </w:pPr>
      <w:r w:rsidRPr="00FB03B0">
        <w:rPr>
          <w:rFonts w:ascii="Times New Roman" w:hAnsi="Times New Roman"/>
          <w:b/>
          <w:lang w:val="ro-RO"/>
        </w:rPr>
        <w:t xml:space="preserve">la </w:t>
      </w:r>
      <w:r w:rsidRPr="00282ACB">
        <w:rPr>
          <w:rFonts w:ascii="Times New Roman" w:hAnsi="Times New Roman"/>
          <w:b/>
          <w:i/>
          <w:lang w:val="ro-RO"/>
        </w:rPr>
        <w:t xml:space="preserve">proiectul Hotărîrii Guvernului cu privire la aprobarea regulamentului </w:t>
      </w:r>
      <w:r w:rsidRPr="0049551E">
        <w:rPr>
          <w:rFonts w:ascii="Times New Roman" w:hAnsi="Times New Roman"/>
          <w:b/>
          <w:i/>
          <w:lang w:val="ro-RO"/>
        </w:rPr>
        <w:t>general de metrologie legală</w:t>
      </w:r>
      <w:r>
        <w:rPr>
          <w:rFonts w:ascii="Times New Roman" w:hAnsi="Times New Roman"/>
          <w:b/>
          <w:i/>
          <w:lang w:val="ro-RO"/>
        </w:rPr>
        <w:t xml:space="preserve"> </w:t>
      </w:r>
      <w:r w:rsidRPr="00282ACB">
        <w:rPr>
          <w:rFonts w:ascii="Times New Roman" w:hAnsi="Times New Roman"/>
          <w:b/>
          <w:i/>
          <w:lang w:val="ro-RO"/>
        </w:rPr>
        <w:t>de stabilire a cerinţelor către sticle utilizate ca recipient de măsurare</w:t>
      </w:r>
    </w:p>
    <w:p w:rsidR="00D70642" w:rsidRPr="00282ACB" w:rsidRDefault="00D70642" w:rsidP="00FB03B0">
      <w:pPr>
        <w:pStyle w:val="NoSpacing"/>
        <w:jc w:val="center"/>
        <w:rPr>
          <w:rFonts w:ascii="Times New Roman" w:hAnsi="Times New Roman"/>
          <w:b/>
          <w:i/>
          <w:lang w:val="ro-RO"/>
        </w:rPr>
      </w:pPr>
    </w:p>
    <w:tbl>
      <w:tblPr>
        <w:tblW w:w="16272"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0"/>
        <w:gridCol w:w="1620"/>
        <w:gridCol w:w="10500"/>
        <w:gridCol w:w="3432"/>
      </w:tblGrid>
      <w:tr w:rsidR="00D70642" w:rsidRPr="001945C1" w:rsidTr="008C3D3F">
        <w:trPr>
          <w:tblHeader/>
        </w:trPr>
        <w:tc>
          <w:tcPr>
            <w:tcW w:w="720" w:type="dxa"/>
          </w:tcPr>
          <w:p w:rsidR="00D70642" w:rsidRPr="001945C1" w:rsidRDefault="00D70642" w:rsidP="001945C1">
            <w:pPr>
              <w:spacing w:after="0" w:line="240" w:lineRule="auto"/>
              <w:jc w:val="center"/>
              <w:rPr>
                <w:rFonts w:ascii="Times New Roman" w:hAnsi="Times New Roman"/>
                <w:b/>
                <w:sz w:val="20"/>
                <w:szCs w:val="20"/>
                <w:lang w:val="ro-RO"/>
              </w:rPr>
            </w:pPr>
            <w:r w:rsidRPr="001945C1">
              <w:rPr>
                <w:rFonts w:ascii="Times New Roman" w:hAnsi="Times New Roman"/>
                <w:b/>
                <w:sz w:val="20"/>
                <w:szCs w:val="20"/>
                <w:lang w:val="ro-RO"/>
              </w:rPr>
              <w:t>Nr. de</w:t>
            </w:r>
          </w:p>
          <w:p w:rsidR="00D70642" w:rsidRDefault="00D70642" w:rsidP="001945C1">
            <w:pPr>
              <w:spacing w:after="0" w:line="240" w:lineRule="auto"/>
              <w:jc w:val="center"/>
              <w:rPr>
                <w:rFonts w:ascii="Times New Roman" w:hAnsi="Times New Roman"/>
                <w:b/>
                <w:sz w:val="20"/>
                <w:szCs w:val="20"/>
                <w:lang w:val="ro-RO"/>
              </w:rPr>
            </w:pPr>
            <w:r w:rsidRPr="001945C1">
              <w:rPr>
                <w:rFonts w:ascii="Times New Roman" w:hAnsi="Times New Roman"/>
                <w:b/>
                <w:sz w:val="20"/>
                <w:szCs w:val="20"/>
                <w:lang w:val="ro-RO"/>
              </w:rPr>
              <w:t>Ordin</w:t>
            </w:r>
          </w:p>
          <w:p w:rsidR="00D70642" w:rsidRPr="001945C1" w:rsidRDefault="00D70642" w:rsidP="001945C1">
            <w:pPr>
              <w:spacing w:after="0" w:line="240" w:lineRule="auto"/>
              <w:jc w:val="center"/>
              <w:rPr>
                <w:rFonts w:ascii="Times New Roman" w:hAnsi="Times New Roman"/>
                <w:b/>
                <w:sz w:val="20"/>
                <w:szCs w:val="20"/>
                <w:lang w:val="ro-RO"/>
              </w:rPr>
            </w:pPr>
          </w:p>
        </w:tc>
        <w:tc>
          <w:tcPr>
            <w:tcW w:w="1620" w:type="dxa"/>
          </w:tcPr>
          <w:p w:rsidR="00D70642" w:rsidRPr="001945C1" w:rsidRDefault="00D70642" w:rsidP="001945C1">
            <w:pPr>
              <w:spacing w:after="0" w:line="240" w:lineRule="auto"/>
              <w:jc w:val="center"/>
              <w:rPr>
                <w:rFonts w:ascii="Times New Roman" w:hAnsi="Times New Roman"/>
                <w:b/>
                <w:sz w:val="20"/>
                <w:szCs w:val="20"/>
                <w:lang w:val="ro-RO"/>
              </w:rPr>
            </w:pPr>
            <w:r w:rsidRPr="001945C1">
              <w:rPr>
                <w:rFonts w:ascii="Times New Roman" w:hAnsi="Times New Roman"/>
                <w:b/>
                <w:sz w:val="20"/>
                <w:szCs w:val="20"/>
                <w:lang w:val="ro-RO"/>
              </w:rPr>
              <w:t>Instituţia</w:t>
            </w:r>
          </w:p>
          <w:p w:rsidR="00D70642" w:rsidRPr="001945C1" w:rsidRDefault="00D70642" w:rsidP="001945C1">
            <w:pPr>
              <w:spacing w:after="0" w:line="240" w:lineRule="auto"/>
              <w:jc w:val="center"/>
              <w:rPr>
                <w:rFonts w:ascii="Times New Roman" w:hAnsi="Times New Roman"/>
                <w:b/>
                <w:sz w:val="20"/>
                <w:szCs w:val="20"/>
                <w:lang w:val="ro-RO"/>
              </w:rPr>
            </w:pPr>
            <w:r w:rsidRPr="001945C1">
              <w:rPr>
                <w:rFonts w:ascii="Times New Roman" w:hAnsi="Times New Roman"/>
                <w:b/>
                <w:sz w:val="20"/>
                <w:szCs w:val="20"/>
                <w:lang w:val="ro-RO"/>
              </w:rPr>
              <w:t>Obiecţiile</w:t>
            </w:r>
          </w:p>
        </w:tc>
        <w:tc>
          <w:tcPr>
            <w:tcW w:w="10500" w:type="dxa"/>
          </w:tcPr>
          <w:p w:rsidR="00D70642" w:rsidRPr="001945C1" w:rsidRDefault="00D70642" w:rsidP="001945C1">
            <w:pPr>
              <w:spacing w:after="0" w:line="240" w:lineRule="auto"/>
              <w:jc w:val="center"/>
              <w:rPr>
                <w:rFonts w:ascii="Times New Roman" w:hAnsi="Times New Roman"/>
                <w:b/>
                <w:sz w:val="20"/>
                <w:szCs w:val="20"/>
                <w:lang w:val="ro-RO"/>
              </w:rPr>
            </w:pPr>
            <w:r>
              <w:rPr>
                <w:rFonts w:ascii="Times New Roman" w:hAnsi="Times New Roman"/>
                <w:b/>
                <w:sz w:val="20"/>
                <w:szCs w:val="20"/>
                <w:lang w:val="ro-RO"/>
              </w:rPr>
              <w:t>Obiecțiile și propunerile prezentate</w:t>
            </w:r>
          </w:p>
        </w:tc>
        <w:tc>
          <w:tcPr>
            <w:tcW w:w="3432" w:type="dxa"/>
          </w:tcPr>
          <w:p w:rsidR="00D70642" w:rsidRPr="001945C1" w:rsidRDefault="00D70642" w:rsidP="007A2F8B">
            <w:pPr>
              <w:spacing w:after="0" w:line="240" w:lineRule="auto"/>
              <w:ind w:firstLine="6038"/>
              <w:jc w:val="center"/>
              <w:rPr>
                <w:rFonts w:ascii="Times New Roman" w:hAnsi="Times New Roman"/>
                <w:b/>
                <w:sz w:val="20"/>
                <w:szCs w:val="20"/>
                <w:lang w:val="ro-RO"/>
              </w:rPr>
            </w:pPr>
            <w:r w:rsidRPr="001945C1">
              <w:rPr>
                <w:rFonts w:ascii="Times New Roman" w:hAnsi="Times New Roman"/>
                <w:b/>
                <w:sz w:val="20"/>
                <w:szCs w:val="20"/>
                <w:lang w:val="ro-RO"/>
              </w:rPr>
              <w:t>C</w:t>
            </w:r>
            <w:r>
              <w:rPr>
                <w:rFonts w:ascii="Times New Roman" w:hAnsi="Times New Roman"/>
                <w:b/>
                <w:sz w:val="20"/>
                <w:szCs w:val="20"/>
                <w:lang w:val="ro-RO"/>
              </w:rPr>
              <w:t>C</w:t>
            </w:r>
            <w:r w:rsidRPr="001945C1">
              <w:rPr>
                <w:rFonts w:ascii="Times New Roman" w:hAnsi="Times New Roman"/>
                <w:b/>
                <w:sz w:val="20"/>
                <w:szCs w:val="20"/>
                <w:lang w:val="ro-RO"/>
              </w:rPr>
              <w:t>omentarii</w:t>
            </w:r>
          </w:p>
        </w:tc>
      </w:tr>
      <w:tr w:rsidR="00D70642" w:rsidRPr="0049551E" w:rsidTr="008C3D3F">
        <w:tc>
          <w:tcPr>
            <w:tcW w:w="720" w:type="dxa"/>
            <w:vMerge w:val="restart"/>
          </w:tcPr>
          <w:p w:rsidR="00D70642" w:rsidRPr="0049551E" w:rsidRDefault="00D70642" w:rsidP="001945C1">
            <w:pPr>
              <w:spacing w:after="0" w:line="240" w:lineRule="auto"/>
              <w:jc w:val="center"/>
              <w:rPr>
                <w:rFonts w:ascii="Times New Roman" w:hAnsi="Times New Roman"/>
                <w:b/>
                <w:sz w:val="20"/>
                <w:szCs w:val="20"/>
                <w:lang w:val="ro-RO"/>
              </w:rPr>
            </w:pPr>
            <w:r w:rsidRPr="0049551E">
              <w:rPr>
                <w:rFonts w:ascii="Times New Roman" w:hAnsi="Times New Roman"/>
                <w:b/>
                <w:sz w:val="20"/>
                <w:szCs w:val="20"/>
                <w:lang w:val="ro-RO"/>
              </w:rPr>
              <w:t>1</w:t>
            </w:r>
          </w:p>
        </w:tc>
        <w:tc>
          <w:tcPr>
            <w:tcW w:w="1620" w:type="dxa"/>
            <w:vMerge w:val="restart"/>
          </w:tcPr>
          <w:p w:rsidR="00D70642" w:rsidRPr="0049551E" w:rsidRDefault="00D70642" w:rsidP="001945C1">
            <w:pPr>
              <w:spacing w:after="0" w:line="240" w:lineRule="auto"/>
              <w:jc w:val="center"/>
              <w:rPr>
                <w:rFonts w:ascii="Times New Roman" w:hAnsi="Times New Roman"/>
                <w:b/>
                <w:sz w:val="20"/>
                <w:szCs w:val="20"/>
                <w:lang w:val="ro-RO"/>
              </w:rPr>
            </w:pPr>
            <w:r w:rsidRPr="0049551E">
              <w:rPr>
                <w:rFonts w:ascii="Times New Roman" w:hAnsi="Times New Roman"/>
                <w:b/>
                <w:sz w:val="20"/>
                <w:szCs w:val="20"/>
                <w:lang w:val="ro-RO"/>
              </w:rPr>
              <w:t>Ministerul Agriculturii şi Industriei Alimentare</w:t>
            </w:r>
          </w:p>
        </w:tc>
        <w:tc>
          <w:tcPr>
            <w:tcW w:w="10500" w:type="dxa"/>
          </w:tcPr>
          <w:p w:rsidR="00D70642" w:rsidRPr="0049551E" w:rsidRDefault="00D70642" w:rsidP="00167107">
            <w:pPr>
              <w:spacing w:after="0" w:line="240" w:lineRule="auto"/>
              <w:jc w:val="both"/>
              <w:rPr>
                <w:rFonts w:ascii="Times New Roman" w:hAnsi="Times New Roman"/>
                <w:sz w:val="20"/>
                <w:szCs w:val="20"/>
                <w:lang w:val="ro-RO"/>
              </w:rPr>
            </w:pPr>
            <w:r w:rsidRPr="0049551E">
              <w:rPr>
                <w:rFonts w:ascii="Times New Roman" w:hAnsi="Times New Roman"/>
                <w:sz w:val="20"/>
                <w:szCs w:val="20"/>
                <w:lang w:val="ro-RO"/>
              </w:rPr>
              <w:t>Referitor la anexele proiectului Hotărîrii Guvernului, propunem modificarea denumirilor acestora prin următoarea sintagmă “Anexa nr.__(nr. anexei) la Hotărîrea Guvernului nr. _____ din _________” (numărul şi data emiterii actului normativ).</w:t>
            </w:r>
          </w:p>
        </w:tc>
        <w:tc>
          <w:tcPr>
            <w:tcW w:w="3432" w:type="dxa"/>
          </w:tcPr>
          <w:p w:rsidR="00D70642" w:rsidRPr="0049551E" w:rsidRDefault="00D70642" w:rsidP="001945C1">
            <w:pPr>
              <w:spacing w:after="0" w:line="240" w:lineRule="auto"/>
              <w:jc w:val="both"/>
              <w:rPr>
                <w:rFonts w:ascii="Times New Roman" w:hAnsi="Times New Roman"/>
                <w:b/>
                <w:sz w:val="20"/>
                <w:szCs w:val="20"/>
                <w:lang w:val="ro-RO"/>
              </w:rPr>
            </w:pPr>
            <w:r w:rsidRPr="0049551E">
              <w:rPr>
                <w:rFonts w:ascii="Times New Roman" w:hAnsi="Times New Roman"/>
                <w:b/>
                <w:sz w:val="20"/>
                <w:szCs w:val="20"/>
                <w:lang w:val="ro-RO"/>
              </w:rPr>
              <w:t>Se acceptă</w:t>
            </w:r>
          </w:p>
        </w:tc>
      </w:tr>
      <w:tr w:rsidR="00D70642" w:rsidRPr="0049551E" w:rsidTr="008C3D3F">
        <w:tc>
          <w:tcPr>
            <w:tcW w:w="720" w:type="dxa"/>
            <w:vMerge/>
          </w:tcPr>
          <w:p w:rsidR="00D70642" w:rsidRPr="0049551E" w:rsidRDefault="00D70642" w:rsidP="001945C1">
            <w:pPr>
              <w:spacing w:after="0" w:line="240" w:lineRule="auto"/>
              <w:jc w:val="center"/>
              <w:rPr>
                <w:rFonts w:ascii="Times New Roman" w:hAnsi="Times New Roman"/>
                <w:b/>
                <w:sz w:val="20"/>
                <w:szCs w:val="20"/>
                <w:lang w:val="ro-RO"/>
              </w:rPr>
            </w:pPr>
          </w:p>
        </w:tc>
        <w:tc>
          <w:tcPr>
            <w:tcW w:w="1620" w:type="dxa"/>
            <w:vMerge/>
          </w:tcPr>
          <w:p w:rsidR="00D70642" w:rsidRPr="0049551E" w:rsidRDefault="00D70642" w:rsidP="001945C1">
            <w:pPr>
              <w:spacing w:after="0" w:line="240" w:lineRule="auto"/>
              <w:jc w:val="center"/>
              <w:rPr>
                <w:rFonts w:ascii="Times New Roman" w:hAnsi="Times New Roman"/>
                <w:b/>
                <w:sz w:val="20"/>
                <w:szCs w:val="20"/>
                <w:lang w:val="ro-RO"/>
              </w:rPr>
            </w:pPr>
          </w:p>
        </w:tc>
        <w:tc>
          <w:tcPr>
            <w:tcW w:w="10500" w:type="dxa"/>
          </w:tcPr>
          <w:p w:rsidR="00D70642" w:rsidRPr="0049551E" w:rsidRDefault="00D70642" w:rsidP="00167107">
            <w:pPr>
              <w:spacing w:after="0" w:line="240" w:lineRule="auto"/>
              <w:jc w:val="both"/>
              <w:rPr>
                <w:rFonts w:ascii="Times New Roman" w:hAnsi="Times New Roman"/>
                <w:sz w:val="20"/>
                <w:szCs w:val="20"/>
                <w:lang w:val="ro-RO"/>
              </w:rPr>
            </w:pPr>
            <w:r w:rsidRPr="0049551E">
              <w:rPr>
                <w:rFonts w:ascii="Times New Roman" w:hAnsi="Times New Roman"/>
                <w:sz w:val="20"/>
                <w:szCs w:val="20"/>
                <w:lang w:val="ro-RO"/>
              </w:rPr>
              <w:t>La punctul 3, al anexei nr.1, considerăm necesară excluderea sintagmei “Hotărârea Guvernului cu privire la aprobarea regulamentului general de metrologie legală de stabilire a normelor privind cantităţile nominale ale produselor preambalate”, deoarece hotărîrea invocată reprezintă un proiect de act normativ, care nu a intrat în vigoare. Totodată, această prevedere vine în contradicţie cu stipulările art. 48 din Legea nr. 317 din 18.07.2003 privind actele normative ale Guvernului şi ale altor autorităţi ale administraţiei publice centrale şi locale, potrivit cărora referirea la un alt act normativ se face printr-o formulă în care se arată categoria juridică a actului, titlul, care include numărul şi data emiterii.</w:t>
            </w:r>
          </w:p>
        </w:tc>
        <w:tc>
          <w:tcPr>
            <w:tcW w:w="3432" w:type="dxa"/>
          </w:tcPr>
          <w:p w:rsidR="00D70642" w:rsidRPr="0049551E" w:rsidRDefault="00D70642" w:rsidP="001945C1">
            <w:pPr>
              <w:spacing w:after="0" w:line="240" w:lineRule="auto"/>
              <w:jc w:val="both"/>
              <w:rPr>
                <w:rFonts w:ascii="Times New Roman" w:hAnsi="Times New Roman"/>
                <w:sz w:val="20"/>
                <w:szCs w:val="20"/>
                <w:lang w:val="ro-RO"/>
              </w:rPr>
            </w:pPr>
            <w:r w:rsidRPr="0049551E">
              <w:rPr>
                <w:rFonts w:ascii="Times New Roman" w:hAnsi="Times New Roman"/>
                <w:b/>
                <w:sz w:val="20"/>
                <w:szCs w:val="20"/>
                <w:lang w:val="ro-RO"/>
              </w:rPr>
              <w:t>Se acceptă.</w:t>
            </w:r>
            <w:r w:rsidRPr="0049551E">
              <w:rPr>
                <w:rFonts w:ascii="Times New Roman" w:hAnsi="Times New Roman"/>
                <w:sz w:val="20"/>
                <w:szCs w:val="20"/>
                <w:lang w:val="ro-RO"/>
              </w:rPr>
              <w:t xml:space="preserve"> Punctul a fost modificat.</w:t>
            </w:r>
          </w:p>
          <w:p w:rsidR="00D70642" w:rsidRPr="0049551E" w:rsidRDefault="00D70642" w:rsidP="001945C1">
            <w:pPr>
              <w:spacing w:after="0" w:line="240" w:lineRule="auto"/>
              <w:jc w:val="both"/>
              <w:rPr>
                <w:rFonts w:ascii="Times New Roman" w:hAnsi="Times New Roman"/>
                <w:sz w:val="20"/>
                <w:szCs w:val="20"/>
                <w:lang w:val="ro-RO"/>
              </w:rPr>
            </w:pPr>
          </w:p>
        </w:tc>
      </w:tr>
      <w:tr w:rsidR="00D70642" w:rsidRPr="0049551E" w:rsidTr="008C3D3F">
        <w:tc>
          <w:tcPr>
            <w:tcW w:w="720" w:type="dxa"/>
            <w:vMerge/>
          </w:tcPr>
          <w:p w:rsidR="00D70642" w:rsidRPr="0049551E" w:rsidRDefault="00D70642" w:rsidP="001945C1">
            <w:pPr>
              <w:spacing w:after="0" w:line="240" w:lineRule="auto"/>
              <w:jc w:val="center"/>
              <w:rPr>
                <w:rFonts w:ascii="Times New Roman" w:hAnsi="Times New Roman"/>
                <w:b/>
                <w:sz w:val="20"/>
                <w:szCs w:val="20"/>
                <w:lang w:val="ro-RO"/>
              </w:rPr>
            </w:pPr>
          </w:p>
        </w:tc>
        <w:tc>
          <w:tcPr>
            <w:tcW w:w="1620" w:type="dxa"/>
            <w:vMerge/>
          </w:tcPr>
          <w:p w:rsidR="00D70642" w:rsidRPr="0049551E" w:rsidRDefault="00D70642" w:rsidP="001945C1">
            <w:pPr>
              <w:spacing w:after="0" w:line="240" w:lineRule="auto"/>
              <w:jc w:val="center"/>
              <w:rPr>
                <w:rFonts w:ascii="Times New Roman" w:hAnsi="Times New Roman"/>
                <w:b/>
                <w:sz w:val="20"/>
                <w:szCs w:val="20"/>
                <w:lang w:val="ro-RO"/>
              </w:rPr>
            </w:pPr>
          </w:p>
        </w:tc>
        <w:tc>
          <w:tcPr>
            <w:tcW w:w="10500" w:type="dxa"/>
          </w:tcPr>
          <w:p w:rsidR="00D70642" w:rsidRPr="0049551E" w:rsidRDefault="00D70642" w:rsidP="00167107">
            <w:pPr>
              <w:spacing w:after="0" w:line="240" w:lineRule="auto"/>
              <w:jc w:val="both"/>
              <w:rPr>
                <w:rFonts w:ascii="Times New Roman" w:hAnsi="Times New Roman"/>
                <w:sz w:val="20"/>
                <w:szCs w:val="20"/>
                <w:lang w:val="ro-RO"/>
              </w:rPr>
            </w:pPr>
            <w:r w:rsidRPr="0049551E">
              <w:rPr>
                <w:rFonts w:ascii="Times New Roman" w:hAnsi="Times New Roman"/>
                <w:sz w:val="20"/>
                <w:szCs w:val="20"/>
                <w:lang w:val="ro-RO"/>
              </w:rPr>
              <w:t>La pct. 2,3,5 şi 6 din Anexa nr. 1, considerăm oportună revizuirea numerotării şi formulării acestora, pentru aducerea în conformitate cu alin. 2), art.56 al Legii nr. 317 din 18.07.2003, care prevede că punctul trebuie să conţină un gînd închegat şi să includă o singură reglementare normativă aplicabilă unei anumite situaţii.</w:t>
            </w:r>
          </w:p>
          <w:p w:rsidR="00D70642" w:rsidRPr="0049551E" w:rsidRDefault="00D70642" w:rsidP="00167107">
            <w:pPr>
              <w:spacing w:after="0" w:line="240" w:lineRule="auto"/>
              <w:jc w:val="both"/>
              <w:rPr>
                <w:rFonts w:ascii="Times New Roman" w:hAnsi="Times New Roman"/>
                <w:sz w:val="20"/>
                <w:szCs w:val="20"/>
                <w:lang w:val="ro-RO"/>
              </w:rPr>
            </w:pPr>
          </w:p>
        </w:tc>
        <w:tc>
          <w:tcPr>
            <w:tcW w:w="3432" w:type="dxa"/>
          </w:tcPr>
          <w:p w:rsidR="00D70642" w:rsidRPr="0049551E" w:rsidRDefault="00D70642" w:rsidP="001945C1">
            <w:pPr>
              <w:spacing w:after="0" w:line="240" w:lineRule="auto"/>
              <w:jc w:val="both"/>
              <w:rPr>
                <w:rFonts w:ascii="Times New Roman" w:hAnsi="Times New Roman"/>
                <w:sz w:val="20"/>
                <w:szCs w:val="20"/>
                <w:lang w:val="ro-RO"/>
              </w:rPr>
            </w:pPr>
            <w:r w:rsidRPr="0049551E">
              <w:rPr>
                <w:rFonts w:ascii="Times New Roman" w:hAnsi="Times New Roman"/>
                <w:b/>
                <w:sz w:val="20"/>
                <w:szCs w:val="20"/>
                <w:lang w:val="ro-RO"/>
              </w:rPr>
              <w:t>Se acceptă</w:t>
            </w:r>
            <w:r w:rsidRPr="0049551E">
              <w:rPr>
                <w:rFonts w:ascii="Times New Roman" w:hAnsi="Times New Roman"/>
                <w:sz w:val="20"/>
                <w:szCs w:val="20"/>
                <w:lang w:val="ro-RO"/>
              </w:rPr>
              <w:t>.</w:t>
            </w:r>
          </w:p>
          <w:p w:rsidR="00D70642" w:rsidRPr="0049551E" w:rsidRDefault="00D70642" w:rsidP="001945C1">
            <w:pPr>
              <w:spacing w:after="0" w:line="240" w:lineRule="auto"/>
              <w:jc w:val="both"/>
              <w:rPr>
                <w:rFonts w:ascii="Times New Roman" w:hAnsi="Times New Roman"/>
                <w:sz w:val="20"/>
                <w:szCs w:val="20"/>
                <w:lang w:val="ro-RO"/>
              </w:rPr>
            </w:pPr>
          </w:p>
        </w:tc>
      </w:tr>
      <w:tr w:rsidR="00D70642" w:rsidRPr="0049551E" w:rsidTr="008C3D3F">
        <w:tc>
          <w:tcPr>
            <w:tcW w:w="720" w:type="dxa"/>
            <w:vMerge/>
          </w:tcPr>
          <w:p w:rsidR="00D70642" w:rsidRPr="0049551E" w:rsidRDefault="00D70642" w:rsidP="001945C1">
            <w:pPr>
              <w:spacing w:after="0" w:line="240" w:lineRule="auto"/>
              <w:jc w:val="center"/>
              <w:rPr>
                <w:rFonts w:ascii="Times New Roman" w:hAnsi="Times New Roman"/>
                <w:b/>
                <w:sz w:val="20"/>
                <w:szCs w:val="20"/>
                <w:lang w:val="ro-RO"/>
              </w:rPr>
            </w:pPr>
          </w:p>
        </w:tc>
        <w:tc>
          <w:tcPr>
            <w:tcW w:w="1620" w:type="dxa"/>
            <w:vMerge/>
          </w:tcPr>
          <w:p w:rsidR="00D70642" w:rsidRPr="0049551E" w:rsidRDefault="00D70642" w:rsidP="001945C1">
            <w:pPr>
              <w:spacing w:after="0" w:line="240" w:lineRule="auto"/>
              <w:jc w:val="center"/>
              <w:rPr>
                <w:rFonts w:ascii="Times New Roman" w:hAnsi="Times New Roman"/>
                <w:b/>
                <w:sz w:val="20"/>
                <w:szCs w:val="20"/>
                <w:lang w:val="ro-RO"/>
              </w:rPr>
            </w:pPr>
          </w:p>
        </w:tc>
        <w:tc>
          <w:tcPr>
            <w:tcW w:w="10500" w:type="dxa"/>
          </w:tcPr>
          <w:p w:rsidR="00D70642" w:rsidRPr="0049551E" w:rsidRDefault="00D70642" w:rsidP="00167107">
            <w:pPr>
              <w:spacing w:after="0" w:line="240" w:lineRule="auto"/>
              <w:jc w:val="both"/>
              <w:rPr>
                <w:rFonts w:ascii="Times New Roman" w:hAnsi="Times New Roman"/>
                <w:sz w:val="20"/>
                <w:szCs w:val="20"/>
                <w:lang w:val="ro-RO"/>
              </w:rPr>
            </w:pPr>
            <w:r w:rsidRPr="0049551E">
              <w:rPr>
                <w:rFonts w:ascii="Times New Roman" w:hAnsi="Times New Roman"/>
                <w:sz w:val="20"/>
                <w:szCs w:val="20"/>
                <w:lang w:val="ro-RO"/>
              </w:rPr>
              <w:t>Pct. 2 din anexa nr. 2, se va revizui, astfel în cît reglementarea ce urmează după subpct.3) va fi numerotată prin subpct. 4) iar actualul subpct.4) va deveni subpct. 5).</w:t>
            </w:r>
          </w:p>
          <w:p w:rsidR="00D70642" w:rsidRPr="0049551E" w:rsidRDefault="00D70642" w:rsidP="00167107">
            <w:pPr>
              <w:spacing w:after="0" w:line="240" w:lineRule="auto"/>
              <w:jc w:val="both"/>
              <w:rPr>
                <w:rFonts w:ascii="Times New Roman" w:hAnsi="Times New Roman"/>
                <w:sz w:val="20"/>
                <w:szCs w:val="20"/>
                <w:lang w:val="ro-RO"/>
              </w:rPr>
            </w:pPr>
            <w:r w:rsidRPr="0049551E">
              <w:rPr>
                <w:rFonts w:ascii="Times New Roman" w:hAnsi="Times New Roman"/>
                <w:sz w:val="20"/>
                <w:szCs w:val="20"/>
                <w:lang w:val="ro-RO"/>
              </w:rPr>
              <w:t>La lit. a), subpct. 1), pct. 3 din anexa nr. 2 e necesară, indicarea corectă a pct., subpct. şi a literei la care se face trimitere.</w:t>
            </w:r>
          </w:p>
        </w:tc>
        <w:tc>
          <w:tcPr>
            <w:tcW w:w="3432" w:type="dxa"/>
          </w:tcPr>
          <w:p w:rsidR="00D70642" w:rsidRPr="0049551E" w:rsidRDefault="00D70642" w:rsidP="001945C1">
            <w:pPr>
              <w:spacing w:after="0" w:line="240" w:lineRule="auto"/>
              <w:jc w:val="both"/>
              <w:rPr>
                <w:rFonts w:ascii="Times New Roman" w:hAnsi="Times New Roman"/>
                <w:sz w:val="20"/>
                <w:szCs w:val="20"/>
                <w:lang w:val="ro-RO"/>
              </w:rPr>
            </w:pPr>
            <w:r w:rsidRPr="0049551E">
              <w:rPr>
                <w:rFonts w:ascii="Times New Roman" w:hAnsi="Times New Roman"/>
                <w:b/>
                <w:sz w:val="20"/>
                <w:szCs w:val="20"/>
                <w:lang w:val="ro-RO"/>
              </w:rPr>
              <w:t>Se acceptă</w:t>
            </w:r>
            <w:r w:rsidRPr="0049551E">
              <w:rPr>
                <w:rFonts w:ascii="Times New Roman" w:hAnsi="Times New Roman"/>
                <w:sz w:val="20"/>
                <w:szCs w:val="20"/>
                <w:lang w:val="ro-RO"/>
              </w:rPr>
              <w:t>.</w:t>
            </w:r>
          </w:p>
        </w:tc>
      </w:tr>
      <w:tr w:rsidR="00D70642" w:rsidRPr="0049551E" w:rsidTr="008C3D3F">
        <w:tc>
          <w:tcPr>
            <w:tcW w:w="720" w:type="dxa"/>
          </w:tcPr>
          <w:p w:rsidR="00D70642" w:rsidRPr="0049551E" w:rsidRDefault="00D70642" w:rsidP="001945C1">
            <w:pPr>
              <w:spacing w:after="0" w:line="240" w:lineRule="auto"/>
              <w:jc w:val="center"/>
              <w:rPr>
                <w:rFonts w:ascii="Times New Roman" w:hAnsi="Times New Roman"/>
                <w:b/>
                <w:sz w:val="20"/>
                <w:szCs w:val="20"/>
                <w:lang w:val="ro-RO"/>
              </w:rPr>
            </w:pPr>
            <w:r w:rsidRPr="0049551E">
              <w:rPr>
                <w:rFonts w:ascii="Times New Roman" w:hAnsi="Times New Roman"/>
                <w:b/>
                <w:sz w:val="20"/>
                <w:szCs w:val="20"/>
                <w:lang w:val="ro-RO"/>
              </w:rPr>
              <w:t>2</w:t>
            </w:r>
          </w:p>
        </w:tc>
        <w:tc>
          <w:tcPr>
            <w:tcW w:w="1620" w:type="dxa"/>
          </w:tcPr>
          <w:p w:rsidR="00D70642" w:rsidRPr="0049551E" w:rsidRDefault="00D70642" w:rsidP="001945C1">
            <w:pPr>
              <w:spacing w:after="0" w:line="240" w:lineRule="auto"/>
              <w:jc w:val="center"/>
              <w:rPr>
                <w:rFonts w:ascii="Times New Roman" w:hAnsi="Times New Roman"/>
                <w:b/>
                <w:sz w:val="20"/>
                <w:szCs w:val="20"/>
                <w:lang w:val="ro-RO"/>
              </w:rPr>
            </w:pPr>
            <w:r w:rsidRPr="0049551E">
              <w:rPr>
                <w:rFonts w:ascii="Times New Roman" w:hAnsi="Times New Roman"/>
                <w:b/>
                <w:sz w:val="20"/>
                <w:szCs w:val="20"/>
                <w:lang w:val="ro-RO"/>
              </w:rPr>
              <w:t>Ministerul Sănătăţii</w:t>
            </w:r>
          </w:p>
          <w:p w:rsidR="00D70642" w:rsidRPr="0049551E" w:rsidRDefault="00D70642" w:rsidP="001945C1">
            <w:pPr>
              <w:spacing w:after="0" w:line="240" w:lineRule="auto"/>
              <w:jc w:val="center"/>
              <w:rPr>
                <w:rFonts w:ascii="Times New Roman" w:hAnsi="Times New Roman"/>
                <w:b/>
                <w:sz w:val="20"/>
                <w:szCs w:val="20"/>
                <w:lang w:val="ro-RO"/>
              </w:rPr>
            </w:pPr>
          </w:p>
        </w:tc>
        <w:tc>
          <w:tcPr>
            <w:tcW w:w="10500" w:type="dxa"/>
          </w:tcPr>
          <w:p w:rsidR="00D70642" w:rsidRPr="0049551E" w:rsidRDefault="00D70642" w:rsidP="00167107">
            <w:pPr>
              <w:spacing w:after="0" w:line="240" w:lineRule="auto"/>
              <w:jc w:val="both"/>
              <w:rPr>
                <w:rFonts w:ascii="Times New Roman" w:hAnsi="Times New Roman"/>
                <w:sz w:val="20"/>
                <w:szCs w:val="20"/>
                <w:lang w:val="ro-RO"/>
              </w:rPr>
            </w:pPr>
            <w:r w:rsidRPr="0049551E">
              <w:rPr>
                <w:rFonts w:ascii="Times New Roman" w:hAnsi="Times New Roman"/>
                <w:sz w:val="20"/>
                <w:szCs w:val="20"/>
                <w:lang w:val="ro-RO"/>
              </w:rPr>
              <w:t>Concomitent venim cu propunerea de a include în Regulament a unui punct care va prevedea corespunderea sticlelor utilizate ca recipiente de măsurare, depozitare, transportare şi desfacere a lichidelor alimentare, cerinţelor sanitare specificate în Hotărîrea Guvernului nr. 308 din 29 aprilie 2011 pentru aprobarea Regulamentului sanitar privind materialele şi obiectele destinate să vină în contact cu produsele alimentare (Monitorul Oficial Nr. 74-77art Nr.352)</w:t>
            </w:r>
            <w:r w:rsidRPr="0049551E">
              <w:rPr>
                <w:rFonts w:ascii="Times New Roman" w:hAnsi="Times New Roman"/>
                <w:sz w:val="20"/>
                <w:szCs w:val="20"/>
                <w:lang w:val="ro-RO"/>
              </w:rPr>
              <w:tab/>
            </w:r>
          </w:p>
        </w:tc>
        <w:tc>
          <w:tcPr>
            <w:tcW w:w="3432" w:type="dxa"/>
          </w:tcPr>
          <w:p w:rsidR="00D70642" w:rsidRPr="0049551E" w:rsidRDefault="00D70642" w:rsidP="001945C1">
            <w:pPr>
              <w:spacing w:after="0" w:line="240" w:lineRule="auto"/>
              <w:jc w:val="both"/>
              <w:rPr>
                <w:rFonts w:ascii="Times New Roman" w:hAnsi="Times New Roman"/>
                <w:sz w:val="20"/>
                <w:szCs w:val="20"/>
                <w:lang w:val="ro-RO"/>
              </w:rPr>
            </w:pPr>
            <w:r w:rsidRPr="0049551E">
              <w:rPr>
                <w:rFonts w:ascii="Times New Roman" w:hAnsi="Times New Roman"/>
                <w:b/>
                <w:sz w:val="20"/>
                <w:szCs w:val="20"/>
                <w:lang w:val="ro-RO"/>
              </w:rPr>
              <w:t>Nu se acceptă</w:t>
            </w:r>
            <w:r w:rsidRPr="0049551E">
              <w:rPr>
                <w:rFonts w:ascii="Times New Roman" w:hAnsi="Times New Roman"/>
                <w:sz w:val="20"/>
                <w:szCs w:val="20"/>
                <w:lang w:val="ro-RO"/>
              </w:rPr>
              <w:t>,</w:t>
            </w:r>
          </w:p>
          <w:p w:rsidR="00D70642" w:rsidRPr="0049551E" w:rsidRDefault="00D70642" w:rsidP="00CD646A">
            <w:pPr>
              <w:spacing w:after="0" w:line="240" w:lineRule="auto"/>
              <w:jc w:val="both"/>
              <w:rPr>
                <w:rFonts w:ascii="Times New Roman" w:hAnsi="Times New Roman"/>
                <w:sz w:val="20"/>
                <w:szCs w:val="20"/>
                <w:lang w:val="ro-RO"/>
              </w:rPr>
            </w:pPr>
            <w:r w:rsidRPr="0049551E">
              <w:rPr>
                <w:rFonts w:ascii="Times New Roman" w:hAnsi="Times New Roman"/>
                <w:sz w:val="20"/>
                <w:szCs w:val="20"/>
                <w:lang w:val="ro-RO"/>
              </w:rPr>
              <w:t>Referinţa la Hotărîrea Guvernului nr. 308 din 29 aprilie 2011 pentru aprobarea Regulamentului sanitar privind materialele şi obiectele destinate să vină în contact cu produsele alimentare, nu este corectă deoarece prezentul regulament nu conţine cerinţe sanitare pentru sticle utilizate ca recipiente de măsurare.</w:t>
            </w:r>
          </w:p>
        </w:tc>
      </w:tr>
      <w:tr w:rsidR="00D70642" w:rsidRPr="0049551E" w:rsidTr="008C3D3F">
        <w:tc>
          <w:tcPr>
            <w:tcW w:w="720" w:type="dxa"/>
          </w:tcPr>
          <w:p w:rsidR="00D70642" w:rsidRPr="0049551E" w:rsidRDefault="00D70642" w:rsidP="001945C1">
            <w:pPr>
              <w:spacing w:after="0" w:line="240" w:lineRule="auto"/>
              <w:jc w:val="center"/>
              <w:rPr>
                <w:rFonts w:ascii="Times New Roman" w:hAnsi="Times New Roman"/>
                <w:b/>
                <w:sz w:val="20"/>
                <w:szCs w:val="20"/>
                <w:lang w:val="ro-RO"/>
              </w:rPr>
            </w:pPr>
            <w:r w:rsidRPr="0049551E">
              <w:rPr>
                <w:rFonts w:ascii="Times New Roman" w:hAnsi="Times New Roman"/>
                <w:b/>
                <w:sz w:val="20"/>
                <w:szCs w:val="20"/>
                <w:lang w:val="ro-RO"/>
              </w:rPr>
              <w:t>3</w:t>
            </w:r>
          </w:p>
        </w:tc>
        <w:tc>
          <w:tcPr>
            <w:tcW w:w="1620" w:type="dxa"/>
          </w:tcPr>
          <w:p w:rsidR="00D70642" w:rsidRPr="0049551E" w:rsidRDefault="00D70642" w:rsidP="0039774F">
            <w:pPr>
              <w:spacing w:after="0" w:line="240" w:lineRule="auto"/>
              <w:rPr>
                <w:rFonts w:ascii="Times New Roman" w:hAnsi="Times New Roman"/>
                <w:b/>
                <w:sz w:val="20"/>
                <w:szCs w:val="20"/>
                <w:lang w:val="ro-RO"/>
              </w:rPr>
            </w:pPr>
            <w:r w:rsidRPr="0049551E">
              <w:rPr>
                <w:rFonts w:ascii="Times New Roman" w:hAnsi="Times New Roman"/>
                <w:b/>
                <w:sz w:val="20"/>
                <w:szCs w:val="20"/>
                <w:lang w:val="ro-RO"/>
              </w:rPr>
              <w:t>Ministerul Afacerilor Externe şi Integrării Europene</w:t>
            </w:r>
          </w:p>
        </w:tc>
        <w:tc>
          <w:tcPr>
            <w:tcW w:w="10500" w:type="dxa"/>
          </w:tcPr>
          <w:p w:rsidR="00D70642" w:rsidRPr="0049551E" w:rsidRDefault="00D70642" w:rsidP="001945C1">
            <w:pPr>
              <w:spacing w:after="0" w:line="240" w:lineRule="auto"/>
              <w:rPr>
                <w:rFonts w:ascii="Times New Roman" w:hAnsi="Times New Roman"/>
                <w:sz w:val="20"/>
                <w:szCs w:val="20"/>
                <w:lang w:val="ro-RO"/>
              </w:rPr>
            </w:pPr>
            <w:r w:rsidRPr="0049551E">
              <w:rPr>
                <w:rFonts w:ascii="Times New Roman" w:hAnsi="Times New Roman"/>
                <w:sz w:val="20"/>
                <w:szCs w:val="20"/>
                <w:lang w:val="ro-RO"/>
              </w:rPr>
              <w:t>Lipsă de obiecţii şi propuneri.</w:t>
            </w:r>
          </w:p>
          <w:p w:rsidR="00D70642" w:rsidRPr="0049551E" w:rsidRDefault="00D70642" w:rsidP="001945C1">
            <w:pPr>
              <w:spacing w:after="0" w:line="240" w:lineRule="auto"/>
              <w:rPr>
                <w:rFonts w:ascii="Times New Roman" w:hAnsi="Times New Roman"/>
                <w:sz w:val="20"/>
                <w:szCs w:val="20"/>
                <w:lang w:val="ro-RO"/>
              </w:rPr>
            </w:pPr>
          </w:p>
          <w:p w:rsidR="00D70642" w:rsidRPr="0049551E" w:rsidRDefault="00D70642" w:rsidP="001945C1">
            <w:pPr>
              <w:spacing w:after="0" w:line="240" w:lineRule="auto"/>
              <w:rPr>
                <w:rFonts w:ascii="Times New Roman" w:hAnsi="Times New Roman"/>
                <w:sz w:val="20"/>
                <w:szCs w:val="20"/>
                <w:lang w:val="ro-RO"/>
              </w:rPr>
            </w:pPr>
          </w:p>
        </w:tc>
        <w:tc>
          <w:tcPr>
            <w:tcW w:w="3432" w:type="dxa"/>
          </w:tcPr>
          <w:p w:rsidR="00D70642" w:rsidRPr="0049551E" w:rsidRDefault="00D70642" w:rsidP="001945C1">
            <w:pPr>
              <w:spacing w:after="0" w:line="240" w:lineRule="auto"/>
              <w:jc w:val="both"/>
              <w:rPr>
                <w:rFonts w:ascii="Times New Roman" w:hAnsi="Times New Roman"/>
                <w:sz w:val="20"/>
                <w:szCs w:val="20"/>
                <w:lang w:val="ro-RO"/>
              </w:rPr>
            </w:pPr>
          </w:p>
        </w:tc>
      </w:tr>
      <w:tr w:rsidR="00D70642" w:rsidRPr="0049551E" w:rsidTr="008C3D3F">
        <w:tc>
          <w:tcPr>
            <w:tcW w:w="720" w:type="dxa"/>
          </w:tcPr>
          <w:p w:rsidR="00D70642" w:rsidRPr="0049551E" w:rsidRDefault="00D70642" w:rsidP="001945C1">
            <w:pPr>
              <w:spacing w:after="0" w:line="240" w:lineRule="auto"/>
              <w:jc w:val="center"/>
              <w:rPr>
                <w:rFonts w:ascii="Times New Roman" w:hAnsi="Times New Roman"/>
                <w:b/>
                <w:sz w:val="20"/>
                <w:szCs w:val="20"/>
                <w:lang w:val="ro-RO"/>
              </w:rPr>
            </w:pPr>
            <w:r w:rsidRPr="0049551E">
              <w:rPr>
                <w:rFonts w:ascii="Times New Roman" w:hAnsi="Times New Roman"/>
                <w:b/>
                <w:sz w:val="20"/>
                <w:szCs w:val="20"/>
                <w:lang w:val="ro-RO"/>
              </w:rPr>
              <w:t>4</w:t>
            </w:r>
          </w:p>
        </w:tc>
        <w:tc>
          <w:tcPr>
            <w:tcW w:w="1620" w:type="dxa"/>
          </w:tcPr>
          <w:p w:rsidR="00D70642" w:rsidRPr="0049551E" w:rsidRDefault="00D70642" w:rsidP="001945C1">
            <w:pPr>
              <w:spacing w:after="0" w:line="240" w:lineRule="auto"/>
              <w:jc w:val="center"/>
              <w:rPr>
                <w:rFonts w:ascii="Times New Roman" w:hAnsi="Times New Roman"/>
                <w:b/>
                <w:sz w:val="20"/>
                <w:szCs w:val="20"/>
                <w:lang w:val="ro-RO"/>
              </w:rPr>
            </w:pPr>
            <w:r w:rsidRPr="0049551E">
              <w:rPr>
                <w:rFonts w:ascii="Times New Roman" w:hAnsi="Times New Roman"/>
                <w:b/>
                <w:sz w:val="20"/>
                <w:szCs w:val="20"/>
                <w:lang w:val="ro-RO"/>
              </w:rPr>
              <w:t>Ministerul Mediului şi</w:t>
            </w:r>
          </w:p>
          <w:p w:rsidR="00D70642" w:rsidRPr="0049551E" w:rsidRDefault="00D70642" w:rsidP="001945C1">
            <w:pPr>
              <w:spacing w:after="0" w:line="240" w:lineRule="auto"/>
              <w:jc w:val="center"/>
              <w:rPr>
                <w:rFonts w:ascii="Times New Roman" w:hAnsi="Times New Roman"/>
                <w:b/>
                <w:sz w:val="20"/>
                <w:szCs w:val="20"/>
                <w:lang w:val="ro-RO"/>
              </w:rPr>
            </w:pPr>
            <w:r w:rsidRPr="0049551E">
              <w:rPr>
                <w:rFonts w:ascii="Times New Roman" w:hAnsi="Times New Roman"/>
                <w:b/>
                <w:sz w:val="20"/>
                <w:szCs w:val="20"/>
                <w:lang w:val="ro-RO"/>
              </w:rPr>
              <w:t>Institutul de Ecologie şi Geografie</w:t>
            </w:r>
          </w:p>
          <w:p w:rsidR="00D70642" w:rsidRPr="0049551E" w:rsidRDefault="00D70642" w:rsidP="001945C1">
            <w:pPr>
              <w:spacing w:after="0" w:line="240" w:lineRule="auto"/>
              <w:jc w:val="center"/>
              <w:rPr>
                <w:rFonts w:ascii="Times New Roman" w:hAnsi="Times New Roman"/>
                <w:b/>
                <w:sz w:val="20"/>
                <w:szCs w:val="20"/>
                <w:lang w:val="ro-RO"/>
              </w:rPr>
            </w:pPr>
            <w:r w:rsidRPr="0049551E">
              <w:rPr>
                <w:rFonts w:ascii="Times New Roman" w:hAnsi="Times New Roman"/>
                <w:b/>
                <w:sz w:val="20"/>
                <w:szCs w:val="20"/>
                <w:lang w:val="ro-RO"/>
              </w:rPr>
              <w:t>pe lîngă (Academia de Ştiinţă a Moldovei)</w:t>
            </w:r>
          </w:p>
        </w:tc>
        <w:tc>
          <w:tcPr>
            <w:tcW w:w="10500" w:type="dxa"/>
          </w:tcPr>
          <w:p w:rsidR="00D70642" w:rsidRPr="0049551E" w:rsidRDefault="00D70642" w:rsidP="00167107">
            <w:pPr>
              <w:spacing w:after="0" w:line="240" w:lineRule="auto"/>
              <w:jc w:val="both"/>
              <w:rPr>
                <w:rFonts w:ascii="Times New Roman" w:hAnsi="Times New Roman"/>
                <w:sz w:val="20"/>
                <w:szCs w:val="20"/>
                <w:lang w:val="ro-RO"/>
              </w:rPr>
            </w:pPr>
            <w:r w:rsidRPr="0049551E">
              <w:rPr>
                <w:rFonts w:ascii="Times New Roman" w:hAnsi="Times New Roman"/>
                <w:sz w:val="20"/>
                <w:szCs w:val="20"/>
                <w:lang w:val="ro-RO"/>
              </w:rPr>
              <w:t>La punctul 2, subpunctele 2 şi 3 să fie prezentate în următoarea redacţie:</w:t>
            </w:r>
          </w:p>
          <w:p w:rsidR="00D70642" w:rsidRPr="0049551E" w:rsidRDefault="00D70642" w:rsidP="00167107">
            <w:pPr>
              <w:spacing w:after="0" w:line="240" w:lineRule="auto"/>
              <w:jc w:val="both"/>
              <w:rPr>
                <w:rFonts w:ascii="Times New Roman" w:hAnsi="Times New Roman"/>
                <w:sz w:val="20"/>
                <w:szCs w:val="20"/>
                <w:lang w:val="ro-RO"/>
              </w:rPr>
            </w:pPr>
            <w:r w:rsidRPr="0049551E">
              <w:rPr>
                <w:rFonts w:ascii="Times New Roman" w:hAnsi="Times New Roman"/>
                <w:sz w:val="20"/>
                <w:szCs w:val="20"/>
                <w:lang w:val="ro-RO"/>
              </w:rPr>
              <w:t>2) Sticlele se vor umple cu apă distilată, la temperatura de 20°C, până la nivelul de umplere corespunzător (semnul cotă) metodei de verificare utilizate. (Utilizarea apei distilate este necesară deoarece, apele din diferite localităţi în dependenţă de gradul de poluare pot avea diverse densităţi. Apa distilată asigură densitatea constantă a apei utilizate pentru cântărire care este egală cu 1 g /cm3).</w:t>
            </w:r>
          </w:p>
          <w:p w:rsidR="00D70642" w:rsidRPr="0049551E" w:rsidRDefault="00D70642" w:rsidP="00167107">
            <w:pPr>
              <w:spacing w:after="0" w:line="240" w:lineRule="auto"/>
              <w:jc w:val="both"/>
              <w:rPr>
                <w:rFonts w:ascii="Times New Roman" w:hAnsi="Times New Roman"/>
                <w:sz w:val="20"/>
                <w:szCs w:val="20"/>
                <w:lang w:val="ro-RO"/>
              </w:rPr>
            </w:pPr>
            <w:r w:rsidRPr="0049551E">
              <w:rPr>
                <w:rFonts w:ascii="Times New Roman" w:hAnsi="Times New Roman"/>
                <w:sz w:val="20"/>
                <w:szCs w:val="20"/>
                <w:lang w:val="ro-RO"/>
              </w:rPr>
              <w:t>3) După umplerea sticlelor cu apă distilată pînă la nivelul corespunzător (cotă) se cîntăresc.</w:t>
            </w:r>
          </w:p>
        </w:tc>
        <w:tc>
          <w:tcPr>
            <w:tcW w:w="3432" w:type="dxa"/>
          </w:tcPr>
          <w:p w:rsidR="00D70642" w:rsidRPr="0049551E" w:rsidRDefault="00D70642" w:rsidP="001945C1">
            <w:pPr>
              <w:spacing w:after="0" w:line="240" w:lineRule="auto"/>
              <w:jc w:val="both"/>
              <w:rPr>
                <w:rFonts w:ascii="Times New Roman" w:hAnsi="Times New Roman"/>
                <w:sz w:val="20"/>
                <w:szCs w:val="20"/>
                <w:lang w:val="ro-RO"/>
              </w:rPr>
            </w:pPr>
            <w:r w:rsidRPr="0049551E">
              <w:rPr>
                <w:rFonts w:ascii="Times New Roman" w:hAnsi="Times New Roman"/>
                <w:b/>
                <w:sz w:val="20"/>
                <w:szCs w:val="20"/>
                <w:lang w:val="ro-RO"/>
              </w:rPr>
              <w:t>Nu se acceptă</w:t>
            </w:r>
            <w:r w:rsidRPr="0049551E">
              <w:rPr>
                <w:rFonts w:ascii="Times New Roman" w:hAnsi="Times New Roman"/>
                <w:sz w:val="20"/>
                <w:szCs w:val="20"/>
                <w:lang w:val="ro-RO"/>
              </w:rPr>
              <w:t xml:space="preserve"> din motivul că directiva care se transpune stipulează că la verificarea metrologică nu se utilizează apă distilată. </w:t>
            </w:r>
          </w:p>
        </w:tc>
      </w:tr>
      <w:tr w:rsidR="00D70642" w:rsidRPr="0049551E" w:rsidTr="008C3D3F">
        <w:tc>
          <w:tcPr>
            <w:tcW w:w="720" w:type="dxa"/>
          </w:tcPr>
          <w:p w:rsidR="00D70642" w:rsidRPr="0049551E" w:rsidRDefault="00D70642" w:rsidP="001945C1">
            <w:pPr>
              <w:spacing w:after="0" w:line="240" w:lineRule="auto"/>
              <w:jc w:val="center"/>
              <w:rPr>
                <w:rFonts w:ascii="Times New Roman" w:hAnsi="Times New Roman"/>
                <w:b/>
                <w:sz w:val="20"/>
                <w:szCs w:val="20"/>
                <w:lang w:val="ro-RO"/>
              </w:rPr>
            </w:pPr>
            <w:r w:rsidRPr="0049551E">
              <w:rPr>
                <w:rFonts w:ascii="Times New Roman" w:hAnsi="Times New Roman"/>
                <w:b/>
                <w:sz w:val="20"/>
                <w:szCs w:val="20"/>
                <w:lang w:val="ro-RO"/>
              </w:rPr>
              <w:t>5</w:t>
            </w:r>
          </w:p>
        </w:tc>
        <w:tc>
          <w:tcPr>
            <w:tcW w:w="1620" w:type="dxa"/>
          </w:tcPr>
          <w:p w:rsidR="00D70642" w:rsidRPr="0049551E" w:rsidRDefault="00D70642" w:rsidP="001945C1">
            <w:pPr>
              <w:spacing w:after="0" w:line="240" w:lineRule="auto"/>
              <w:jc w:val="center"/>
              <w:rPr>
                <w:rFonts w:ascii="Times New Roman" w:hAnsi="Times New Roman"/>
                <w:b/>
                <w:sz w:val="20"/>
                <w:szCs w:val="20"/>
                <w:lang w:val="ro-RO"/>
              </w:rPr>
            </w:pPr>
            <w:r w:rsidRPr="0049551E">
              <w:rPr>
                <w:rFonts w:ascii="Times New Roman" w:hAnsi="Times New Roman"/>
                <w:b/>
                <w:sz w:val="20"/>
                <w:szCs w:val="20"/>
                <w:lang w:val="ro-RO"/>
              </w:rPr>
              <w:t>Confederaţia Naţională a Sindicatelor</w:t>
            </w:r>
          </w:p>
        </w:tc>
        <w:tc>
          <w:tcPr>
            <w:tcW w:w="10500" w:type="dxa"/>
          </w:tcPr>
          <w:p w:rsidR="00D70642" w:rsidRPr="0049551E" w:rsidRDefault="00D70642" w:rsidP="001945C1">
            <w:pPr>
              <w:spacing w:after="0" w:line="240" w:lineRule="auto"/>
              <w:rPr>
                <w:rFonts w:ascii="Times New Roman" w:hAnsi="Times New Roman"/>
                <w:sz w:val="20"/>
                <w:szCs w:val="20"/>
                <w:lang w:val="ro-RO"/>
              </w:rPr>
            </w:pPr>
            <w:r w:rsidRPr="0049551E">
              <w:rPr>
                <w:rFonts w:ascii="Times New Roman" w:hAnsi="Times New Roman"/>
                <w:sz w:val="20"/>
                <w:szCs w:val="20"/>
                <w:lang w:val="ro-RO"/>
              </w:rPr>
              <w:t>Lipsă de obiecţii şi propuneri.</w:t>
            </w:r>
          </w:p>
          <w:p w:rsidR="00D70642" w:rsidRPr="0049551E" w:rsidRDefault="00D70642" w:rsidP="001945C1">
            <w:pPr>
              <w:spacing w:after="0" w:line="240" w:lineRule="auto"/>
              <w:rPr>
                <w:rFonts w:ascii="Times New Roman" w:hAnsi="Times New Roman"/>
                <w:sz w:val="20"/>
                <w:szCs w:val="20"/>
                <w:lang w:val="ro-RO"/>
              </w:rPr>
            </w:pPr>
          </w:p>
        </w:tc>
        <w:tc>
          <w:tcPr>
            <w:tcW w:w="3432" w:type="dxa"/>
          </w:tcPr>
          <w:p w:rsidR="00D70642" w:rsidRPr="0049551E" w:rsidRDefault="00D70642" w:rsidP="001945C1">
            <w:pPr>
              <w:spacing w:after="0" w:line="240" w:lineRule="auto"/>
              <w:jc w:val="both"/>
              <w:rPr>
                <w:rFonts w:ascii="Times New Roman" w:hAnsi="Times New Roman"/>
                <w:sz w:val="20"/>
                <w:szCs w:val="20"/>
                <w:lang w:val="ro-RO"/>
              </w:rPr>
            </w:pPr>
          </w:p>
        </w:tc>
      </w:tr>
      <w:tr w:rsidR="00D70642" w:rsidRPr="0049551E" w:rsidTr="008C3D3F">
        <w:tc>
          <w:tcPr>
            <w:tcW w:w="720" w:type="dxa"/>
          </w:tcPr>
          <w:p w:rsidR="00D70642" w:rsidRPr="0049551E" w:rsidRDefault="00D70642" w:rsidP="001945C1">
            <w:pPr>
              <w:spacing w:after="0" w:line="240" w:lineRule="auto"/>
              <w:jc w:val="center"/>
              <w:rPr>
                <w:rFonts w:ascii="Times New Roman" w:hAnsi="Times New Roman"/>
                <w:b/>
                <w:sz w:val="20"/>
                <w:szCs w:val="20"/>
                <w:lang w:val="ro-RO"/>
              </w:rPr>
            </w:pPr>
            <w:r w:rsidRPr="0049551E">
              <w:rPr>
                <w:rFonts w:ascii="Times New Roman" w:hAnsi="Times New Roman"/>
                <w:b/>
                <w:sz w:val="20"/>
                <w:szCs w:val="20"/>
                <w:lang w:val="ro-RO"/>
              </w:rPr>
              <w:t>6</w:t>
            </w:r>
          </w:p>
        </w:tc>
        <w:tc>
          <w:tcPr>
            <w:tcW w:w="1620" w:type="dxa"/>
          </w:tcPr>
          <w:p w:rsidR="00D70642" w:rsidRPr="0049551E" w:rsidRDefault="00D70642" w:rsidP="001945C1">
            <w:pPr>
              <w:spacing w:after="0" w:line="240" w:lineRule="auto"/>
              <w:jc w:val="center"/>
              <w:rPr>
                <w:rFonts w:ascii="Times New Roman" w:hAnsi="Times New Roman"/>
                <w:b/>
                <w:sz w:val="20"/>
                <w:szCs w:val="20"/>
                <w:lang w:val="ro-RO"/>
              </w:rPr>
            </w:pPr>
            <w:r w:rsidRPr="0049551E">
              <w:rPr>
                <w:rFonts w:ascii="Times New Roman" w:hAnsi="Times New Roman"/>
                <w:b/>
                <w:sz w:val="20"/>
                <w:szCs w:val="20"/>
                <w:lang w:val="ro-RO"/>
              </w:rPr>
              <w:t>Confederaţia Naţională a Patronatelor</w:t>
            </w:r>
          </w:p>
        </w:tc>
        <w:tc>
          <w:tcPr>
            <w:tcW w:w="10500" w:type="dxa"/>
          </w:tcPr>
          <w:p w:rsidR="00D70642" w:rsidRPr="0049551E" w:rsidRDefault="00D70642" w:rsidP="001945C1">
            <w:pPr>
              <w:spacing w:after="0" w:line="240" w:lineRule="auto"/>
              <w:rPr>
                <w:rFonts w:ascii="Times New Roman" w:hAnsi="Times New Roman"/>
                <w:sz w:val="20"/>
                <w:szCs w:val="20"/>
                <w:lang w:val="ro-RO"/>
              </w:rPr>
            </w:pPr>
            <w:r w:rsidRPr="0049551E">
              <w:rPr>
                <w:rFonts w:ascii="Times New Roman" w:hAnsi="Times New Roman"/>
                <w:sz w:val="20"/>
                <w:szCs w:val="20"/>
                <w:lang w:val="ro-RO"/>
              </w:rPr>
              <w:t>Lipsă de obiecţii şi propuneri.</w:t>
            </w:r>
          </w:p>
        </w:tc>
        <w:tc>
          <w:tcPr>
            <w:tcW w:w="3432" w:type="dxa"/>
          </w:tcPr>
          <w:p w:rsidR="00D70642" w:rsidRPr="0049551E" w:rsidRDefault="00D70642" w:rsidP="001945C1">
            <w:pPr>
              <w:spacing w:after="0" w:line="240" w:lineRule="auto"/>
              <w:jc w:val="both"/>
              <w:rPr>
                <w:rFonts w:ascii="Times New Roman" w:hAnsi="Times New Roman"/>
                <w:sz w:val="20"/>
                <w:szCs w:val="20"/>
                <w:lang w:val="ro-RO"/>
              </w:rPr>
            </w:pPr>
          </w:p>
        </w:tc>
      </w:tr>
      <w:tr w:rsidR="00D70642" w:rsidRPr="0049551E" w:rsidTr="008C3D3F">
        <w:tc>
          <w:tcPr>
            <w:tcW w:w="720" w:type="dxa"/>
            <w:vMerge w:val="restart"/>
          </w:tcPr>
          <w:p w:rsidR="00D70642" w:rsidRPr="0049551E" w:rsidRDefault="00D70642" w:rsidP="001945C1">
            <w:pPr>
              <w:spacing w:after="0" w:line="240" w:lineRule="auto"/>
              <w:jc w:val="center"/>
              <w:rPr>
                <w:rFonts w:ascii="Times New Roman" w:hAnsi="Times New Roman"/>
                <w:b/>
                <w:sz w:val="20"/>
                <w:szCs w:val="20"/>
                <w:lang w:val="ro-RO"/>
              </w:rPr>
            </w:pPr>
            <w:r w:rsidRPr="0049551E">
              <w:rPr>
                <w:rFonts w:ascii="Times New Roman" w:hAnsi="Times New Roman"/>
                <w:b/>
                <w:sz w:val="20"/>
                <w:szCs w:val="20"/>
                <w:lang w:val="ro-RO"/>
              </w:rPr>
              <w:t>7</w:t>
            </w:r>
          </w:p>
        </w:tc>
        <w:tc>
          <w:tcPr>
            <w:tcW w:w="1620" w:type="dxa"/>
            <w:vMerge w:val="restart"/>
          </w:tcPr>
          <w:p w:rsidR="00D70642" w:rsidRPr="0049551E" w:rsidRDefault="00D70642" w:rsidP="001945C1">
            <w:pPr>
              <w:spacing w:after="0" w:line="240" w:lineRule="auto"/>
              <w:jc w:val="center"/>
              <w:rPr>
                <w:rFonts w:ascii="Times New Roman" w:hAnsi="Times New Roman"/>
                <w:b/>
                <w:sz w:val="20"/>
                <w:szCs w:val="20"/>
                <w:lang w:val="ro-RO"/>
              </w:rPr>
            </w:pPr>
            <w:r w:rsidRPr="0049551E">
              <w:rPr>
                <w:rFonts w:ascii="Times New Roman" w:hAnsi="Times New Roman"/>
                <w:b/>
                <w:sz w:val="20"/>
                <w:szCs w:val="20"/>
                <w:lang w:val="ro-RO"/>
              </w:rPr>
              <w:t>Centrul Naţional de Acreditare (MOLDAC)</w:t>
            </w:r>
          </w:p>
        </w:tc>
        <w:tc>
          <w:tcPr>
            <w:tcW w:w="10500" w:type="dxa"/>
          </w:tcPr>
          <w:p w:rsidR="00D70642" w:rsidRPr="0049551E" w:rsidRDefault="00D70642" w:rsidP="001945C1">
            <w:pPr>
              <w:spacing w:after="0" w:line="240" w:lineRule="auto"/>
              <w:rPr>
                <w:rFonts w:ascii="Times New Roman" w:hAnsi="Times New Roman"/>
                <w:sz w:val="20"/>
                <w:szCs w:val="20"/>
                <w:lang w:val="ro-RO"/>
              </w:rPr>
            </w:pPr>
            <w:r w:rsidRPr="0049551E">
              <w:rPr>
                <w:rFonts w:ascii="Times New Roman" w:hAnsi="Times New Roman"/>
                <w:sz w:val="20"/>
                <w:szCs w:val="20"/>
                <w:lang w:val="ro-RO"/>
              </w:rPr>
              <w:t>În Anexa 1, p. 2, subpunctul 2 noţiunea spaţiu liber să fie înlocuită cu noţiunea golul sticlei conform Directivei 75/107/CEE.</w:t>
            </w:r>
          </w:p>
          <w:p w:rsidR="00D70642" w:rsidRPr="0049551E" w:rsidRDefault="00D70642" w:rsidP="001945C1">
            <w:pPr>
              <w:spacing w:after="0" w:line="240" w:lineRule="auto"/>
              <w:rPr>
                <w:rFonts w:ascii="Times New Roman" w:hAnsi="Times New Roman"/>
                <w:sz w:val="20"/>
                <w:szCs w:val="20"/>
                <w:lang w:val="ro-RO"/>
              </w:rPr>
            </w:pPr>
          </w:p>
        </w:tc>
        <w:tc>
          <w:tcPr>
            <w:tcW w:w="3432" w:type="dxa"/>
          </w:tcPr>
          <w:p w:rsidR="00D70642" w:rsidRPr="0049551E" w:rsidRDefault="00D70642" w:rsidP="001945C1">
            <w:pPr>
              <w:spacing w:after="0" w:line="240" w:lineRule="auto"/>
              <w:jc w:val="both"/>
              <w:rPr>
                <w:rFonts w:ascii="Times New Roman" w:hAnsi="Times New Roman"/>
                <w:sz w:val="20"/>
                <w:szCs w:val="20"/>
                <w:lang w:val="ro-RO"/>
              </w:rPr>
            </w:pPr>
            <w:r w:rsidRPr="0049551E">
              <w:rPr>
                <w:rFonts w:ascii="Times New Roman" w:hAnsi="Times New Roman"/>
                <w:b/>
                <w:sz w:val="20"/>
                <w:szCs w:val="20"/>
                <w:lang w:val="ro-RO"/>
              </w:rPr>
              <w:t>Se acceptă.</w:t>
            </w:r>
          </w:p>
        </w:tc>
      </w:tr>
      <w:tr w:rsidR="00D70642" w:rsidRPr="0049551E" w:rsidTr="008C3D3F">
        <w:tc>
          <w:tcPr>
            <w:tcW w:w="720" w:type="dxa"/>
            <w:vMerge/>
          </w:tcPr>
          <w:p w:rsidR="00D70642" w:rsidRPr="0049551E" w:rsidRDefault="00D70642" w:rsidP="001945C1">
            <w:pPr>
              <w:spacing w:after="0" w:line="240" w:lineRule="auto"/>
              <w:jc w:val="center"/>
              <w:rPr>
                <w:rFonts w:ascii="Times New Roman" w:hAnsi="Times New Roman"/>
                <w:b/>
                <w:sz w:val="20"/>
                <w:szCs w:val="20"/>
                <w:lang w:val="ro-RO"/>
              </w:rPr>
            </w:pPr>
          </w:p>
        </w:tc>
        <w:tc>
          <w:tcPr>
            <w:tcW w:w="1620" w:type="dxa"/>
            <w:vMerge/>
          </w:tcPr>
          <w:p w:rsidR="00D70642" w:rsidRPr="0049551E" w:rsidRDefault="00D70642" w:rsidP="001945C1">
            <w:pPr>
              <w:spacing w:after="0" w:line="240" w:lineRule="auto"/>
              <w:jc w:val="center"/>
              <w:rPr>
                <w:rFonts w:ascii="Times New Roman" w:hAnsi="Times New Roman"/>
                <w:b/>
                <w:sz w:val="20"/>
                <w:szCs w:val="20"/>
                <w:lang w:val="ro-RO"/>
              </w:rPr>
            </w:pPr>
          </w:p>
        </w:tc>
        <w:tc>
          <w:tcPr>
            <w:tcW w:w="10500" w:type="dxa"/>
          </w:tcPr>
          <w:p w:rsidR="00D70642" w:rsidRPr="0049551E" w:rsidRDefault="00D70642" w:rsidP="00167107">
            <w:pPr>
              <w:spacing w:after="0" w:line="240" w:lineRule="auto"/>
              <w:jc w:val="both"/>
              <w:rPr>
                <w:rFonts w:ascii="Times New Roman" w:hAnsi="Times New Roman"/>
                <w:sz w:val="20"/>
                <w:szCs w:val="20"/>
                <w:lang w:val="ro-RO"/>
              </w:rPr>
            </w:pPr>
            <w:r w:rsidRPr="0049551E">
              <w:rPr>
                <w:rFonts w:ascii="Times New Roman" w:hAnsi="Times New Roman"/>
                <w:sz w:val="20"/>
                <w:szCs w:val="20"/>
                <w:lang w:val="ro-RO"/>
              </w:rPr>
              <w:t>În Anexa 1 p.7 fraza „Sticlele vor avea marcate, în mod lizibil, vizibil şi de neşters, următoarele inscripţii” să fie înlocuită cu fraza: sticlă utilizată ca recipient de măsurare trebuie să poarte următoarele indicaţii uşor lizibile, vizibile şi de neşters.</w:t>
            </w:r>
          </w:p>
        </w:tc>
        <w:tc>
          <w:tcPr>
            <w:tcW w:w="3432" w:type="dxa"/>
          </w:tcPr>
          <w:p w:rsidR="00D70642" w:rsidRPr="0049551E" w:rsidRDefault="00D70642" w:rsidP="001945C1">
            <w:pPr>
              <w:spacing w:after="0" w:line="240" w:lineRule="auto"/>
              <w:jc w:val="both"/>
              <w:rPr>
                <w:rFonts w:ascii="Times New Roman" w:hAnsi="Times New Roman"/>
                <w:sz w:val="20"/>
                <w:szCs w:val="20"/>
                <w:lang w:val="ro-RO"/>
              </w:rPr>
            </w:pPr>
            <w:r w:rsidRPr="0049551E">
              <w:rPr>
                <w:rFonts w:ascii="Times New Roman" w:hAnsi="Times New Roman"/>
                <w:b/>
                <w:sz w:val="20"/>
                <w:szCs w:val="20"/>
                <w:lang w:val="ro-RO"/>
              </w:rPr>
              <w:t>Se acceptă</w:t>
            </w:r>
            <w:r w:rsidRPr="0049551E">
              <w:rPr>
                <w:rFonts w:ascii="Times New Roman" w:hAnsi="Times New Roman"/>
                <w:sz w:val="20"/>
                <w:szCs w:val="20"/>
                <w:lang w:val="ro-RO"/>
              </w:rPr>
              <w:t>.</w:t>
            </w:r>
          </w:p>
        </w:tc>
      </w:tr>
      <w:tr w:rsidR="00D70642" w:rsidRPr="0049551E" w:rsidTr="008C3D3F">
        <w:tc>
          <w:tcPr>
            <w:tcW w:w="720" w:type="dxa"/>
            <w:vMerge/>
          </w:tcPr>
          <w:p w:rsidR="00D70642" w:rsidRPr="0049551E" w:rsidRDefault="00D70642" w:rsidP="001945C1">
            <w:pPr>
              <w:spacing w:after="0" w:line="240" w:lineRule="auto"/>
              <w:jc w:val="center"/>
              <w:rPr>
                <w:rFonts w:ascii="Times New Roman" w:hAnsi="Times New Roman"/>
                <w:b/>
                <w:sz w:val="20"/>
                <w:szCs w:val="20"/>
                <w:lang w:val="ro-RO"/>
              </w:rPr>
            </w:pPr>
          </w:p>
        </w:tc>
        <w:tc>
          <w:tcPr>
            <w:tcW w:w="1620" w:type="dxa"/>
            <w:vMerge/>
          </w:tcPr>
          <w:p w:rsidR="00D70642" w:rsidRPr="0049551E" w:rsidRDefault="00D70642" w:rsidP="001945C1">
            <w:pPr>
              <w:spacing w:after="0" w:line="240" w:lineRule="auto"/>
              <w:jc w:val="center"/>
              <w:rPr>
                <w:rFonts w:ascii="Times New Roman" w:hAnsi="Times New Roman"/>
                <w:b/>
                <w:sz w:val="20"/>
                <w:szCs w:val="20"/>
                <w:lang w:val="ro-RO"/>
              </w:rPr>
            </w:pPr>
          </w:p>
        </w:tc>
        <w:tc>
          <w:tcPr>
            <w:tcW w:w="10500" w:type="dxa"/>
          </w:tcPr>
          <w:p w:rsidR="00D70642" w:rsidRPr="0049551E" w:rsidRDefault="00D70642" w:rsidP="00167107">
            <w:pPr>
              <w:spacing w:after="0" w:line="240" w:lineRule="auto"/>
              <w:jc w:val="both"/>
              <w:rPr>
                <w:rFonts w:ascii="Times New Roman" w:hAnsi="Times New Roman"/>
                <w:sz w:val="20"/>
                <w:szCs w:val="20"/>
                <w:lang w:val="ro-RO"/>
              </w:rPr>
            </w:pPr>
            <w:r w:rsidRPr="0049551E">
              <w:rPr>
                <w:rFonts w:ascii="Times New Roman" w:hAnsi="Times New Roman"/>
                <w:sz w:val="20"/>
                <w:szCs w:val="20"/>
                <w:lang w:val="ro-RO"/>
              </w:rPr>
              <w:t>În Anexa 2, p. 3.1 a) notarea abaterii standard estimate şi a capacităţilor reale xi să fie înlocuită cu x,.</w:t>
            </w:r>
          </w:p>
        </w:tc>
        <w:tc>
          <w:tcPr>
            <w:tcW w:w="3432" w:type="dxa"/>
          </w:tcPr>
          <w:p w:rsidR="00D70642" w:rsidRPr="0049551E" w:rsidRDefault="00D70642" w:rsidP="001945C1">
            <w:pPr>
              <w:spacing w:after="0" w:line="240" w:lineRule="auto"/>
              <w:jc w:val="both"/>
              <w:rPr>
                <w:rFonts w:ascii="Times New Roman" w:hAnsi="Times New Roman"/>
                <w:sz w:val="20"/>
                <w:szCs w:val="20"/>
                <w:lang w:val="ro-RO"/>
              </w:rPr>
            </w:pPr>
            <w:r w:rsidRPr="0049551E">
              <w:rPr>
                <w:rFonts w:ascii="Times New Roman" w:hAnsi="Times New Roman"/>
                <w:b/>
                <w:sz w:val="20"/>
                <w:szCs w:val="20"/>
                <w:lang w:val="ro-RO"/>
              </w:rPr>
              <w:t>Se acceptă</w:t>
            </w:r>
            <w:r w:rsidRPr="0049551E">
              <w:rPr>
                <w:rFonts w:ascii="Times New Roman" w:hAnsi="Times New Roman"/>
                <w:sz w:val="20"/>
                <w:szCs w:val="20"/>
                <w:lang w:val="ro-RO"/>
              </w:rPr>
              <w:t>.</w:t>
            </w:r>
          </w:p>
        </w:tc>
      </w:tr>
      <w:tr w:rsidR="00D70642" w:rsidRPr="0049551E" w:rsidTr="008C3D3F">
        <w:trPr>
          <w:trHeight w:val="637"/>
        </w:trPr>
        <w:tc>
          <w:tcPr>
            <w:tcW w:w="720" w:type="dxa"/>
            <w:vMerge/>
          </w:tcPr>
          <w:p w:rsidR="00D70642" w:rsidRPr="0049551E" w:rsidRDefault="00D70642" w:rsidP="001945C1">
            <w:pPr>
              <w:spacing w:after="0" w:line="240" w:lineRule="auto"/>
              <w:jc w:val="center"/>
              <w:rPr>
                <w:rFonts w:ascii="Times New Roman" w:hAnsi="Times New Roman"/>
                <w:b/>
                <w:sz w:val="20"/>
                <w:szCs w:val="20"/>
                <w:lang w:val="ro-RO"/>
              </w:rPr>
            </w:pPr>
          </w:p>
        </w:tc>
        <w:tc>
          <w:tcPr>
            <w:tcW w:w="1620" w:type="dxa"/>
            <w:vMerge/>
          </w:tcPr>
          <w:p w:rsidR="00D70642" w:rsidRPr="0049551E" w:rsidRDefault="00D70642" w:rsidP="001945C1">
            <w:pPr>
              <w:spacing w:after="0" w:line="240" w:lineRule="auto"/>
              <w:jc w:val="center"/>
              <w:rPr>
                <w:rFonts w:ascii="Times New Roman" w:hAnsi="Times New Roman"/>
                <w:b/>
                <w:sz w:val="20"/>
                <w:szCs w:val="20"/>
                <w:lang w:val="ro-RO"/>
              </w:rPr>
            </w:pPr>
          </w:p>
        </w:tc>
        <w:tc>
          <w:tcPr>
            <w:tcW w:w="10500" w:type="dxa"/>
          </w:tcPr>
          <w:p w:rsidR="00D70642" w:rsidRPr="0049551E" w:rsidRDefault="00D70642" w:rsidP="001945C1">
            <w:pPr>
              <w:spacing w:after="0" w:line="240" w:lineRule="auto"/>
              <w:rPr>
                <w:rFonts w:ascii="Times New Roman" w:hAnsi="Times New Roman"/>
                <w:sz w:val="20"/>
                <w:szCs w:val="20"/>
                <w:lang w:val="ro-RO"/>
              </w:rPr>
            </w:pPr>
            <w:r w:rsidRPr="0049551E">
              <w:rPr>
                <w:rFonts w:ascii="Times New Roman" w:hAnsi="Times New Roman"/>
                <w:sz w:val="20"/>
                <w:szCs w:val="20"/>
                <w:lang w:val="ro-RO"/>
              </w:rPr>
              <w:t>În Anexa 2, p. 3.2 a) cuvîntul butelii să fie înlocuit cu cuvîntul sticle.</w:t>
            </w:r>
          </w:p>
        </w:tc>
        <w:tc>
          <w:tcPr>
            <w:tcW w:w="3432" w:type="dxa"/>
          </w:tcPr>
          <w:p w:rsidR="00D70642" w:rsidRPr="0049551E" w:rsidRDefault="00D70642" w:rsidP="001945C1">
            <w:pPr>
              <w:spacing w:after="0" w:line="240" w:lineRule="auto"/>
              <w:jc w:val="both"/>
              <w:rPr>
                <w:rFonts w:ascii="Times New Roman" w:hAnsi="Times New Roman"/>
                <w:sz w:val="20"/>
                <w:szCs w:val="20"/>
                <w:lang w:val="ro-RO"/>
              </w:rPr>
            </w:pPr>
            <w:r w:rsidRPr="0049551E">
              <w:rPr>
                <w:rFonts w:ascii="Times New Roman" w:hAnsi="Times New Roman"/>
                <w:b/>
                <w:sz w:val="20"/>
                <w:szCs w:val="20"/>
                <w:lang w:val="ro-RO"/>
              </w:rPr>
              <w:t>Se acceptă</w:t>
            </w:r>
            <w:r w:rsidRPr="0049551E">
              <w:rPr>
                <w:rFonts w:ascii="Times New Roman" w:hAnsi="Times New Roman"/>
                <w:sz w:val="20"/>
                <w:szCs w:val="20"/>
                <w:lang w:val="ro-RO"/>
              </w:rPr>
              <w:t>.</w:t>
            </w:r>
          </w:p>
        </w:tc>
      </w:tr>
      <w:tr w:rsidR="00D70642" w:rsidRPr="0049551E" w:rsidTr="008C3D3F">
        <w:tc>
          <w:tcPr>
            <w:tcW w:w="720" w:type="dxa"/>
          </w:tcPr>
          <w:p w:rsidR="00D70642" w:rsidRPr="0049551E" w:rsidRDefault="00D70642" w:rsidP="001945C1">
            <w:pPr>
              <w:spacing w:after="0" w:line="240" w:lineRule="auto"/>
              <w:jc w:val="center"/>
              <w:rPr>
                <w:rFonts w:ascii="Times New Roman" w:hAnsi="Times New Roman"/>
                <w:b/>
                <w:sz w:val="20"/>
                <w:szCs w:val="20"/>
                <w:lang w:val="ro-RO"/>
              </w:rPr>
            </w:pPr>
            <w:r w:rsidRPr="0049551E">
              <w:rPr>
                <w:rFonts w:ascii="Times New Roman" w:hAnsi="Times New Roman"/>
                <w:b/>
                <w:sz w:val="20"/>
                <w:szCs w:val="20"/>
                <w:lang w:val="ro-RO"/>
              </w:rPr>
              <w:t>8</w:t>
            </w:r>
          </w:p>
        </w:tc>
        <w:tc>
          <w:tcPr>
            <w:tcW w:w="1620" w:type="dxa"/>
          </w:tcPr>
          <w:p w:rsidR="00D70642" w:rsidRPr="0049551E" w:rsidRDefault="00D70642" w:rsidP="007345F0">
            <w:pPr>
              <w:pStyle w:val="NoSpacing"/>
              <w:rPr>
                <w:rFonts w:ascii="Times New Roman" w:hAnsi="Times New Roman"/>
                <w:b/>
                <w:sz w:val="20"/>
                <w:szCs w:val="20"/>
                <w:lang w:val="ro-RO"/>
              </w:rPr>
            </w:pPr>
            <w:r w:rsidRPr="0049551E">
              <w:rPr>
                <w:rFonts w:ascii="Times New Roman" w:hAnsi="Times New Roman"/>
                <w:b/>
                <w:sz w:val="20"/>
                <w:szCs w:val="20"/>
                <w:lang w:val="ro-RO"/>
              </w:rPr>
              <w:t>Agenţia pentru Protecţia Consumatorilor</w:t>
            </w:r>
          </w:p>
        </w:tc>
        <w:tc>
          <w:tcPr>
            <w:tcW w:w="10500" w:type="dxa"/>
          </w:tcPr>
          <w:p w:rsidR="00D70642" w:rsidRPr="0049551E" w:rsidRDefault="00D70642" w:rsidP="00167107">
            <w:pPr>
              <w:pStyle w:val="NoSpacing"/>
              <w:jc w:val="both"/>
              <w:rPr>
                <w:rFonts w:ascii="Times New Roman" w:hAnsi="Times New Roman"/>
                <w:bCs/>
                <w:sz w:val="20"/>
                <w:szCs w:val="20"/>
                <w:lang w:val="ro-RO" w:eastAsia="ro-RO"/>
              </w:rPr>
            </w:pPr>
            <w:r w:rsidRPr="0049551E">
              <w:rPr>
                <w:rFonts w:ascii="Times New Roman" w:hAnsi="Times New Roman"/>
                <w:sz w:val="20"/>
                <w:szCs w:val="20"/>
                <w:lang w:val="ro-RO" w:eastAsia="ro-RO"/>
              </w:rPr>
              <w:t xml:space="preserve">     Proiectului de Hotărîre de Guvern cu privire la aprobarea regulamentului general de metrologie legală de stabilire a cerinţelor către sticle utilizate ca recipiente de măsurare (în continuare proiect de Hotărîre de Guvern) prevede că </w:t>
            </w:r>
            <w:r w:rsidRPr="0049551E">
              <w:rPr>
                <w:rFonts w:ascii="Times New Roman" w:hAnsi="Times New Roman"/>
                <w:sz w:val="20"/>
                <w:szCs w:val="20"/>
                <w:lang w:val="ro-MO"/>
              </w:rPr>
              <w:t>APC</w:t>
            </w:r>
            <w:r w:rsidRPr="0049551E">
              <w:rPr>
                <w:rFonts w:ascii="Times New Roman" w:hAnsi="Times New Roman"/>
                <w:sz w:val="20"/>
                <w:szCs w:val="20"/>
                <w:lang w:val="ro-RO" w:eastAsia="ro-RO"/>
              </w:rPr>
              <w:t xml:space="preserve">, în limitele competenţelor prevăzute de lege, efectuează verificări pentru a constata dacă sticlele îndeplinesc prevederile prezentului regulament. Înainte de a transpune Directiva menţionată, este necesar de </w:t>
            </w:r>
            <w:r w:rsidRPr="0049551E">
              <w:rPr>
                <w:rFonts w:ascii="Times New Roman" w:hAnsi="Times New Roman"/>
                <w:bCs/>
                <w:sz w:val="20"/>
                <w:szCs w:val="20"/>
                <w:lang w:val="ro-RO" w:eastAsia="ro-RO"/>
              </w:rPr>
              <w:t>corela prevederile proiectului de Hotărîre de Guvern cu prevederile cadrului legal-normativ existent care reglementează activitatea APC şi anume:</w:t>
            </w:r>
          </w:p>
          <w:p w:rsidR="00D70642" w:rsidRPr="0049551E" w:rsidRDefault="00D70642" w:rsidP="00167107">
            <w:pPr>
              <w:pStyle w:val="NoSpacing"/>
              <w:jc w:val="both"/>
              <w:rPr>
                <w:rFonts w:ascii="Times New Roman" w:hAnsi="Times New Roman"/>
                <w:sz w:val="20"/>
                <w:szCs w:val="20"/>
                <w:lang w:val="ro-RO"/>
              </w:rPr>
            </w:pPr>
            <w:r w:rsidRPr="0049551E">
              <w:rPr>
                <w:rFonts w:ascii="Times New Roman" w:hAnsi="Times New Roman"/>
                <w:bCs/>
                <w:sz w:val="20"/>
                <w:szCs w:val="20"/>
                <w:lang w:val="ro-RO" w:eastAsia="ro-RO"/>
              </w:rPr>
              <w:t>- modificarea Legii nr.647 din 17.11.95 și anume, la moment prevederile art.11 nu se răsfrîng asupra controlului metrologic legal în așa domeniul de interes public ca controlul calității proceselor și serviciilor.</w:t>
            </w:r>
          </w:p>
        </w:tc>
        <w:tc>
          <w:tcPr>
            <w:tcW w:w="3432" w:type="dxa"/>
          </w:tcPr>
          <w:p w:rsidR="00D70642" w:rsidRPr="0049551E" w:rsidRDefault="00D70642" w:rsidP="001945C1">
            <w:pPr>
              <w:pStyle w:val="NoSpacing"/>
              <w:jc w:val="both"/>
              <w:rPr>
                <w:rFonts w:ascii="Times New Roman" w:hAnsi="Times New Roman"/>
                <w:sz w:val="20"/>
                <w:szCs w:val="20"/>
                <w:lang w:val="ro-RO" w:eastAsia="ru-RU"/>
              </w:rPr>
            </w:pPr>
            <w:r w:rsidRPr="0049551E">
              <w:rPr>
                <w:rFonts w:ascii="Times New Roman" w:hAnsi="Times New Roman"/>
                <w:b/>
                <w:sz w:val="20"/>
                <w:szCs w:val="20"/>
                <w:lang w:val="ro-RO"/>
              </w:rPr>
              <w:t xml:space="preserve">Se acceptă. </w:t>
            </w:r>
            <w:r w:rsidRPr="0049551E">
              <w:rPr>
                <w:rFonts w:ascii="Times New Roman" w:hAnsi="Times New Roman"/>
                <w:sz w:val="20"/>
                <w:szCs w:val="20"/>
                <w:lang w:val="ro-RO"/>
              </w:rPr>
              <w:t>Au fost iniţiate modificări la</w:t>
            </w:r>
            <w:r w:rsidRPr="0049551E">
              <w:rPr>
                <w:rFonts w:ascii="Times New Roman" w:hAnsi="Times New Roman"/>
                <w:b/>
                <w:sz w:val="20"/>
                <w:szCs w:val="20"/>
                <w:lang w:val="ro-RO"/>
              </w:rPr>
              <w:t xml:space="preserve">  </w:t>
            </w:r>
            <w:r w:rsidRPr="0049551E">
              <w:rPr>
                <w:rFonts w:ascii="Times New Roman" w:hAnsi="Times New Roman"/>
                <w:bCs/>
                <w:sz w:val="20"/>
                <w:szCs w:val="20"/>
                <w:lang w:val="ro-RO" w:eastAsia="ro-RO"/>
              </w:rPr>
              <w:t>Legea nr.647 din 17.11.95.</w:t>
            </w:r>
          </w:p>
          <w:p w:rsidR="00D70642" w:rsidRPr="0049551E" w:rsidRDefault="00D70642" w:rsidP="001945C1">
            <w:pPr>
              <w:pStyle w:val="NoSpacing"/>
              <w:jc w:val="both"/>
              <w:rPr>
                <w:rFonts w:ascii="Times New Roman" w:hAnsi="Times New Roman"/>
                <w:sz w:val="20"/>
                <w:szCs w:val="20"/>
                <w:lang w:val="ro-RO"/>
              </w:rPr>
            </w:pPr>
          </w:p>
        </w:tc>
      </w:tr>
      <w:tr w:rsidR="00D70642" w:rsidRPr="0049551E" w:rsidTr="008C3D3F">
        <w:tc>
          <w:tcPr>
            <w:tcW w:w="720" w:type="dxa"/>
            <w:vMerge w:val="restart"/>
          </w:tcPr>
          <w:p w:rsidR="00D70642" w:rsidRPr="0049551E" w:rsidRDefault="00D70642" w:rsidP="001945C1">
            <w:pPr>
              <w:spacing w:after="0" w:line="240" w:lineRule="auto"/>
              <w:jc w:val="center"/>
              <w:rPr>
                <w:rFonts w:ascii="Times New Roman" w:hAnsi="Times New Roman"/>
                <w:b/>
                <w:sz w:val="20"/>
                <w:szCs w:val="20"/>
                <w:lang w:val="ro-RO"/>
              </w:rPr>
            </w:pPr>
          </w:p>
        </w:tc>
        <w:tc>
          <w:tcPr>
            <w:tcW w:w="1620" w:type="dxa"/>
            <w:vMerge w:val="restart"/>
          </w:tcPr>
          <w:p w:rsidR="00D70642" w:rsidRPr="0049551E" w:rsidRDefault="00D70642" w:rsidP="001945C1">
            <w:pPr>
              <w:spacing w:after="0" w:line="240" w:lineRule="auto"/>
              <w:jc w:val="center"/>
              <w:rPr>
                <w:rFonts w:ascii="Times New Roman" w:hAnsi="Times New Roman"/>
                <w:b/>
                <w:sz w:val="20"/>
                <w:szCs w:val="20"/>
                <w:lang w:val="ro-RO"/>
              </w:rPr>
            </w:pPr>
            <w:r w:rsidRPr="0049551E">
              <w:rPr>
                <w:rFonts w:ascii="Times New Roman" w:hAnsi="Times New Roman"/>
                <w:b/>
                <w:sz w:val="20"/>
                <w:szCs w:val="20"/>
                <w:lang w:val="ro-RO"/>
              </w:rPr>
              <w:t>Agenţia pentru Protecţia Consumatorilor</w:t>
            </w:r>
          </w:p>
          <w:p w:rsidR="00D70642" w:rsidRPr="0049551E" w:rsidRDefault="00D70642" w:rsidP="001945C1">
            <w:pPr>
              <w:jc w:val="center"/>
              <w:rPr>
                <w:rFonts w:ascii="Times New Roman" w:hAnsi="Times New Roman"/>
                <w:b/>
                <w:sz w:val="20"/>
                <w:szCs w:val="20"/>
                <w:lang w:val="ro-RO"/>
              </w:rPr>
            </w:pPr>
          </w:p>
        </w:tc>
        <w:tc>
          <w:tcPr>
            <w:tcW w:w="10500" w:type="dxa"/>
          </w:tcPr>
          <w:p w:rsidR="00D70642" w:rsidRPr="0049551E" w:rsidRDefault="00D70642" w:rsidP="001945C1">
            <w:pPr>
              <w:pStyle w:val="NoSpacing"/>
              <w:jc w:val="both"/>
              <w:rPr>
                <w:rFonts w:ascii="Times New Roman" w:hAnsi="Times New Roman"/>
                <w:bCs/>
                <w:sz w:val="20"/>
                <w:szCs w:val="20"/>
                <w:lang w:val="ro-RO" w:eastAsia="ro-RO"/>
              </w:rPr>
            </w:pPr>
            <w:r w:rsidRPr="0049551E">
              <w:rPr>
                <w:rFonts w:ascii="Times New Roman" w:hAnsi="Times New Roman"/>
                <w:bCs/>
                <w:sz w:val="20"/>
                <w:szCs w:val="20"/>
                <w:lang w:val="ro-RO" w:eastAsia="ro-RO"/>
              </w:rPr>
              <w:t xml:space="preserve">- de a introduce în capitolul I </w:t>
            </w:r>
            <w:r w:rsidRPr="0049551E">
              <w:rPr>
                <w:rFonts w:ascii="Times New Roman" w:hAnsi="Times New Roman"/>
                <w:sz w:val="20"/>
                <w:szCs w:val="20"/>
                <w:lang w:val="ro-RO"/>
              </w:rPr>
              <w:t xml:space="preserve">Dispoziții Generale </w:t>
            </w:r>
            <w:r w:rsidRPr="0049551E">
              <w:rPr>
                <w:rFonts w:ascii="Times New Roman" w:hAnsi="Times New Roman"/>
                <w:bCs/>
                <w:sz w:val="20"/>
                <w:szCs w:val="20"/>
                <w:lang w:val="ro-RO" w:eastAsia="ro-RO"/>
              </w:rPr>
              <w:t xml:space="preserve">al proiectului </w:t>
            </w:r>
            <w:r w:rsidRPr="0049551E">
              <w:rPr>
                <w:rFonts w:ascii="Times New Roman" w:hAnsi="Times New Roman"/>
                <w:sz w:val="20"/>
                <w:szCs w:val="20"/>
                <w:lang w:val="ro-RO" w:eastAsia="ro-RO"/>
              </w:rPr>
              <w:t xml:space="preserve">de Hotărîre de Guvern noțiunea </w:t>
            </w:r>
            <w:r w:rsidRPr="0049551E">
              <w:rPr>
                <w:rFonts w:ascii="Times New Roman" w:hAnsi="Times New Roman"/>
                <w:sz w:val="20"/>
                <w:szCs w:val="20"/>
                <w:lang w:val="en-US"/>
              </w:rPr>
              <w:t>„</w:t>
            </w:r>
            <w:r w:rsidRPr="0049551E">
              <w:rPr>
                <w:rFonts w:ascii="Times New Roman" w:hAnsi="Times New Roman"/>
                <w:sz w:val="20"/>
                <w:szCs w:val="20"/>
                <w:lang w:val="ro-RO"/>
              </w:rPr>
              <w:t>recipient de măsurare</w:t>
            </w:r>
            <w:r w:rsidRPr="0049551E">
              <w:rPr>
                <w:rFonts w:ascii="Times New Roman" w:hAnsi="Times New Roman"/>
                <w:sz w:val="20"/>
                <w:szCs w:val="20"/>
                <w:lang w:val="en-US"/>
              </w:rPr>
              <w:t>”;</w:t>
            </w:r>
          </w:p>
          <w:p w:rsidR="00D70642" w:rsidRPr="0049551E" w:rsidRDefault="00D70642" w:rsidP="001945C1">
            <w:pPr>
              <w:pStyle w:val="NoSpacing"/>
              <w:jc w:val="both"/>
              <w:rPr>
                <w:rFonts w:ascii="Times New Roman" w:hAnsi="Times New Roman"/>
                <w:sz w:val="20"/>
                <w:szCs w:val="20"/>
                <w:lang w:val="ro-MO"/>
              </w:rPr>
            </w:pPr>
          </w:p>
        </w:tc>
        <w:tc>
          <w:tcPr>
            <w:tcW w:w="3432" w:type="dxa"/>
          </w:tcPr>
          <w:p w:rsidR="00D70642" w:rsidRPr="0049551E" w:rsidRDefault="00D70642" w:rsidP="001945C1">
            <w:pPr>
              <w:pStyle w:val="NoSpacing"/>
              <w:jc w:val="both"/>
              <w:rPr>
                <w:rFonts w:ascii="Times New Roman" w:hAnsi="Times New Roman"/>
                <w:b/>
                <w:sz w:val="20"/>
                <w:szCs w:val="20"/>
                <w:lang w:val="ro-RO"/>
              </w:rPr>
            </w:pPr>
            <w:r w:rsidRPr="0049551E">
              <w:rPr>
                <w:rFonts w:ascii="Times New Roman" w:hAnsi="Times New Roman"/>
                <w:b/>
                <w:sz w:val="20"/>
                <w:szCs w:val="20"/>
                <w:lang w:val="en-US"/>
              </w:rPr>
              <w:t xml:space="preserve">Nu se </w:t>
            </w:r>
            <w:r w:rsidRPr="0049551E">
              <w:rPr>
                <w:rFonts w:ascii="Times New Roman" w:hAnsi="Times New Roman"/>
                <w:b/>
                <w:sz w:val="20"/>
                <w:szCs w:val="20"/>
                <w:lang w:val="ro-RO"/>
              </w:rPr>
              <w:t>acceptă,</w:t>
            </w:r>
          </w:p>
          <w:p w:rsidR="00D70642" w:rsidRPr="0049551E" w:rsidRDefault="00D70642" w:rsidP="001945C1">
            <w:pPr>
              <w:pStyle w:val="NoSpacing"/>
              <w:jc w:val="both"/>
              <w:rPr>
                <w:rFonts w:ascii="Times New Roman" w:hAnsi="Times New Roman"/>
                <w:sz w:val="20"/>
                <w:szCs w:val="20"/>
                <w:lang w:val="ro-RO"/>
              </w:rPr>
            </w:pPr>
            <w:r w:rsidRPr="0049551E">
              <w:rPr>
                <w:rFonts w:ascii="Times New Roman" w:hAnsi="Times New Roman"/>
                <w:sz w:val="20"/>
                <w:szCs w:val="20"/>
                <w:lang w:val="ro-RO"/>
              </w:rPr>
              <w:t xml:space="preserve">Conform pct.1 din regulament se stipulează că recipiente de măsurare sunt recipiente care au caracteristici prestabilite, conferind caracteristici metrologice similare, şi care: </w:t>
            </w:r>
          </w:p>
          <w:p w:rsidR="00D70642" w:rsidRPr="0049551E" w:rsidRDefault="00D70642" w:rsidP="001945C1">
            <w:pPr>
              <w:pStyle w:val="NoSpacing"/>
              <w:jc w:val="both"/>
              <w:rPr>
                <w:rFonts w:ascii="Times New Roman" w:hAnsi="Times New Roman"/>
                <w:sz w:val="20"/>
                <w:szCs w:val="20"/>
                <w:lang w:val="ro-RO"/>
              </w:rPr>
            </w:pPr>
            <w:r w:rsidRPr="0049551E">
              <w:rPr>
                <w:rFonts w:ascii="Times New Roman" w:hAnsi="Times New Roman"/>
                <w:sz w:val="20"/>
                <w:szCs w:val="20"/>
                <w:lang w:val="ro-RO"/>
              </w:rPr>
              <w:t xml:space="preserve">a) sunt capsulate (închise) sau sunt proiectate pentru a fi capsulate (închise) şi sunt destinate depozitării, transportului şi livrării de lichide; </w:t>
            </w:r>
          </w:p>
          <w:p w:rsidR="00D70642" w:rsidRPr="0049551E" w:rsidRDefault="00D70642" w:rsidP="001945C1">
            <w:pPr>
              <w:pStyle w:val="NoSpacing"/>
              <w:jc w:val="both"/>
              <w:rPr>
                <w:rFonts w:ascii="Times New Roman" w:hAnsi="Times New Roman"/>
                <w:sz w:val="20"/>
                <w:szCs w:val="20"/>
                <w:lang w:val="ro-RO"/>
              </w:rPr>
            </w:pPr>
            <w:r w:rsidRPr="0049551E">
              <w:rPr>
                <w:rFonts w:ascii="Times New Roman" w:hAnsi="Times New Roman"/>
                <w:sz w:val="20"/>
                <w:szCs w:val="20"/>
                <w:lang w:val="ro-RO"/>
              </w:rPr>
              <w:t xml:space="preserve">b) au o capacitate nominală cuprinsă între 0,05 l şi 5 l inclusiv; </w:t>
            </w:r>
          </w:p>
          <w:p w:rsidR="00D70642" w:rsidRPr="0049551E" w:rsidRDefault="00D70642" w:rsidP="001945C1">
            <w:pPr>
              <w:pStyle w:val="NoSpacing"/>
              <w:jc w:val="both"/>
              <w:rPr>
                <w:rFonts w:ascii="Times New Roman" w:hAnsi="Times New Roman"/>
                <w:sz w:val="20"/>
                <w:szCs w:val="20"/>
                <w:lang w:val="ro-RO"/>
              </w:rPr>
            </w:pPr>
            <w:r w:rsidRPr="0049551E">
              <w:rPr>
                <w:rFonts w:ascii="Times New Roman" w:hAnsi="Times New Roman"/>
                <w:sz w:val="20"/>
                <w:szCs w:val="20"/>
                <w:lang w:val="ro-RO"/>
              </w:rPr>
              <w:t xml:space="preserve">c) au asemenea caracteristici metrologice (caracteristici de proiectare şi fabricaţie) încât pot fi utilizate ca recipiente de măsurare, în sensul că atunci cînd sînt umplute pînă la un nivel specificat sau la un procentaj specificat din capacitatea maximă de umplere, conţinutul lor poate fi măsurat cu exactitate. </w:t>
            </w:r>
          </w:p>
          <w:p w:rsidR="00D70642" w:rsidRPr="0049551E" w:rsidRDefault="00D70642" w:rsidP="001945C1">
            <w:pPr>
              <w:pStyle w:val="NoSpacing"/>
              <w:jc w:val="both"/>
              <w:rPr>
                <w:rFonts w:ascii="Times New Roman" w:hAnsi="Times New Roman"/>
                <w:b/>
                <w:i/>
                <w:sz w:val="20"/>
                <w:szCs w:val="20"/>
                <w:lang w:val="ro-RO"/>
              </w:rPr>
            </w:pPr>
            <w:r w:rsidRPr="0049551E">
              <w:rPr>
                <w:rFonts w:ascii="Times New Roman" w:hAnsi="Times New Roman"/>
                <w:sz w:val="20"/>
                <w:szCs w:val="20"/>
                <w:lang w:val="ro-RO"/>
              </w:rPr>
              <w:t>Considerăm ca altă noţiune ar fi de prisos şi ar duce în eroare implementatorii regulamentului.</w:t>
            </w:r>
          </w:p>
        </w:tc>
      </w:tr>
      <w:tr w:rsidR="00D70642" w:rsidRPr="0049551E" w:rsidTr="008C3D3F">
        <w:tc>
          <w:tcPr>
            <w:tcW w:w="720" w:type="dxa"/>
            <w:vMerge/>
          </w:tcPr>
          <w:p w:rsidR="00D70642" w:rsidRPr="0049551E" w:rsidRDefault="00D70642" w:rsidP="001945C1">
            <w:pPr>
              <w:spacing w:after="0" w:line="240" w:lineRule="auto"/>
              <w:jc w:val="center"/>
              <w:rPr>
                <w:rFonts w:ascii="Times New Roman" w:hAnsi="Times New Roman"/>
                <w:b/>
                <w:sz w:val="20"/>
                <w:szCs w:val="20"/>
                <w:lang w:val="ro-RO"/>
              </w:rPr>
            </w:pPr>
          </w:p>
        </w:tc>
        <w:tc>
          <w:tcPr>
            <w:tcW w:w="1620" w:type="dxa"/>
            <w:vMerge/>
          </w:tcPr>
          <w:p w:rsidR="00D70642" w:rsidRPr="0049551E" w:rsidRDefault="00D70642" w:rsidP="001945C1">
            <w:pPr>
              <w:spacing w:after="0" w:line="240" w:lineRule="auto"/>
              <w:jc w:val="center"/>
              <w:rPr>
                <w:rFonts w:ascii="Times New Roman" w:hAnsi="Times New Roman"/>
                <w:b/>
                <w:sz w:val="20"/>
                <w:szCs w:val="20"/>
                <w:lang w:val="ro-RO"/>
              </w:rPr>
            </w:pPr>
          </w:p>
        </w:tc>
        <w:tc>
          <w:tcPr>
            <w:tcW w:w="10500" w:type="dxa"/>
          </w:tcPr>
          <w:p w:rsidR="00D70642" w:rsidRPr="0049551E" w:rsidRDefault="00D70642" w:rsidP="001945C1">
            <w:pPr>
              <w:pStyle w:val="NoSpacing"/>
              <w:jc w:val="both"/>
              <w:rPr>
                <w:rFonts w:ascii="Times New Roman" w:hAnsi="Times New Roman"/>
                <w:sz w:val="20"/>
                <w:szCs w:val="20"/>
                <w:lang w:val="pt-BR" w:eastAsia="ro-RO"/>
              </w:rPr>
            </w:pPr>
            <w:r w:rsidRPr="0049551E">
              <w:rPr>
                <w:rFonts w:ascii="Times New Roman" w:hAnsi="Times New Roman"/>
                <w:b/>
                <w:bCs/>
                <w:sz w:val="20"/>
                <w:szCs w:val="20"/>
                <w:lang w:val="ro-RO" w:eastAsia="ro-RO"/>
              </w:rPr>
              <w:t>-</w:t>
            </w:r>
            <w:r w:rsidRPr="0049551E">
              <w:rPr>
                <w:rFonts w:ascii="Times New Roman" w:hAnsi="Times New Roman"/>
                <w:sz w:val="20"/>
                <w:szCs w:val="20"/>
                <w:lang w:val="ro-RO" w:eastAsia="ro-RO"/>
              </w:rPr>
              <w:t xml:space="preserve"> modificarea </w:t>
            </w:r>
            <w:r w:rsidRPr="0049551E">
              <w:rPr>
                <w:rFonts w:ascii="Times New Roman" w:hAnsi="Times New Roman"/>
                <w:sz w:val="20"/>
                <w:szCs w:val="20"/>
                <w:lang w:val="pt-BR" w:eastAsia="ro-RO"/>
              </w:rPr>
              <w:t xml:space="preserve">Hotărîrii Guvernului nr. 597 din 13.08.2012 </w:t>
            </w:r>
            <w:r w:rsidRPr="0049551E">
              <w:rPr>
                <w:rFonts w:ascii="Times New Roman" w:hAnsi="Times New Roman"/>
                <w:bCs/>
                <w:sz w:val="20"/>
                <w:szCs w:val="20"/>
                <w:lang w:val="ro-RO" w:eastAsia="ro-RO"/>
              </w:rPr>
              <w:t>pentru aprobarea Regulamentului privind modul de efectuare a activităţilor de supraveghere a pieţei de către Agenţia pentru Protecţia Consumatorilor</w:t>
            </w:r>
            <w:r w:rsidRPr="0049551E">
              <w:rPr>
                <w:rFonts w:ascii="Times New Roman" w:hAnsi="Times New Roman"/>
                <w:sz w:val="20"/>
                <w:szCs w:val="20"/>
                <w:lang w:val="pt-BR" w:eastAsia="ro-RO"/>
              </w:rPr>
              <w:t xml:space="preserve">, care la moment nu conţine prevederi referitor la sticle utilizate ca recipiente de măsurare, înspecial măsuri care urmează să fiu întreprinse în urma constatării încălcării cerințelor </w:t>
            </w:r>
            <w:r w:rsidRPr="0049551E">
              <w:rPr>
                <w:rFonts w:ascii="Times New Roman" w:hAnsi="Times New Roman"/>
                <w:sz w:val="20"/>
                <w:szCs w:val="20"/>
                <w:lang w:val="ro-RO" w:eastAsia="ro-RO"/>
              </w:rPr>
              <w:t>proiectului de Hotărîre de Guvern</w:t>
            </w:r>
            <w:r w:rsidRPr="0049551E">
              <w:rPr>
                <w:rFonts w:ascii="Times New Roman" w:hAnsi="Times New Roman"/>
                <w:sz w:val="20"/>
                <w:szCs w:val="20"/>
                <w:lang w:val="pt-BR" w:eastAsia="ro-RO"/>
              </w:rPr>
              <w:t>.</w:t>
            </w:r>
          </w:p>
          <w:p w:rsidR="00D70642" w:rsidRPr="0049551E" w:rsidRDefault="00D70642" w:rsidP="001945C1">
            <w:pPr>
              <w:pStyle w:val="NoSpacing"/>
              <w:jc w:val="both"/>
              <w:rPr>
                <w:rFonts w:ascii="Times New Roman" w:hAnsi="Times New Roman"/>
                <w:sz w:val="20"/>
                <w:szCs w:val="20"/>
                <w:lang w:val="ro-RO"/>
              </w:rPr>
            </w:pPr>
            <w:r w:rsidRPr="0049551E">
              <w:rPr>
                <w:rFonts w:ascii="Times New Roman" w:hAnsi="Times New Roman"/>
                <w:sz w:val="20"/>
                <w:szCs w:val="20"/>
                <w:lang w:val="pt-BR" w:eastAsia="ro-RO"/>
              </w:rPr>
              <w:t xml:space="preserve">- </w:t>
            </w:r>
            <w:r w:rsidRPr="0049551E">
              <w:rPr>
                <w:rFonts w:ascii="Times New Roman" w:hAnsi="Times New Roman"/>
                <w:sz w:val="20"/>
                <w:szCs w:val="20"/>
                <w:lang w:val="ro-RO" w:eastAsia="ro-RO"/>
              </w:rPr>
              <w:t xml:space="preserve">modificarea </w:t>
            </w:r>
            <w:r w:rsidRPr="0049551E">
              <w:rPr>
                <w:rFonts w:ascii="Times New Roman" w:hAnsi="Times New Roman"/>
                <w:sz w:val="20"/>
                <w:szCs w:val="20"/>
                <w:lang w:val="pt-BR" w:eastAsia="ro-RO"/>
              </w:rPr>
              <w:t xml:space="preserve">Hotărîrii Guvernului nr. 936 din 09.12.2011 </w:t>
            </w:r>
            <w:r w:rsidRPr="0049551E">
              <w:rPr>
                <w:rFonts w:ascii="Times New Roman" w:hAnsi="Times New Roman"/>
                <w:bCs/>
                <w:sz w:val="20"/>
                <w:szCs w:val="20"/>
                <w:lang w:val="ro-RO" w:eastAsia="ro-RO"/>
              </w:rPr>
              <w:t>privind crearea Agenţiei pentru Protecţia Consumatorilor şi aprobarea Regulamentului, structurii şi efectivului-limită ale acesteia</w:t>
            </w:r>
            <w:r w:rsidRPr="0049551E">
              <w:rPr>
                <w:rFonts w:ascii="Times New Roman" w:hAnsi="Times New Roman"/>
                <w:sz w:val="20"/>
                <w:szCs w:val="20"/>
                <w:lang w:val="pt-BR" w:eastAsia="ro-RO"/>
              </w:rPr>
              <w:t>, care la moment nu conţine prevederi referitor la domeniul menționat.</w:t>
            </w:r>
          </w:p>
        </w:tc>
        <w:tc>
          <w:tcPr>
            <w:tcW w:w="3432" w:type="dxa"/>
          </w:tcPr>
          <w:p w:rsidR="00D70642" w:rsidRPr="0049551E" w:rsidRDefault="00D70642" w:rsidP="001945C1">
            <w:pPr>
              <w:pStyle w:val="NoSpacing"/>
              <w:jc w:val="both"/>
              <w:rPr>
                <w:rFonts w:ascii="Times New Roman" w:hAnsi="Times New Roman"/>
                <w:sz w:val="20"/>
                <w:szCs w:val="20"/>
                <w:lang w:val="en-US"/>
              </w:rPr>
            </w:pPr>
            <w:r w:rsidRPr="0049551E">
              <w:rPr>
                <w:rFonts w:ascii="Times New Roman" w:hAnsi="Times New Roman"/>
                <w:b/>
                <w:sz w:val="20"/>
                <w:szCs w:val="20"/>
                <w:lang w:val="ro-RO"/>
              </w:rPr>
              <w:t xml:space="preserve">Se acceptă. </w:t>
            </w:r>
            <w:r w:rsidRPr="0049551E">
              <w:rPr>
                <w:rFonts w:ascii="Times New Roman" w:hAnsi="Times New Roman"/>
                <w:sz w:val="20"/>
                <w:szCs w:val="20"/>
                <w:lang w:val="ro-RO"/>
              </w:rPr>
              <w:t xml:space="preserve">Aceste modificări vor fi efectuate ca urmare a aprobării modificării la </w:t>
            </w:r>
            <w:r w:rsidRPr="0049551E">
              <w:rPr>
                <w:rFonts w:ascii="Times New Roman" w:hAnsi="Times New Roman"/>
                <w:i/>
                <w:sz w:val="20"/>
                <w:szCs w:val="20"/>
                <w:lang w:val="ro-RO"/>
              </w:rPr>
              <w:t>Legea a metrologiei nr. 647 din 17 noiembrie 1995.</w:t>
            </w:r>
          </w:p>
        </w:tc>
      </w:tr>
      <w:tr w:rsidR="00D70642" w:rsidRPr="0049551E" w:rsidTr="008C3D3F">
        <w:tc>
          <w:tcPr>
            <w:tcW w:w="720" w:type="dxa"/>
            <w:vMerge w:val="restart"/>
          </w:tcPr>
          <w:p w:rsidR="00D70642" w:rsidRPr="0049551E" w:rsidRDefault="00D70642" w:rsidP="001945C1">
            <w:pPr>
              <w:spacing w:after="0" w:line="240" w:lineRule="auto"/>
              <w:jc w:val="center"/>
              <w:rPr>
                <w:rFonts w:ascii="Times New Roman" w:hAnsi="Times New Roman"/>
                <w:b/>
                <w:sz w:val="20"/>
                <w:szCs w:val="20"/>
                <w:lang w:val="ro-RO"/>
              </w:rPr>
            </w:pPr>
          </w:p>
        </w:tc>
        <w:tc>
          <w:tcPr>
            <w:tcW w:w="1620" w:type="dxa"/>
            <w:vMerge w:val="restart"/>
          </w:tcPr>
          <w:p w:rsidR="00D70642" w:rsidRPr="0049551E" w:rsidRDefault="00D70642" w:rsidP="001945C1">
            <w:pPr>
              <w:spacing w:after="0" w:line="240" w:lineRule="auto"/>
              <w:jc w:val="center"/>
              <w:rPr>
                <w:rFonts w:ascii="Times New Roman" w:hAnsi="Times New Roman"/>
                <w:b/>
                <w:sz w:val="20"/>
                <w:szCs w:val="20"/>
                <w:lang w:val="ro-RO"/>
              </w:rPr>
            </w:pPr>
            <w:r w:rsidRPr="0049551E">
              <w:rPr>
                <w:rFonts w:ascii="Times New Roman" w:hAnsi="Times New Roman"/>
                <w:b/>
                <w:sz w:val="20"/>
                <w:szCs w:val="20"/>
                <w:lang w:val="ro-RO"/>
              </w:rPr>
              <w:t>Agenţia pentru Protecţia Consumatorilor</w:t>
            </w:r>
          </w:p>
          <w:p w:rsidR="00D70642" w:rsidRPr="0049551E" w:rsidRDefault="00D70642" w:rsidP="001945C1">
            <w:pPr>
              <w:jc w:val="center"/>
              <w:rPr>
                <w:rFonts w:ascii="Times New Roman" w:hAnsi="Times New Roman"/>
                <w:b/>
                <w:sz w:val="20"/>
                <w:szCs w:val="20"/>
                <w:lang w:val="ro-RO"/>
              </w:rPr>
            </w:pPr>
          </w:p>
        </w:tc>
        <w:tc>
          <w:tcPr>
            <w:tcW w:w="10500" w:type="dxa"/>
          </w:tcPr>
          <w:p w:rsidR="00D70642" w:rsidRPr="0049551E" w:rsidRDefault="00D70642" w:rsidP="001945C1">
            <w:pPr>
              <w:pStyle w:val="NoSpacing"/>
              <w:jc w:val="both"/>
              <w:rPr>
                <w:rFonts w:ascii="Times New Roman" w:hAnsi="Times New Roman"/>
                <w:sz w:val="20"/>
                <w:szCs w:val="20"/>
                <w:lang w:val="ro-RO" w:eastAsia="ro-RO"/>
              </w:rPr>
            </w:pPr>
            <w:r w:rsidRPr="0049551E">
              <w:rPr>
                <w:rFonts w:ascii="Times New Roman" w:hAnsi="Times New Roman"/>
                <w:sz w:val="20"/>
                <w:szCs w:val="20"/>
                <w:lang w:val="ro-RO"/>
              </w:rPr>
              <w:t>Necesită să fie elaborate şi aprobate proceduri specifice privind modul de eşantionare a sticlelor de către inspectorii APC, deoarece în redacția propusă pct.1 alin.3) al Anexei nr.2 nu prevede clar cine definește (alege) metoda de prelucrare a rezultatelor (dintre cele două prezentate) în dependență de care numărul sticlelor eșantionate diferă.</w:t>
            </w:r>
          </w:p>
        </w:tc>
        <w:tc>
          <w:tcPr>
            <w:tcW w:w="3432" w:type="dxa"/>
          </w:tcPr>
          <w:p w:rsidR="00D70642" w:rsidRPr="0049551E" w:rsidRDefault="00D70642" w:rsidP="001945C1">
            <w:pPr>
              <w:pStyle w:val="NoSpacing"/>
              <w:jc w:val="both"/>
              <w:rPr>
                <w:rFonts w:ascii="Times New Roman" w:hAnsi="Times New Roman"/>
                <w:sz w:val="20"/>
                <w:szCs w:val="20"/>
                <w:lang w:val="ro-RO"/>
              </w:rPr>
            </w:pPr>
            <w:r w:rsidRPr="0049551E">
              <w:rPr>
                <w:rFonts w:ascii="Times New Roman" w:hAnsi="Times New Roman"/>
                <w:b/>
                <w:sz w:val="20"/>
                <w:szCs w:val="20"/>
                <w:lang w:val="ro-RO"/>
              </w:rPr>
              <w:t xml:space="preserve">Se acceptă, </w:t>
            </w:r>
            <w:r w:rsidRPr="0049551E">
              <w:rPr>
                <w:rFonts w:ascii="Times New Roman" w:hAnsi="Times New Roman"/>
                <w:sz w:val="20"/>
                <w:szCs w:val="20"/>
                <w:lang w:val="ro-RO"/>
              </w:rPr>
              <w:t>procedurile specifice privind modul de eşantionare a sticlelor de către APC vor fi elaborate şi aprobate de către Institutul Naţional de Metrologie, iar numărul de sticle eşantionate va fi cauzat de metoda aleasă (metoda amplitudinii medii şi metoda abaterii standard).</w:t>
            </w:r>
          </w:p>
        </w:tc>
      </w:tr>
      <w:tr w:rsidR="00D70642" w:rsidRPr="0049551E" w:rsidTr="008C3D3F">
        <w:tc>
          <w:tcPr>
            <w:tcW w:w="720" w:type="dxa"/>
            <w:vMerge/>
          </w:tcPr>
          <w:p w:rsidR="00D70642" w:rsidRPr="0049551E" w:rsidRDefault="00D70642" w:rsidP="001945C1">
            <w:pPr>
              <w:spacing w:after="0" w:line="240" w:lineRule="auto"/>
              <w:jc w:val="center"/>
              <w:rPr>
                <w:rFonts w:ascii="Times New Roman" w:hAnsi="Times New Roman"/>
                <w:b/>
                <w:sz w:val="20"/>
                <w:szCs w:val="20"/>
                <w:lang w:val="ro-RO"/>
              </w:rPr>
            </w:pPr>
          </w:p>
        </w:tc>
        <w:tc>
          <w:tcPr>
            <w:tcW w:w="1620" w:type="dxa"/>
            <w:vMerge/>
          </w:tcPr>
          <w:p w:rsidR="00D70642" w:rsidRPr="0049551E" w:rsidRDefault="00D70642" w:rsidP="001945C1">
            <w:pPr>
              <w:jc w:val="center"/>
              <w:rPr>
                <w:rFonts w:ascii="Times New Roman" w:hAnsi="Times New Roman"/>
                <w:b/>
                <w:sz w:val="20"/>
                <w:szCs w:val="20"/>
                <w:lang w:val="ro-RO"/>
              </w:rPr>
            </w:pPr>
          </w:p>
        </w:tc>
        <w:tc>
          <w:tcPr>
            <w:tcW w:w="10500" w:type="dxa"/>
          </w:tcPr>
          <w:p w:rsidR="00D70642" w:rsidRPr="0049551E" w:rsidRDefault="00D70642" w:rsidP="001945C1">
            <w:pPr>
              <w:pStyle w:val="NoSpacing"/>
              <w:jc w:val="both"/>
              <w:rPr>
                <w:rFonts w:ascii="Times New Roman" w:hAnsi="Times New Roman"/>
                <w:sz w:val="20"/>
                <w:szCs w:val="20"/>
                <w:lang w:val="ro-RO"/>
              </w:rPr>
            </w:pPr>
            <w:r w:rsidRPr="0049551E">
              <w:rPr>
                <w:rFonts w:ascii="Times New Roman" w:hAnsi="Times New Roman"/>
                <w:sz w:val="20"/>
                <w:szCs w:val="20"/>
                <w:lang w:val="pt-BR" w:eastAsia="ro-RO"/>
              </w:rPr>
              <w:t xml:space="preserve">- la </w:t>
            </w:r>
            <w:r w:rsidRPr="0049551E">
              <w:rPr>
                <w:rFonts w:ascii="Times New Roman" w:hAnsi="Times New Roman"/>
                <w:sz w:val="20"/>
                <w:szCs w:val="20"/>
                <w:lang w:val="ro-RO" w:eastAsia="ro-RO"/>
              </w:rPr>
              <w:t>proiectul de Hotărîre de Guvern</w:t>
            </w:r>
            <w:r w:rsidRPr="0049551E">
              <w:rPr>
                <w:rFonts w:ascii="Times New Roman" w:hAnsi="Times New Roman"/>
                <w:sz w:val="20"/>
                <w:szCs w:val="20"/>
                <w:lang w:val="pt-BR" w:eastAsia="ro-RO"/>
              </w:rPr>
              <w:t xml:space="preserve">  urmează să fie prevăzut dacă nerespectarea prezentului </w:t>
            </w:r>
            <w:r w:rsidRPr="0049551E">
              <w:rPr>
                <w:rFonts w:ascii="Times New Roman" w:hAnsi="Times New Roman"/>
                <w:sz w:val="20"/>
                <w:szCs w:val="20"/>
                <w:lang w:val="ro-RO" w:eastAsia="ro-RO"/>
              </w:rPr>
              <w:t xml:space="preserve">regulament general de metrologie legală de stabilire a cerinţelor către sticle utilizate ca recipiente de măsurare, </w:t>
            </w:r>
            <w:r w:rsidRPr="0049551E">
              <w:rPr>
                <w:rFonts w:ascii="Times New Roman" w:hAnsi="Times New Roman"/>
                <w:sz w:val="20"/>
                <w:szCs w:val="20"/>
                <w:lang w:val="pt-BR" w:eastAsia="ro-RO"/>
              </w:rPr>
              <w:t>constituie contravenții și de introdus modificările în Codul Contravențional al Republicii Moldova</w:t>
            </w:r>
            <w:r w:rsidRPr="0049551E">
              <w:rPr>
                <w:rFonts w:ascii="Times New Roman" w:hAnsi="Times New Roman"/>
                <w:sz w:val="20"/>
                <w:szCs w:val="20"/>
                <w:lang w:val="ro-RO" w:eastAsia="ro-RO"/>
              </w:rPr>
              <w:t>.</w:t>
            </w:r>
          </w:p>
        </w:tc>
        <w:tc>
          <w:tcPr>
            <w:tcW w:w="3432" w:type="dxa"/>
          </w:tcPr>
          <w:p w:rsidR="00D70642" w:rsidRPr="0049551E" w:rsidRDefault="00D70642" w:rsidP="001945C1">
            <w:pPr>
              <w:pStyle w:val="NoSpacing"/>
              <w:jc w:val="both"/>
              <w:rPr>
                <w:rFonts w:ascii="Times New Roman" w:hAnsi="Times New Roman"/>
                <w:b/>
                <w:sz w:val="20"/>
                <w:szCs w:val="20"/>
                <w:lang w:val="ro-RO"/>
              </w:rPr>
            </w:pPr>
            <w:r w:rsidRPr="0049551E">
              <w:rPr>
                <w:rFonts w:ascii="Times New Roman" w:hAnsi="Times New Roman"/>
                <w:b/>
                <w:sz w:val="20"/>
                <w:szCs w:val="20"/>
                <w:lang w:val="ro-RO"/>
              </w:rPr>
              <w:t xml:space="preserve">Se acceptă, </w:t>
            </w:r>
            <w:r w:rsidRPr="0049551E">
              <w:rPr>
                <w:rFonts w:ascii="Times New Roman" w:hAnsi="Times New Roman"/>
                <w:sz w:val="20"/>
                <w:szCs w:val="20"/>
                <w:lang w:val="ro-RO"/>
              </w:rPr>
              <w:t>după modificarea Legii 647</w:t>
            </w:r>
            <w:r w:rsidRPr="0049551E">
              <w:rPr>
                <w:rFonts w:ascii="Times New Roman" w:hAnsi="Times New Roman"/>
                <w:b/>
                <w:sz w:val="20"/>
                <w:szCs w:val="20"/>
                <w:lang w:val="ro-RO"/>
              </w:rPr>
              <w:t xml:space="preserve"> </w:t>
            </w:r>
            <w:r w:rsidRPr="0049551E">
              <w:rPr>
                <w:rFonts w:ascii="Times New Roman" w:hAnsi="Times New Roman"/>
                <w:i/>
                <w:sz w:val="20"/>
                <w:szCs w:val="20"/>
                <w:lang w:val="ro-RO"/>
              </w:rPr>
              <w:t xml:space="preserve">din 17 noiembrie 1995 </w:t>
            </w:r>
            <w:r w:rsidRPr="0049551E">
              <w:rPr>
                <w:rFonts w:ascii="Times New Roman" w:hAnsi="Times New Roman"/>
                <w:sz w:val="20"/>
                <w:szCs w:val="20"/>
                <w:lang w:val="ro-RO"/>
              </w:rPr>
              <w:t xml:space="preserve">va fi modificat şi </w:t>
            </w:r>
            <w:r w:rsidRPr="0049551E">
              <w:rPr>
                <w:rFonts w:ascii="Times New Roman" w:hAnsi="Times New Roman"/>
                <w:sz w:val="20"/>
                <w:szCs w:val="20"/>
                <w:lang w:val="pt-BR" w:eastAsia="ro-RO"/>
              </w:rPr>
              <w:t>Codul Contravențional al Republicii Moldova.</w:t>
            </w:r>
          </w:p>
          <w:p w:rsidR="00D70642" w:rsidRPr="0049551E" w:rsidRDefault="00D70642" w:rsidP="001945C1">
            <w:pPr>
              <w:pStyle w:val="NoSpacing"/>
              <w:jc w:val="both"/>
              <w:rPr>
                <w:rFonts w:ascii="Times New Roman" w:hAnsi="Times New Roman"/>
                <w:sz w:val="20"/>
                <w:szCs w:val="20"/>
                <w:lang w:val="ro-RO" w:eastAsia="ru-RU"/>
              </w:rPr>
            </w:pPr>
          </w:p>
        </w:tc>
      </w:tr>
      <w:tr w:rsidR="00D70642" w:rsidRPr="0049551E" w:rsidTr="008C3D3F">
        <w:tc>
          <w:tcPr>
            <w:tcW w:w="720" w:type="dxa"/>
            <w:vMerge/>
          </w:tcPr>
          <w:p w:rsidR="00D70642" w:rsidRPr="0049551E" w:rsidRDefault="00D70642" w:rsidP="001945C1">
            <w:pPr>
              <w:spacing w:after="0" w:line="240" w:lineRule="auto"/>
              <w:jc w:val="center"/>
              <w:rPr>
                <w:rFonts w:ascii="Times New Roman" w:hAnsi="Times New Roman"/>
                <w:b/>
                <w:sz w:val="20"/>
                <w:szCs w:val="20"/>
                <w:lang w:val="ro-RO"/>
              </w:rPr>
            </w:pPr>
          </w:p>
        </w:tc>
        <w:tc>
          <w:tcPr>
            <w:tcW w:w="1620" w:type="dxa"/>
            <w:vMerge/>
          </w:tcPr>
          <w:p w:rsidR="00D70642" w:rsidRPr="0049551E" w:rsidRDefault="00D70642" w:rsidP="001945C1">
            <w:pPr>
              <w:jc w:val="center"/>
              <w:rPr>
                <w:rFonts w:ascii="Times New Roman" w:hAnsi="Times New Roman"/>
                <w:b/>
                <w:sz w:val="20"/>
                <w:szCs w:val="20"/>
                <w:lang w:val="ro-RO"/>
              </w:rPr>
            </w:pPr>
          </w:p>
        </w:tc>
        <w:tc>
          <w:tcPr>
            <w:tcW w:w="10500" w:type="dxa"/>
          </w:tcPr>
          <w:p w:rsidR="00D70642" w:rsidRPr="0049551E" w:rsidRDefault="00D70642" w:rsidP="001945C1">
            <w:pPr>
              <w:pStyle w:val="NoSpacing"/>
              <w:jc w:val="both"/>
              <w:rPr>
                <w:rFonts w:ascii="Times New Roman" w:hAnsi="Times New Roman"/>
                <w:sz w:val="20"/>
                <w:szCs w:val="20"/>
                <w:lang w:val="ro-RO"/>
              </w:rPr>
            </w:pPr>
            <w:r w:rsidRPr="0049551E">
              <w:rPr>
                <w:rFonts w:ascii="Times New Roman" w:hAnsi="Times New Roman"/>
                <w:sz w:val="20"/>
                <w:szCs w:val="20"/>
                <w:lang w:val="ro-RO"/>
              </w:rPr>
              <w:t xml:space="preserve">Totodată pct.6 al </w:t>
            </w:r>
            <w:r w:rsidRPr="0049551E">
              <w:rPr>
                <w:rFonts w:ascii="Times New Roman" w:hAnsi="Times New Roman"/>
                <w:sz w:val="20"/>
                <w:szCs w:val="20"/>
                <w:lang w:val="ro-MO"/>
              </w:rPr>
              <w:t xml:space="preserve">Proiectului de Hotărîre de Guvern prevede </w:t>
            </w:r>
            <w:r w:rsidRPr="0049551E">
              <w:rPr>
                <w:rFonts w:ascii="Times New Roman" w:hAnsi="Times New Roman"/>
                <w:sz w:val="20"/>
                <w:szCs w:val="20"/>
                <w:lang w:val="ro-RO"/>
              </w:rPr>
              <w:t>ca APC, în limitele competenţelor prevăzute de lege, efectuează verificări care se realizează pe bază de control statistic prin eşantionare, la producător, la importator sau la reprezentantul autorizat al acestuia stabilit în Republica Moldova. Această verificare statistică prin eşantionare va fi efectuată în conformitate cu metoda de referinţă menţionată în anexa, în laboratoarele de metrologie.</w:t>
            </w:r>
          </w:p>
        </w:tc>
        <w:tc>
          <w:tcPr>
            <w:tcW w:w="3432" w:type="dxa"/>
          </w:tcPr>
          <w:p w:rsidR="00D70642" w:rsidRPr="0049551E" w:rsidRDefault="00D70642" w:rsidP="001945C1">
            <w:pPr>
              <w:pStyle w:val="NoSpacing"/>
              <w:jc w:val="both"/>
              <w:rPr>
                <w:rFonts w:ascii="Times New Roman" w:hAnsi="Times New Roman"/>
                <w:sz w:val="20"/>
                <w:szCs w:val="20"/>
                <w:lang w:val="ro-RO"/>
              </w:rPr>
            </w:pPr>
            <w:r w:rsidRPr="0049551E">
              <w:rPr>
                <w:rFonts w:ascii="Times New Roman" w:hAnsi="Times New Roman"/>
                <w:b/>
                <w:sz w:val="20"/>
                <w:szCs w:val="20"/>
                <w:lang w:val="ro-RO"/>
              </w:rPr>
              <w:t>Se acceptă</w:t>
            </w:r>
          </w:p>
          <w:p w:rsidR="00D70642" w:rsidRPr="0049551E" w:rsidRDefault="00D70642" w:rsidP="001945C1">
            <w:pPr>
              <w:pStyle w:val="NoSpacing"/>
              <w:jc w:val="both"/>
              <w:rPr>
                <w:rFonts w:ascii="Times New Roman" w:hAnsi="Times New Roman"/>
                <w:sz w:val="20"/>
                <w:szCs w:val="20"/>
                <w:lang w:val="ro-RO"/>
              </w:rPr>
            </w:pPr>
          </w:p>
        </w:tc>
      </w:tr>
      <w:tr w:rsidR="00D70642" w:rsidRPr="0049551E" w:rsidTr="008C3D3F">
        <w:tc>
          <w:tcPr>
            <w:tcW w:w="720" w:type="dxa"/>
          </w:tcPr>
          <w:p w:rsidR="00D70642" w:rsidRPr="0049551E" w:rsidRDefault="00D70642" w:rsidP="001945C1">
            <w:pPr>
              <w:spacing w:after="0" w:line="240" w:lineRule="auto"/>
              <w:jc w:val="center"/>
              <w:rPr>
                <w:rFonts w:ascii="Times New Roman" w:hAnsi="Times New Roman"/>
                <w:b/>
                <w:sz w:val="20"/>
                <w:szCs w:val="20"/>
                <w:lang w:val="ro-RO"/>
              </w:rPr>
            </w:pPr>
          </w:p>
        </w:tc>
        <w:tc>
          <w:tcPr>
            <w:tcW w:w="1620" w:type="dxa"/>
            <w:vMerge/>
          </w:tcPr>
          <w:p w:rsidR="00D70642" w:rsidRPr="0049551E" w:rsidRDefault="00D70642" w:rsidP="001945C1">
            <w:pPr>
              <w:spacing w:after="0" w:line="240" w:lineRule="auto"/>
              <w:jc w:val="center"/>
              <w:rPr>
                <w:rFonts w:ascii="Times New Roman" w:hAnsi="Times New Roman"/>
                <w:b/>
                <w:sz w:val="20"/>
                <w:szCs w:val="20"/>
                <w:lang w:val="ro-RO"/>
              </w:rPr>
            </w:pPr>
          </w:p>
        </w:tc>
        <w:tc>
          <w:tcPr>
            <w:tcW w:w="10500" w:type="dxa"/>
          </w:tcPr>
          <w:p w:rsidR="00D70642" w:rsidRPr="0049551E" w:rsidRDefault="00D70642" w:rsidP="001945C1">
            <w:pPr>
              <w:pStyle w:val="NoSpacing"/>
              <w:jc w:val="both"/>
              <w:rPr>
                <w:rFonts w:ascii="Times New Roman" w:hAnsi="Times New Roman"/>
                <w:sz w:val="20"/>
                <w:szCs w:val="20"/>
                <w:lang w:val="ro-RO"/>
              </w:rPr>
            </w:pPr>
            <w:r w:rsidRPr="0049551E">
              <w:rPr>
                <w:rFonts w:ascii="Times New Roman" w:hAnsi="Times New Roman"/>
                <w:sz w:val="20"/>
                <w:szCs w:val="20"/>
                <w:lang w:val="ro-RO"/>
              </w:rPr>
              <w:t>În rezultatul analizei prevederilor acestui punct care urmează să fiu puse în sarcina APC s-a constatat că:în Analiza preliminară a impactului de reglementare efectuată pentru proiectul Hotărîrii Guvernului este menţionat că ,,</w:t>
            </w:r>
            <w:r w:rsidRPr="0049551E">
              <w:rPr>
                <w:rFonts w:ascii="Times New Roman" w:hAnsi="Times New Roman"/>
                <w:i/>
                <w:sz w:val="20"/>
                <w:szCs w:val="20"/>
                <w:lang w:val="ro-RO"/>
              </w:rPr>
              <w:t xml:space="preserve">în scopul asigurării unui nivel acceptabil de supraveghere a pieței pentru respectarea noilor prevederi, în CBTM deja s-a propus </w:t>
            </w:r>
            <w:r w:rsidRPr="0049551E">
              <w:rPr>
                <w:rFonts w:ascii="Times New Roman" w:hAnsi="Times New Roman"/>
                <w:bCs/>
                <w:i/>
                <w:sz w:val="20"/>
                <w:szCs w:val="20"/>
                <w:lang w:val="ro-RO"/>
              </w:rPr>
              <w:t xml:space="preserve">instruirea a 50% din personalul Agenției pînă în anul 2015. </w:t>
            </w:r>
            <w:r w:rsidRPr="0049551E">
              <w:rPr>
                <w:rFonts w:ascii="Times New Roman" w:hAnsi="Times New Roman"/>
                <w:i/>
                <w:sz w:val="20"/>
                <w:szCs w:val="20"/>
                <w:lang w:val="ro-RO"/>
              </w:rPr>
              <w:t>Pentru domeniul analizat în acest raport, se propune instruirea a 3 inspectori, costul unei instruiri fiind de circa 20 mii lei. Aceste instruiri vor putea face parte din instruirile mai largi deja planificate și, prin urmare, nu vor necesita cheltuieli suplimentare semnificative</w:t>
            </w:r>
            <w:r w:rsidRPr="0049551E">
              <w:rPr>
                <w:rFonts w:ascii="Times New Roman" w:hAnsi="Times New Roman"/>
                <w:sz w:val="20"/>
                <w:szCs w:val="20"/>
                <w:lang w:val="ro-RO"/>
              </w:rPr>
              <w:t xml:space="preserve">,,. Remarcăm că în CBTM s-a propus instruirea inspectorilor în domeniul supravegherii a pieței pe cînd proiectul înaintat se referă la supravegherea metrologică. Astfel considerăm necesar de a instrui inspectorii în domeniul supravegherii metrologice. </w:t>
            </w:r>
          </w:p>
          <w:p w:rsidR="00D70642" w:rsidRPr="0049551E" w:rsidRDefault="00D70642" w:rsidP="001945C1">
            <w:pPr>
              <w:pStyle w:val="NoSpacing"/>
              <w:jc w:val="both"/>
              <w:rPr>
                <w:rFonts w:ascii="Times New Roman" w:hAnsi="Times New Roman"/>
                <w:sz w:val="20"/>
                <w:szCs w:val="20"/>
                <w:lang w:val="ro-RO"/>
              </w:rPr>
            </w:pPr>
            <w:r w:rsidRPr="0049551E">
              <w:rPr>
                <w:rFonts w:ascii="Times New Roman" w:hAnsi="Times New Roman"/>
                <w:sz w:val="20"/>
                <w:szCs w:val="20"/>
                <w:lang w:val="ro-RO"/>
              </w:rPr>
              <w:t>APC va suporta costuri suplimentare legate de achitarea serviciilor laboratoarelor de metrologie care vor efectua măsurări oficiale ( cu atît mai mult că proiectul Hotărîrii Guvernului prevede că ,,</w:t>
            </w:r>
            <w:r w:rsidRPr="0049551E">
              <w:rPr>
                <w:rFonts w:ascii="Times New Roman" w:hAnsi="Times New Roman"/>
                <w:i/>
                <w:sz w:val="20"/>
                <w:szCs w:val="20"/>
                <w:lang w:val="ro-RO"/>
              </w:rPr>
              <w:t>dacă rezultatul verificării unui lot corespunzător unei ore de producţie nu este satisfăcător, se va efectua o a doua verificare, pe baza unui alt eşantion dintr-un lot corespunzător unei perioade mai mari de producţie</w:t>
            </w:r>
            <w:r w:rsidRPr="0049551E">
              <w:rPr>
                <w:rFonts w:ascii="Times New Roman" w:hAnsi="Times New Roman"/>
                <w:sz w:val="20"/>
                <w:szCs w:val="20"/>
                <w:lang w:val="ro-RO"/>
              </w:rPr>
              <w:t>);</w:t>
            </w:r>
          </w:p>
          <w:p w:rsidR="00D70642" w:rsidRPr="0049551E" w:rsidRDefault="00D70642" w:rsidP="001945C1">
            <w:pPr>
              <w:pStyle w:val="NoSpacing"/>
              <w:numPr>
                <w:ilvl w:val="0"/>
                <w:numId w:val="1"/>
              </w:numPr>
              <w:ind w:left="0" w:firstLine="360"/>
              <w:jc w:val="both"/>
              <w:rPr>
                <w:rFonts w:ascii="Times New Roman" w:hAnsi="Times New Roman"/>
                <w:sz w:val="20"/>
                <w:szCs w:val="20"/>
                <w:lang w:val="ro-RO"/>
              </w:rPr>
            </w:pPr>
            <w:r w:rsidRPr="0049551E">
              <w:rPr>
                <w:rFonts w:ascii="Times New Roman" w:hAnsi="Times New Roman"/>
                <w:sz w:val="20"/>
                <w:szCs w:val="20"/>
                <w:lang w:val="ro-RO"/>
              </w:rPr>
              <w:t>proiectul Hotărîrii Guvernului prevede eşantionarea a 35 sau 40 buc de sticle ( în funcţie de metoda de prelucrare a rezultatelor aleasă dintre cele două prevăzute) de către inspectorii APC în laborator de metrologie fără a ţine cont că APC nu dispune de mijloace tehnice necesare pentru transportarea eşantionului. Cu atît mai mult că Legea nr.131 din 08.06.2012</w:t>
            </w:r>
            <w:r w:rsidRPr="0049551E">
              <w:rPr>
                <w:rFonts w:ascii="Times New Roman" w:hAnsi="Times New Roman"/>
                <w:bCs/>
                <w:sz w:val="20"/>
                <w:szCs w:val="20"/>
                <w:lang w:val="ro-MO"/>
              </w:rPr>
              <w:t>privind controlul de stat asupra activităţii de întreprinzător interzicecontrolorului</w:t>
            </w:r>
            <w:r w:rsidRPr="0049551E">
              <w:rPr>
                <w:rFonts w:ascii="Times New Roman" w:hAnsi="Times New Roman"/>
                <w:sz w:val="20"/>
                <w:szCs w:val="20"/>
                <w:lang w:val="ro-RO"/>
              </w:rPr>
              <w:t>î</w:t>
            </w:r>
            <w:r w:rsidRPr="0049551E">
              <w:rPr>
                <w:rFonts w:ascii="Times New Roman" w:hAnsi="Times New Roman"/>
                <w:sz w:val="20"/>
                <w:szCs w:val="20"/>
                <w:lang w:val="ro-MO"/>
              </w:rPr>
              <w:t>n procesul efectuării controlului să solicite persoanei supuse controlului resurse (încăperi, transport, tehnică de calcul, copiatoare, rechizite de birou etc.).</w:t>
            </w:r>
          </w:p>
          <w:p w:rsidR="00D70642" w:rsidRPr="0049551E" w:rsidRDefault="00D70642" w:rsidP="001945C1">
            <w:pPr>
              <w:pStyle w:val="NoSpacing"/>
              <w:jc w:val="both"/>
              <w:rPr>
                <w:rFonts w:ascii="Times New Roman" w:hAnsi="Times New Roman"/>
                <w:sz w:val="20"/>
                <w:szCs w:val="20"/>
                <w:lang w:val="ro-RO"/>
              </w:rPr>
            </w:pPr>
            <w:r w:rsidRPr="0049551E">
              <w:rPr>
                <w:rFonts w:ascii="Times New Roman" w:hAnsi="Times New Roman"/>
                <w:sz w:val="20"/>
                <w:szCs w:val="20"/>
                <w:lang w:val="ro-MO"/>
              </w:rPr>
              <w:t xml:space="preserve">  Astfel considerăm necesar de a se ține cont de resursele existente financiare ale APC și de a asigura APC cu mijloace tehnice necesare în vederea implementării Regulamentului menționat</w:t>
            </w:r>
          </w:p>
        </w:tc>
        <w:tc>
          <w:tcPr>
            <w:tcW w:w="3432" w:type="dxa"/>
          </w:tcPr>
          <w:p w:rsidR="00D70642" w:rsidRPr="0049551E" w:rsidRDefault="00D70642" w:rsidP="001945C1">
            <w:pPr>
              <w:spacing w:after="0" w:line="240" w:lineRule="auto"/>
              <w:jc w:val="both"/>
              <w:rPr>
                <w:rFonts w:ascii="Times New Roman" w:hAnsi="Times New Roman"/>
                <w:sz w:val="20"/>
                <w:szCs w:val="20"/>
                <w:lang w:val="ro-RO"/>
              </w:rPr>
            </w:pPr>
            <w:r w:rsidRPr="0049551E">
              <w:rPr>
                <w:rFonts w:ascii="Times New Roman" w:hAnsi="Times New Roman"/>
                <w:b/>
                <w:sz w:val="20"/>
                <w:szCs w:val="20"/>
                <w:lang w:val="ro-RO"/>
              </w:rPr>
              <w:t>Se acceptă</w:t>
            </w:r>
            <w:r w:rsidRPr="0049551E">
              <w:rPr>
                <w:rFonts w:ascii="Times New Roman" w:hAnsi="Times New Roman"/>
                <w:sz w:val="20"/>
                <w:szCs w:val="20"/>
                <w:lang w:val="ro-RO"/>
              </w:rPr>
              <w:t>, în planul Ministerului Economiei sunt prevăzute instruiri ale APC în domeniile metrologiei, evaluării conformităţii şi supravegherii pieţei.</w:t>
            </w:r>
          </w:p>
        </w:tc>
      </w:tr>
      <w:tr w:rsidR="00D70642" w:rsidRPr="0049551E" w:rsidTr="008C3D3F">
        <w:tc>
          <w:tcPr>
            <w:tcW w:w="720" w:type="dxa"/>
            <w:vMerge w:val="restart"/>
          </w:tcPr>
          <w:p w:rsidR="00D70642" w:rsidRPr="0049551E" w:rsidRDefault="00D70642" w:rsidP="001945C1">
            <w:pPr>
              <w:spacing w:after="0" w:line="240" w:lineRule="auto"/>
              <w:jc w:val="center"/>
              <w:rPr>
                <w:rFonts w:ascii="Times New Roman" w:hAnsi="Times New Roman"/>
                <w:b/>
                <w:sz w:val="20"/>
                <w:szCs w:val="20"/>
                <w:lang w:val="ro-RO"/>
              </w:rPr>
            </w:pPr>
            <w:r w:rsidRPr="0049551E">
              <w:rPr>
                <w:rFonts w:ascii="Times New Roman" w:hAnsi="Times New Roman"/>
                <w:b/>
                <w:sz w:val="20"/>
                <w:szCs w:val="20"/>
                <w:lang w:val="ro-RO"/>
              </w:rPr>
              <w:t>9</w:t>
            </w:r>
          </w:p>
        </w:tc>
        <w:tc>
          <w:tcPr>
            <w:tcW w:w="1620" w:type="dxa"/>
            <w:vMerge w:val="restart"/>
          </w:tcPr>
          <w:p w:rsidR="00D70642" w:rsidRPr="0049551E" w:rsidRDefault="00D70642" w:rsidP="001945C1">
            <w:pPr>
              <w:pStyle w:val="NoSpacing"/>
              <w:jc w:val="center"/>
              <w:rPr>
                <w:rFonts w:ascii="Times New Roman" w:hAnsi="Times New Roman"/>
                <w:b/>
                <w:sz w:val="20"/>
                <w:szCs w:val="20"/>
                <w:lang w:val="en-US"/>
              </w:rPr>
            </w:pPr>
            <w:r w:rsidRPr="0049551E">
              <w:rPr>
                <w:rFonts w:ascii="Times New Roman" w:hAnsi="Times New Roman"/>
                <w:b/>
                <w:sz w:val="20"/>
                <w:szCs w:val="20"/>
                <w:lang w:val="ro-RO"/>
              </w:rPr>
              <w:t>Institutul Naţional de Standardizare şi Metrologie</w:t>
            </w:r>
          </w:p>
        </w:tc>
        <w:tc>
          <w:tcPr>
            <w:tcW w:w="10500" w:type="dxa"/>
          </w:tcPr>
          <w:p w:rsidR="00D70642" w:rsidRPr="0049551E" w:rsidRDefault="00D70642" w:rsidP="001945C1">
            <w:pPr>
              <w:pStyle w:val="NoSpacing"/>
              <w:jc w:val="both"/>
              <w:rPr>
                <w:rFonts w:ascii="Times New Roman" w:hAnsi="Times New Roman"/>
                <w:sz w:val="20"/>
                <w:szCs w:val="20"/>
                <w:lang w:val="ro-RO"/>
              </w:rPr>
            </w:pPr>
            <w:r w:rsidRPr="0049551E">
              <w:rPr>
                <w:rFonts w:ascii="Times New Roman" w:hAnsi="Times New Roman"/>
                <w:sz w:val="20"/>
                <w:szCs w:val="20"/>
                <w:lang w:val="ro-RO"/>
              </w:rPr>
              <w:t>Hotărîrea în cauză este necesar să aprobe altă categorie de document, dar nu</w:t>
            </w:r>
            <w:r w:rsidRPr="0049551E">
              <w:rPr>
                <w:rStyle w:val="69"/>
                <w:bCs/>
                <w:iCs/>
                <w:sz w:val="20"/>
                <w:szCs w:val="20"/>
                <w:lang w:val="ro-RO"/>
              </w:rPr>
              <w:t xml:space="preserve"> RGML sau </w:t>
            </w:r>
            <w:r w:rsidRPr="0049551E">
              <w:rPr>
                <w:rFonts w:ascii="Times New Roman" w:hAnsi="Times New Roman"/>
                <w:sz w:val="20"/>
                <w:szCs w:val="20"/>
                <w:lang w:val="ro-RO"/>
              </w:rPr>
              <w:t>reglementarea de metrologie legală (RML). Deoarece, este de menţionat că RML sau RGML conform art.3 al Legii metrologiei se aprobă de către Autoritatea Centrală de Metrologie – Ministerul Economiei. Propunem de corectat punctul 1 al proiectului hotărîrii în cauză pentru a fi în concordanţă cu legea menţionată.</w:t>
            </w:r>
          </w:p>
        </w:tc>
        <w:tc>
          <w:tcPr>
            <w:tcW w:w="3432" w:type="dxa"/>
          </w:tcPr>
          <w:p w:rsidR="00D70642" w:rsidRPr="0049551E" w:rsidRDefault="00D70642" w:rsidP="001945C1">
            <w:pPr>
              <w:pStyle w:val="NoSpacing"/>
              <w:jc w:val="both"/>
              <w:rPr>
                <w:rFonts w:ascii="Times New Roman" w:hAnsi="Times New Roman"/>
                <w:i/>
                <w:color w:val="FF0000"/>
                <w:sz w:val="20"/>
                <w:szCs w:val="20"/>
                <w:lang w:val="ro-RO"/>
              </w:rPr>
            </w:pPr>
            <w:r w:rsidRPr="0049551E">
              <w:rPr>
                <w:rFonts w:ascii="Times New Roman" w:hAnsi="Times New Roman"/>
                <w:b/>
                <w:sz w:val="20"/>
                <w:szCs w:val="20"/>
                <w:lang w:val="ro-RO"/>
              </w:rPr>
              <w:t>Se acceptă</w:t>
            </w:r>
            <w:r w:rsidRPr="0049551E">
              <w:rPr>
                <w:rFonts w:ascii="Times New Roman" w:hAnsi="Times New Roman"/>
                <w:sz w:val="20"/>
                <w:szCs w:val="20"/>
                <w:lang w:val="en-US"/>
              </w:rPr>
              <w:t>.</w:t>
            </w:r>
            <w:r w:rsidRPr="0049551E">
              <w:rPr>
                <w:rFonts w:ascii="Times New Roman" w:hAnsi="Times New Roman"/>
                <w:i/>
                <w:sz w:val="20"/>
                <w:szCs w:val="20"/>
                <w:lang w:val="ro-RO"/>
              </w:rPr>
              <w:t xml:space="preserve">  </w:t>
            </w:r>
            <w:r w:rsidRPr="0049551E">
              <w:rPr>
                <w:rFonts w:ascii="Times New Roman" w:hAnsi="Times New Roman"/>
                <w:sz w:val="20"/>
                <w:szCs w:val="20"/>
                <w:lang w:val="ro-RO"/>
              </w:rPr>
              <w:t>Au fost  propuse modificări la  Legea metrologiei nr. 647 din 17 noiembrie 1995 care prevăd ca RGML să fie aprobate prin Hotărîri de Guvern sau prin ordine ale autorităţii centrale de metrologie.</w:t>
            </w:r>
          </w:p>
          <w:p w:rsidR="00D70642" w:rsidRPr="0049551E" w:rsidRDefault="00D70642" w:rsidP="001945C1">
            <w:pPr>
              <w:pStyle w:val="NoSpacing"/>
              <w:jc w:val="both"/>
              <w:rPr>
                <w:rFonts w:ascii="Times New Roman" w:hAnsi="Times New Roman"/>
                <w:sz w:val="20"/>
                <w:szCs w:val="20"/>
                <w:lang w:val="en-US"/>
              </w:rPr>
            </w:pPr>
          </w:p>
        </w:tc>
      </w:tr>
      <w:tr w:rsidR="00D70642" w:rsidRPr="0049551E" w:rsidTr="008C3D3F">
        <w:tc>
          <w:tcPr>
            <w:tcW w:w="720" w:type="dxa"/>
            <w:vMerge/>
          </w:tcPr>
          <w:p w:rsidR="00D70642" w:rsidRPr="0049551E" w:rsidRDefault="00D70642" w:rsidP="001945C1">
            <w:pPr>
              <w:spacing w:after="0" w:line="240" w:lineRule="auto"/>
              <w:jc w:val="center"/>
              <w:rPr>
                <w:rFonts w:ascii="Times New Roman" w:hAnsi="Times New Roman"/>
                <w:b/>
                <w:sz w:val="20"/>
                <w:szCs w:val="20"/>
                <w:lang w:val="ro-RO"/>
              </w:rPr>
            </w:pPr>
          </w:p>
        </w:tc>
        <w:tc>
          <w:tcPr>
            <w:tcW w:w="1620" w:type="dxa"/>
            <w:vMerge/>
          </w:tcPr>
          <w:p w:rsidR="00D70642" w:rsidRPr="0049551E" w:rsidRDefault="00D70642" w:rsidP="001945C1">
            <w:pPr>
              <w:spacing w:after="0" w:line="240" w:lineRule="auto"/>
              <w:jc w:val="center"/>
              <w:rPr>
                <w:rFonts w:ascii="Times New Roman" w:hAnsi="Times New Roman"/>
                <w:b/>
                <w:sz w:val="20"/>
                <w:szCs w:val="20"/>
                <w:lang w:val="ro-RO"/>
              </w:rPr>
            </w:pPr>
          </w:p>
        </w:tc>
        <w:tc>
          <w:tcPr>
            <w:tcW w:w="10500" w:type="dxa"/>
          </w:tcPr>
          <w:p w:rsidR="00D70642" w:rsidRPr="0049551E" w:rsidRDefault="00D70642" w:rsidP="001945C1">
            <w:pPr>
              <w:pStyle w:val="NoSpacing"/>
              <w:jc w:val="both"/>
              <w:rPr>
                <w:rFonts w:ascii="Times New Roman" w:hAnsi="Times New Roman"/>
                <w:sz w:val="20"/>
                <w:szCs w:val="20"/>
                <w:lang w:val="ro-RO"/>
              </w:rPr>
            </w:pPr>
            <w:r w:rsidRPr="0049551E">
              <w:rPr>
                <w:rFonts w:ascii="Times New Roman" w:hAnsi="Times New Roman"/>
                <w:sz w:val="20"/>
                <w:szCs w:val="20"/>
                <w:lang w:val="ro-RO"/>
              </w:rPr>
              <w:t xml:space="preserve">În punctul 2 al proiectului de hotărîre de substituit fraza „.. structurilor subordonate..” cu fraza </w:t>
            </w:r>
            <w:r w:rsidRPr="0049551E">
              <w:rPr>
                <w:rFonts w:ascii="Times New Roman" w:hAnsi="Times New Roman"/>
                <w:b/>
                <w:i/>
                <w:sz w:val="20"/>
                <w:szCs w:val="20"/>
                <w:lang w:val="ro-RO"/>
              </w:rPr>
              <w:t>„.</w:t>
            </w:r>
            <w:r w:rsidRPr="0049551E">
              <w:rPr>
                <w:rStyle w:val="69"/>
                <w:b w:val="0"/>
                <w:bCs/>
                <w:i w:val="0"/>
                <w:iCs/>
                <w:sz w:val="20"/>
                <w:szCs w:val="20"/>
                <w:lang w:val="ro-RO"/>
              </w:rPr>
              <w:t>agenţia pentru protecţia consumatorilor.”</w:t>
            </w:r>
            <w:r w:rsidRPr="0049551E">
              <w:rPr>
                <w:rFonts w:ascii="Times New Roman" w:hAnsi="Times New Roman"/>
                <w:b/>
                <w:i/>
                <w:sz w:val="20"/>
                <w:szCs w:val="20"/>
                <w:lang w:val="ro-RO"/>
              </w:rPr>
              <w:t xml:space="preserve"> Apoi după text.</w:t>
            </w:r>
          </w:p>
        </w:tc>
        <w:tc>
          <w:tcPr>
            <w:tcW w:w="3432" w:type="dxa"/>
          </w:tcPr>
          <w:p w:rsidR="00D70642" w:rsidRPr="0049551E" w:rsidRDefault="00D70642" w:rsidP="001945C1">
            <w:pPr>
              <w:pStyle w:val="NoSpacing"/>
              <w:jc w:val="both"/>
              <w:rPr>
                <w:rFonts w:ascii="Times New Roman" w:hAnsi="Times New Roman"/>
                <w:i/>
                <w:sz w:val="20"/>
                <w:szCs w:val="20"/>
                <w:lang w:val="en-US"/>
              </w:rPr>
            </w:pPr>
            <w:r w:rsidRPr="0049551E">
              <w:rPr>
                <w:rFonts w:ascii="Times New Roman" w:hAnsi="Times New Roman"/>
                <w:b/>
                <w:sz w:val="20"/>
                <w:szCs w:val="20"/>
                <w:lang w:val="en-US"/>
              </w:rPr>
              <w:t xml:space="preserve">Se </w:t>
            </w:r>
            <w:r w:rsidRPr="0049551E">
              <w:rPr>
                <w:rFonts w:ascii="Times New Roman" w:hAnsi="Times New Roman"/>
                <w:b/>
                <w:sz w:val="20"/>
                <w:szCs w:val="20"/>
                <w:lang w:val="ro-RO"/>
              </w:rPr>
              <w:t>acceptă</w:t>
            </w:r>
            <w:r w:rsidRPr="0049551E">
              <w:rPr>
                <w:rFonts w:ascii="Times New Roman" w:hAnsi="Times New Roman"/>
                <w:sz w:val="20"/>
                <w:szCs w:val="20"/>
                <w:lang w:val="en-US"/>
              </w:rPr>
              <w:t>.</w:t>
            </w:r>
          </w:p>
        </w:tc>
      </w:tr>
      <w:tr w:rsidR="00D70642" w:rsidRPr="0049551E" w:rsidTr="008C3D3F">
        <w:tc>
          <w:tcPr>
            <w:tcW w:w="720" w:type="dxa"/>
            <w:vMerge/>
          </w:tcPr>
          <w:p w:rsidR="00D70642" w:rsidRPr="0049551E" w:rsidRDefault="00D70642" w:rsidP="001945C1">
            <w:pPr>
              <w:spacing w:after="0" w:line="240" w:lineRule="auto"/>
              <w:jc w:val="center"/>
              <w:rPr>
                <w:rFonts w:ascii="Times New Roman" w:hAnsi="Times New Roman"/>
                <w:b/>
                <w:sz w:val="20"/>
                <w:szCs w:val="20"/>
                <w:lang w:val="ro-RO"/>
              </w:rPr>
            </w:pPr>
          </w:p>
        </w:tc>
        <w:tc>
          <w:tcPr>
            <w:tcW w:w="1620" w:type="dxa"/>
            <w:vMerge/>
          </w:tcPr>
          <w:p w:rsidR="00D70642" w:rsidRPr="0049551E" w:rsidRDefault="00D70642" w:rsidP="001945C1">
            <w:pPr>
              <w:spacing w:after="0" w:line="240" w:lineRule="auto"/>
              <w:jc w:val="center"/>
              <w:rPr>
                <w:rFonts w:ascii="Times New Roman" w:hAnsi="Times New Roman"/>
                <w:b/>
                <w:sz w:val="20"/>
                <w:szCs w:val="20"/>
                <w:lang w:val="ro-RO"/>
              </w:rPr>
            </w:pPr>
          </w:p>
        </w:tc>
        <w:tc>
          <w:tcPr>
            <w:tcW w:w="10500" w:type="dxa"/>
          </w:tcPr>
          <w:p w:rsidR="00D70642" w:rsidRPr="0049551E" w:rsidRDefault="00D70642" w:rsidP="001945C1">
            <w:pPr>
              <w:pStyle w:val="NoSpacing"/>
              <w:jc w:val="both"/>
              <w:rPr>
                <w:rFonts w:ascii="Times New Roman" w:hAnsi="Times New Roman"/>
                <w:sz w:val="20"/>
                <w:szCs w:val="20"/>
                <w:lang w:val="ro-RO"/>
              </w:rPr>
            </w:pPr>
            <w:r w:rsidRPr="0049551E">
              <w:rPr>
                <w:rFonts w:ascii="Times New Roman" w:hAnsi="Times New Roman"/>
                <w:sz w:val="20"/>
                <w:szCs w:val="20"/>
                <w:lang w:val="ro-RO"/>
              </w:rPr>
              <w:t>Anexa nr. 1 Cerinţe tehnice, punctul 7 de prezentat în următoarea redacţie :</w:t>
            </w:r>
          </w:p>
          <w:p w:rsidR="00D70642" w:rsidRPr="0049551E" w:rsidRDefault="00D70642" w:rsidP="001945C1">
            <w:pPr>
              <w:pStyle w:val="NoSpacing"/>
              <w:jc w:val="both"/>
              <w:rPr>
                <w:rFonts w:ascii="Times New Roman" w:hAnsi="Times New Roman"/>
                <w:sz w:val="20"/>
                <w:szCs w:val="20"/>
                <w:lang w:val="ro-RO"/>
              </w:rPr>
            </w:pPr>
            <w:r w:rsidRPr="0049551E">
              <w:rPr>
                <w:rStyle w:val="410"/>
                <w:iCs/>
                <w:sz w:val="20"/>
                <w:szCs w:val="20"/>
                <w:lang w:val="ro-RO"/>
              </w:rPr>
              <w:t>Sticlele vor fi introduse pe piaţă cu condiţia că se execută cerinţele prezentului document şi obligatoriu vor deţine următoarele inscripţii, care vor fi lizibile, vizibile şi de neşters:</w:t>
            </w:r>
          </w:p>
        </w:tc>
        <w:tc>
          <w:tcPr>
            <w:tcW w:w="3432" w:type="dxa"/>
          </w:tcPr>
          <w:p w:rsidR="00D70642" w:rsidRPr="0049551E" w:rsidRDefault="00D70642" w:rsidP="001945C1">
            <w:pPr>
              <w:pStyle w:val="NoSpacing"/>
              <w:jc w:val="both"/>
              <w:rPr>
                <w:rFonts w:ascii="Times New Roman" w:hAnsi="Times New Roman"/>
                <w:sz w:val="20"/>
                <w:szCs w:val="20"/>
                <w:lang w:val="ro-RO"/>
              </w:rPr>
            </w:pPr>
            <w:r w:rsidRPr="0049551E">
              <w:rPr>
                <w:rFonts w:ascii="Times New Roman" w:hAnsi="Times New Roman"/>
                <w:b/>
                <w:sz w:val="20"/>
                <w:szCs w:val="20"/>
                <w:lang w:val="ro-RO"/>
              </w:rPr>
              <w:t>Se acceptă parţial</w:t>
            </w:r>
            <w:r w:rsidRPr="0049551E">
              <w:rPr>
                <w:rFonts w:ascii="Times New Roman" w:hAnsi="Times New Roman"/>
                <w:sz w:val="20"/>
                <w:szCs w:val="20"/>
                <w:lang w:val="ro-RO"/>
              </w:rPr>
              <w:t>.</w:t>
            </w:r>
          </w:p>
          <w:p w:rsidR="00D70642" w:rsidRPr="0049551E" w:rsidRDefault="00D70642" w:rsidP="001945C1">
            <w:pPr>
              <w:pStyle w:val="NoSpacing"/>
              <w:jc w:val="both"/>
              <w:rPr>
                <w:rFonts w:ascii="Times New Roman" w:hAnsi="Times New Roman"/>
                <w:sz w:val="20"/>
                <w:szCs w:val="20"/>
                <w:lang w:val="ro-RO"/>
              </w:rPr>
            </w:pPr>
            <w:r w:rsidRPr="0049551E">
              <w:rPr>
                <w:rFonts w:ascii="Times New Roman" w:hAnsi="Times New Roman"/>
                <w:sz w:val="20"/>
                <w:szCs w:val="20"/>
                <w:lang w:val="ro-RO"/>
              </w:rPr>
              <w:t xml:space="preserve">Introducerea </w:t>
            </w:r>
            <w:r w:rsidRPr="0049551E">
              <w:rPr>
                <w:rStyle w:val="410"/>
                <w:i w:val="0"/>
                <w:iCs/>
                <w:sz w:val="20"/>
                <w:szCs w:val="20"/>
                <w:lang w:val="ro-RO"/>
              </w:rPr>
              <w:t>pe piaţă a sticlelor utilizate ca recipiente de măsurare nu poate fi restricţionată,</w:t>
            </w:r>
            <w:r w:rsidRPr="0049551E">
              <w:rPr>
                <w:rFonts w:ascii="Times New Roman" w:hAnsi="Times New Roman"/>
                <w:sz w:val="20"/>
                <w:szCs w:val="20"/>
                <w:lang w:val="ro-RO"/>
              </w:rPr>
              <w:t xml:space="preserve"> deoarece prevederile prezentului regulament sunt voluntare.</w:t>
            </w:r>
          </w:p>
          <w:p w:rsidR="00D70642" w:rsidRPr="0049551E" w:rsidRDefault="00D70642" w:rsidP="001945C1">
            <w:pPr>
              <w:pStyle w:val="NoSpacing"/>
              <w:jc w:val="both"/>
              <w:rPr>
                <w:rFonts w:ascii="Times New Roman" w:hAnsi="Times New Roman"/>
                <w:sz w:val="20"/>
                <w:szCs w:val="20"/>
                <w:lang w:val="ro-RO"/>
              </w:rPr>
            </w:pPr>
            <w:r w:rsidRPr="0049551E">
              <w:rPr>
                <w:rFonts w:ascii="Times New Roman" w:hAnsi="Times New Roman"/>
                <w:sz w:val="20"/>
                <w:szCs w:val="20"/>
                <w:lang w:val="ro-RO"/>
              </w:rPr>
              <w:t>Cerinţele pentru sticle</w:t>
            </w:r>
            <w:r w:rsidRPr="0049551E">
              <w:rPr>
                <w:rStyle w:val="410"/>
                <w:i w:val="0"/>
                <w:iCs/>
                <w:sz w:val="20"/>
                <w:szCs w:val="20"/>
                <w:lang w:val="ro-RO"/>
              </w:rPr>
              <w:t xml:space="preserve"> utilizate ca recipiente de măsurare</w:t>
            </w:r>
            <w:r w:rsidRPr="0049551E">
              <w:rPr>
                <w:rFonts w:ascii="Times New Roman" w:hAnsi="Times New Roman"/>
                <w:sz w:val="20"/>
                <w:szCs w:val="20"/>
                <w:lang w:val="ro-RO"/>
              </w:rPr>
              <w:t xml:space="preserve">  privind  indicaţiile </w:t>
            </w:r>
            <w:r w:rsidRPr="0049551E">
              <w:rPr>
                <w:rFonts w:ascii="Times New Roman" w:hAnsi="Times New Roman"/>
                <w:sz w:val="20"/>
                <w:szCs w:val="20"/>
                <w:lang w:val="ro-RO" w:eastAsia="ro-RO"/>
              </w:rPr>
              <w:t>indelebile, ușor lizibile și vizibile sunt incluse la pct.8, anexa nr.2.</w:t>
            </w:r>
          </w:p>
        </w:tc>
      </w:tr>
      <w:tr w:rsidR="00D70642" w:rsidRPr="0049551E" w:rsidTr="008C3D3F">
        <w:tc>
          <w:tcPr>
            <w:tcW w:w="720" w:type="dxa"/>
            <w:vMerge/>
          </w:tcPr>
          <w:p w:rsidR="00D70642" w:rsidRPr="0049551E" w:rsidRDefault="00D70642" w:rsidP="001945C1">
            <w:pPr>
              <w:spacing w:after="0" w:line="240" w:lineRule="auto"/>
              <w:jc w:val="center"/>
              <w:rPr>
                <w:rFonts w:ascii="Times New Roman" w:hAnsi="Times New Roman"/>
                <w:b/>
                <w:sz w:val="20"/>
                <w:szCs w:val="20"/>
                <w:lang w:val="ro-RO"/>
              </w:rPr>
            </w:pPr>
          </w:p>
        </w:tc>
        <w:tc>
          <w:tcPr>
            <w:tcW w:w="1620" w:type="dxa"/>
            <w:vMerge/>
          </w:tcPr>
          <w:p w:rsidR="00D70642" w:rsidRPr="0049551E" w:rsidRDefault="00D70642" w:rsidP="001945C1">
            <w:pPr>
              <w:spacing w:after="0" w:line="240" w:lineRule="auto"/>
              <w:jc w:val="center"/>
              <w:rPr>
                <w:rFonts w:ascii="Times New Roman" w:hAnsi="Times New Roman"/>
                <w:b/>
                <w:sz w:val="20"/>
                <w:szCs w:val="20"/>
                <w:lang w:val="ro-RO"/>
              </w:rPr>
            </w:pPr>
          </w:p>
        </w:tc>
        <w:tc>
          <w:tcPr>
            <w:tcW w:w="10500" w:type="dxa"/>
          </w:tcPr>
          <w:p w:rsidR="00D70642" w:rsidRPr="0049551E" w:rsidRDefault="00D70642" w:rsidP="001945C1">
            <w:pPr>
              <w:pStyle w:val="NoSpacing"/>
              <w:jc w:val="both"/>
              <w:rPr>
                <w:rFonts w:ascii="Times New Roman" w:hAnsi="Times New Roman"/>
                <w:sz w:val="20"/>
                <w:szCs w:val="20"/>
                <w:lang w:val="ro-RO"/>
              </w:rPr>
            </w:pPr>
            <w:r w:rsidRPr="0049551E">
              <w:rPr>
                <w:rFonts w:ascii="Times New Roman" w:hAnsi="Times New Roman"/>
                <w:sz w:val="20"/>
                <w:szCs w:val="20"/>
                <w:lang w:val="ro-RO"/>
              </w:rPr>
              <w:t>În litera c) de dat concret ce marcaj dar nu de făcut trimitere.</w:t>
            </w:r>
          </w:p>
        </w:tc>
        <w:tc>
          <w:tcPr>
            <w:tcW w:w="3432" w:type="dxa"/>
          </w:tcPr>
          <w:p w:rsidR="00D70642" w:rsidRPr="0049551E" w:rsidRDefault="00D70642" w:rsidP="001945C1">
            <w:pPr>
              <w:pStyle w:val="NoSpacing"/>
              <w:jc w:val="both"/>
              <w:rPr>
                <w:rFonts w:ascii="Times New Roman" w:hAnsi="Times New Roman"/>
                <w:i/>
                <w:sz w:val="20"/>
                <w:szCs w:val="20"/>
                <w:lang w:val="ro-RO" w:eastAsia="ro-RO"/>
              </w:rPr>
            </w:pPr>
            <w:r w:rsidRPr="0049551E">
              <w:rPr>
                <w:rFonts w:ascii="Times New Roman" w:hAnsi="Times New Roman"/>
                <w:b/>
                <w:sz w:val="20"/>
                <w:szCs w:val="20"/>
                <w:lang w:val="ro-RO"/>
              </w:rPr>
              <w:t>Se acceptă.</w:t>
            </w:r>
          </w:p>
        </w:tc>
      </w:tr>
      <w:tr w:rsidR="00D70642" w:rsidRPr="0049551E" w:rsidTr="008C3D3F">
        <w:tc>
          <w:tcPr>
            <w:tcW w:w="720" w:type="dxa"/>
            <w:vMerge/>
          </w:tcPr>
          <w:p w:rsidR="00D70642" w:rsidRPr="0049551E" w:rsidRDefault="00D70642" w:rsidP="001945C1">
            <w:pPr>
              <w:spacing w:after="0" w:line="240" w:lineRule="auto"/>
              <w:jc w:val="center"/>
              <w:rPr>
                <w:rFonts w:ascii="Times New Roman" w:hAnsi="Times New Roman"/>
                <w:b/>
                <w:sz w:val="20"/>
                <w:szCs w:val="20"/>
                <w:lang w:val="ro-RO"/>
              </w:rPr>
            </w:pPr>
          </w:p>
        </w:tc>
        <w:tc>
          <w:tcPr>
            <w:tcW w:w="1620" w:type="dxa"/>
            <w:vMerge/>
          </w:tcPr>
          <w:p w:rsidR="00D70642" w:rsidRPr="0049551E" w:rsidRDefault="00D70642" w:rsidP="001945C1">
            <w:pPr>
              <w:spacing w:after="0" w:line="240" w:lineRule="auto"/>
              <w:jc w:val="center"/>
              <w:rPr>
                <w:rFonts w:ascii="Times New Roman" w:hAnsi="Times New Roman"/>
                <w:b/>
                <w:sz w:val="20"/>
                <w:szCs w:val="20"/>
                <w:lang w:val="ro-RO"/>
              </w:rPr>
            </w:pPr>
          </w:p>
        </w:tc>
        <w:tc>
          <w:tcPr>
            <w:tcW w:w="10500" w:type="dxa"/>
          </w:tcPr>
          <w:p w:rsidR="00D70642" w:rsidRPr="0049551E" w:rsidRDefault="00D70642" w:rsidP="001945C1">
            <w:pPr>
              <w:pStyle w:val="NoSpacing"/>
              <w:jc w:val="both"/>
              <w:rPr>
                <w:rFonts w:ascii="Times New Roman" w:hAnsi="Times New Roman"/>
                <w:sz w:val="20"/>
                <w:szCs w:val="20"/>
                <w:lang w:val="ro-RO"/>
              </w:rPr>
            </w:pPr>
            <w:r w:rsidRPr="0049551E">
              <w:rPr>
                <w:rStyle w:val="310"/>
                <w:b w:val="0"/>
                <w:bCs/>
                <w:i w:val="0"/>
                <w:iCs/>
                <w:sz w:val="20"/>
                <w:szCs w:val="20"/>
                <w:lang w:val="ro-RO"/>
              </w:rPr>
              <w:t>Proiectul de Hotărîre de</w:t>
            </w:r>
            <w:r w:rsidRPr="0049551E">
              <w:rPr>
                <w:rStyle w:val="3101"/>
                <w:b w:val="0"/>
                <w:bCs/>
                <w:i w:val="0"/>
                <w:iCs/>
                <w:sz w:val="20"/>
                <w:szCs w:val="20"/>
                <w:lang w:val="ro-RO"/>
              </w:rPr>
              <w:t xml:space="preserve"> Guvern referitor la</w:t>
            </w:r>
            <w:r w:rsidRPr="0049551E">
              <w:rPr>
                <w:rStyle w:val="310"/>
                <w:b w:val="0"/>
                <w:bCs/>
                <w:i w:val="0"/>
                <w:iCs/>
                <w:sz w:val="20"/>
                <w:szCs w:val="20"/>
                <w:lang w:val="ro-RO"/>
              </w:rPr>
              <w:t xml:space="preserve"> aprobarea unităţilor de măsură legale,</w:t>
            </w:r>
            <w:r w:rsidRPr="0049551E">
              <w:rPr>
                <w:rStyle w:val="310pt"/>
                <w:b w:val="0"/>
                <w:bCs/>
                <w:i w:val="0"/>
                <w:iCs/>
                <w:szCs w:val="20"/>
                <w:lang w:val="ro-RO"/>
              </w:rPr>
              <w:t xml:space="preserve"> se </w:t>
            </w:r>
            <w:r w:rsidRPr="0049551E">
              <w:rPr>
                <w:rFonts w:ascii="Times New Roman" w:hAnsi="Times New Roman"/>
                <w:sz w:val="20"/>
                <w:szCs w:val="20"/>
                <w:lang w:val="ro-RO"/>
              </w:rPr>
              <w:t>prezintă fără careva categorie de document al Sistemului Naţional de Metrologie, pur şi simplu,</w:t>
            </w:r>
          </w:p>
          <w:p w:rsidR="00D70642" w:rsidRPr="0049551E" w:rsidRDefault="00D70642" w:rsidP="001945C1">
            <w:pPr>
              <w:pStyle w:val="NoSpacing"/>
              <w:jc w:val="both"/>
              <w:rPr>
                <w:rFonts w:ascii="Times New Roman" w:hAnsi="Times New Roman"/>
                <w:sz w:val="20"/>
                <w:szCs w:val="20"/>
                <w:lang w:val="ro-RO"/>
              </w:rPr>
            </w:pPr>
            <w:r w:rsidRPr="0049551E">
              <w:rPr>
                <w:rFonts w:ascii="Times New Roman" w:hAnsi="Times New Roman"/>
                <w:sz w:val="20"/>
                <w:szCs w:val="20"/>
                <w:lang w:val="ro-RO"/>
              </w:rPr>
              <w:t>Dar, ţinînd cont, de faptul că în Republica Moldova categoriile documentelor în domeniul metrologie sunt stabilite prin legea metrologiei armonizată cu OIML, este binevenit de elaborat proiecte de hotărîri de Guvern care să prezinte o consecutivitate de acte normative. În cazul dat aşa cum este prevăzut în art.4 a legii menţionate.</w:t>
            </w:r>
          </w:p>
        </w:tc>
        <w:tc>
          <w:tcPr>
            <w:tcW w:w="3432" w:type="dxa"/>
          </w:tcPr>
          <w:p w:rsidR="00D70642" w:rsidRPr="0049551E" w:rsidRDefault="00D70642" w:rsidP="001945C1">
            <w:pPr>
              <w:pStyle w:val="NoSpacing"/>
              <w:jc w:val="both"/>
              <w:rPr>
                <w:rFonts w:ascii="Times New Roman" w:hAnsi="Times New Roman"/>
                <w:i/>
                <w:sz w:val="20"/>
                <w:szCs w:val="20"/>
                <w:lang w:val="en-US"/>
              </w:rPr>
            </w:pPr>
            <w:r w:rsidRPr="0049551E">
              <w:rPr>
                <w:rFonts w:ascii="Times New Roman" w:hAnsi="Times New Roman"/>
                <w:b/>
                <w:sz w:val="20"/>
                <w:szCs w:val="20"/>
                <w:lang w:val="en-US"/>
              </w:rPr>
              <w:t>S</w:t>
            </w:r>
            <w:r w:rsidRPr="0049551E">
              <w:rPr>
                <w:rFonts w:ascii="Times New Roman" w:hAnsi="Times New Roman"/>
                <w:b/>
                <w:sz w:val="20"/>
                <w:szCs w:val="20"/>
                <w:lang w:val="ro-RO"/>
              </w:rPr>
              <w:t>e acceptă</w:t>
            </w:r>
            <w:r w:rsidRPr="0049551E">
              <w:rPr>
                <w:rFonts w:ascii="Times New Roman" w:hAnsi="Times New Roman"/>
                <w:sz w:val="20"/>
                <w:szCs w:val="20"/>
                <w:lang w:val="en-US"/>
              </w:rPr>
              <w:t>.</w:t>
            </w:r>
          </w:p>
          <w:p w:rsidR="00D70642" w:rsidRPr="0049551E" w:rsidRDefault="00D70642" w:rsidP="001945C1">
            <w:pPr>
              <w:pStyle w:val="NoSpacing"/>
              <w:jc w:val="both"/>
              <w:rPr>
                <w:rFonts w:ascii="Times New Roman" w:hAnsi="Times New Roman"/>
                <w:i/>
                <w:sz w:val="20"/>
                <w:szCs w:val="20"/>
                <w:lang w:val="ro-RO"/>
              </w:rPr>
            </w:pPr>
          </w:p>
        </w:tc>
      </w:tr>
      <w:tr w:rsidR="00D70642" w:rsidRPr="0049551E" w:rsidTr="008C3D3F">
        <w:tc>
          <w:tcPr>
            <w:tcW w:w="720" w:type="dxa"/>
          </w:tcPr>
          <w:p w:rsidR="00D70642" w:rsidRPr="0049551E" w:rsidRDefault="00D70642" w:rsidP="001945C1">
            <w:pPr>
              <w:spacing w:after="0" w:line="240" w:lineRule="auto"/>
              <w:jc w:val="center"/>
              <w:rPr>
                <w:rFonts w:ascii="Times New Roman" w:hAnsi="Times New Roman"/>
                <w:b/>
                <w:sz w:val="20"/>
                <w:szCs w:val="20"/>
                <w:lang w:val="ro-RO"/>
              </w:rPr>
            </w:pPr>
            <w:r w:rsidRPr="0049551E">
              <w:rPr>
                <w:rFonts w:ascii="Times New Roman" w:hAnsi="Times New Roman"/>
                <w:b/>
                <w:sz w:val="20"/>
                <w:szCs w:val="20"/>
                <w:lang w:val="ro-RO"/>
              </w:rPr>
              <w:t>10</w:t>
            </w:r>
          </w:p>
        </w:tc>
        <w:tc>
          <w:tcPr>
            <w:tcW w:w="1620" w:type="dxa"/>
          </w:tcPr>
          <w:p w:rsidR="00D70642" w:rsidRPr="0049551E" w:rsidRDefault="00D70642" w:rsidP="001945C1">
            <w:pPr>
              <w:pStyle w:val="NoSpacing"/>
              <w:jc w:val="center"/>
              <w:rPr>
                <w:rFonts w:ascii="Times New Roman" w:hAnsi="Times New Roman"/>
                <w:b/>
                <w:sz w:val="20"/>
                <w:szCs w:val="20"/>
                <w:lang w:val="ro-RO"/>
              </w:rPr>
            </w:pPr>
            <w:r w:rsidRPr="0049551E">
              <w:rPr>
                <w:rFonts w:ascii="Times New Roman" w:hAnsi="Times New Roman"/>
                <w:b/>
                <w:sz w:val="20"/>
                <w:szCs w:val="20"/>
                <w:lang w:val="ro-RO"/>
              </w:rPr>
              <w:t>Institutul Naţional de Standardizare</w:t>
            </w:r>
          </w:p>
        </w:tc>
        <w:tc>
          <w:tcPr>
            <w:tcW w:w="10500" w:type="dxa"/>
          </w:tcPr>
          <w:p w:rsidR="00D70642" w:rsidRPr="0049551E" w:rsidRDefault="00D70642" w:rsidP="001945C1">
            <w:pPr>
              <w:pStyle w:val="NoSpacing"/>
              <w:jc w:val="both"/>
              <w:rPr>
                <w:rFonts w:ascii="Times New Roman" w:hAnsi="Times New Roman"/>
                <w:sz w:val="20"/>
                <w:szCs w:val="20"/>
                <w:lang w:val="ro-RO"/>
              </w:rPr>
            </w:pPr>
            <w:r w:rsidRPr="0049551E">
              <w:rPr>
                <w:rFonts w:ascii="Times New Roman" w:hAnsi="Times New Roman"/>
                <w:b/>
                <w:sz w:val="20"/>
                <w:szCs w:val="20"/>
                <w:lang w:val="ro-RO"/>
              </w:rPr>
              <w:t>Lipsă de obiecţii şi propuneri.</w:t>
            </w:r>
          </w:p>
        </w:tc>
        <w:tc>
          <w:tcPr>
            <w:tcW w:w="3432" w:type="dxa"/>
          </w:tcPr>
          <w:p w:rsidR="00D70642" w:rsidRPr="0049551E" w:rsidRDefault="00D70642" w:rsidP="001945C1">
            <w:pPr>
              <w:spacing w:after="0" w:line="240" w:lineRule="auto"/>
              <w:jc w:val="both"/>
              <w:rPr>
                <w:rFonts w:ascii="Times New Roman" w:hAnsi="Times New Roman"/>
                <w:sz w:val="20"/>
                <w:szCs w:val="20"/>
                <w:lang w:val="ro-RO"/>
              </w:rPr>
            </w:pPr>
          </w:p>
        </w:tc>
      </w:tr>
      <w:tr w:rsidR="00D70642" w:rsidRPr="0049551E" w:rsidTr="008C3D3F">
        <w:tc>
          <w:tcPr>
            <w:tcW w:w="720" w:type="dxa"/>
            <w:vMerge w:val="restart"/>
          </w:tcPr>
          <w:p w:rsidR="00D70642" w:rsidRPr="0049551E" w:rsidRDefault="00D70642" w:rsidP="001945C1">
            <w:pPr>
              <w:spacing w:after="0" w:line="240" w:lineRule="auto"/>
              <w:jc w:val="center"/>
              <w:rPr>
                <w:rFonts w:ascii="Times New Roman" w:hAnsi="Times New Roman"/>
                <w:b/>
                <w:sz w:val="20"/>
                <w:szCs w:val="20"/>
                <w:lang w:val="ro-RO"/>
              </w:rPr>
            </w:pPr>
            <w:r w:rsidRPr="0049551E">
              <w:rPr>
                <w:rFonts w:ascii="Times New Roman" w:hAnsi="Times New Roman"/>
                <w:b/>
                <w:sz w:val="20"/>
                <w:szCs w:val="20"/>
                <w:lang w:val="ro-RO"/>
              </w:rPr>
              <w:t>11</w:t>
            </w:r>
          </w:p>
        </w:tc>
        <w:tc>
          <w:tcPr>
            <w:tcW w:w="1620" w:type="dxa"/>
            <w:vMerge w:val="restart"/>
          </w:tcPr>
          <w:p w:rsidR="00D70642" w:rsidRPr="0049551E" w:rsidRDefault="00D70642" w:rsidP="001945C1">
            <w:pPr>
              <w:pStyle w:val="NoSpacing"/>
              <w:jc w:val="center"/>
              <w:rPr>
                <w:rFonts w:ascii="Times New Roman" w:hAnsi="Times New Roman"/>
                <w:b/>
                <w:sz w:val="20"/>
                <w:szCs w:val="20"/>
                <w:lang w:val="en-US"/>
              </w:rPr>
            </w:pPr>
            <w:r w:rsidRPr="0049551E">
              <w:rPr>
                <w:rFonts w:ascii="Times New Roman" w:hAnsi="Times New Roman"/>
                <w:b/>
                <w:sz w:val="20"/>
                <w:szCs w:val="20"/>
                <w:lang w:val="ro-RO"/>
              </w:rPr>
              <w:t>Institutul Naţional de Metrologie</w:t>
            </w:r>
          </w:p>
        </w:tc>
        <w:tc>
          <w:tcPr>
            <w:tcW w:w="10500" w:type="dxa"/>
          </w:tcPr>
          <w:p w:rsidR="00D70642" w:rsidRPr="0049551E" w:rsidRDefault="00D70642" w:rsidP="001945C1">
            <w:pPr>
              <w:pStyle w:val="NoSpacing"/>
              <w:jc w:val="both"/>
              <w:rPr>
                <w:rFonts w:ascii="Times New Roman" w:hAnsi="Times New Roman"/>
                <w:sz w:val="20"/>
                <w:szCs w:val="20"/>
                <w:lang w:val="ro-RO"/>
              </w:rPr>
            </w:pPr>
            <w:r w:rsidRPr="0049551E">
              <w:rPr>
                <w:rFonts w:ascii="Times New Roman" w:hAnsi="Times New Roman"/>
                <w:sz w:val="20"/>
                <w:szCs w:val="20"/>
                <w:lang w:val="ro-RO"/>
              </w:rPr>
              <w:t>Credem oportun ca documentul normativ în cauză să fie o Reglementare tehnică şi nu un Regulament general de metrologie legală. Concluzia reiese din însăşi noţiunile;</w:t>
            </w:r>
          </w:p>
          <w:p w:rsidR="00D70642" w:rsidRPr="0049551E" w:rsidRDefault="00D70642" w:rsidP="001945C1">
            <w:pPr>
              <w:pStyle w:val="NoSpacing"/>
              <w:jc w:val="both"/>
              <w:rPr>
                <w:rFonts w:ascii="Times New Roman" w:hAnsi="Times New Roman"/>
                <w:sz w:val="20"/>
                <w:szCs w:val="20"/>
                <w:lang w:val="ro-RO"/>
              </w:rPr>
            </w:pPr>
            <w:r w:rsidRPr="0049551E">
              <w:rPr>
                <w:rStyle w:val="4"/>
                <w:iCs/>
                <w:sz w:val="20"/>
                <w:szCs w:val="20"/>
                <w:lang w:val="ro-RO"/>
              </w:rPr>
              <w:t>Reglementare tehnică -</w:t>
            </w:r>
            <w:r w:rsidRPr="0049551E">
              <w:rPr>
                <w:rFonts w:ascii="Times New Roman" w:hAnsi="Times New Roman"/>
                <w:sz w:val="20"/>
                <w:szCs w:val="20"/>
                <w:lang w:val="ro-RO"/>
              </w:rPr>
              <w:t xml:space="preserve"> Normă scrisă privind condiţiile tehnice care trebuie respectate ia proiectarea, executarea şi 'întreţinerea unei instalaţii, a unei maşini, a unui mecanism, etc.</w:t>
            </w:r>
          </w:p>
          <w:p w:rsidR="00D70642" w:rsidRPr="0049551E" w:rsidRDefault="00D70642" w:rsidP="001945C1">
            <w:pPr>
              <w:pStyle w:val="NoSpacing"/>
              <w:jc w:val="both"/>
              <w:rPr>
                <w:rFonts w:ascii="Times New Roman" w:hAnsi="Times New Roman"/>
                <w:sz w:val="20"/>
                <w:szCs w:val="20"/>
                <w:lang w:val="ro-RO"/>
              </w:rPr>
            </w:pPr>
            <w:r w:rsidRPr="0049551E">
              <w:rPr>
                <w:rStyle w:val="4"/>
                <w:iCs/>
                <w:sz w:val="20"/>
                <w:szCs w:val="20"/>
                <w:lang w:val="ro-RO"/>
              </w:rPr>
              <w:t>Regulament</w:t>
            </w:r>
            <w:r w:rsidRPr="0049551E">
              <w:rPr>
                <w:rStyle w:val="41"/>
                <w:iCs/>
                <w:sz w:val="20"/>
                <w:szCs w:val="20"/>
                <w:u w:val="none"/>
                <w:lang w:val="ro-RO"/>
              </w:rPr>
              <w:t xml:space="preserve"> general</w:t>
            </w:r>
            <w:r w:rsidRPr="0049551E">
              <w:rPr>
                <w:rStyle w:val="4"/>
                <w:iCs/>
                <w:sz w:val="20"/>
                <w:szCs w:val="20"/>
                <w:lang w:val="ro-RO"/>
              </w:rPr>
              <w:t xml:space="preserve"> de metrologie legală -</w:t>
            </w:r>
            <w:r w:rsidRPr="0049551E">
              <w:rPr>
                <w:rFonts w:ascii="Times New Roman" w:hAnsi="Times New Roman"/>
                <w:sz w:val="20"/>
                <w:szCs w:val="20"/>
                <w:lang w:val="ro-RO"/>
              </w:rPr>
              <w:t xml:space="preserve"> Reglementare de metrologie legală care stabileşte principii şi reguli generale specifice activităţilor de metrologie legală.</w:t>
            </w:r>
          </w:p>
        </w:tc>
        <w:tc>
          <w:tcPr>
            <w:tcW w:w="3432" w:type="dxa"/>
          </w:tcPr>
          <w:p w:rsidR="00D70642" w:rsidRPr="0049551E" w:rsidRDefault="00D70642" w:rsidP="002A033A">
            <w:pPr>
              <w:pStyle w:val="NoSpacing"/>
              <w:jc w:val="both"/>
              <w:rPr>
                <w:rFonts w:ascii="Times New Roman" w:hAnsi="Times New Roman"/>
                <w:sz w:val="20"/>
                <w:szCs w:val="20"/>
                <w:lang w:val="en-US"/>
              </w:rPr>
            </w:pPr>
            <w:r w:rsidRPr="0049551E">
              <w:rPr>
                <w:rFonts w:ascii="Times New Roman" w:hAnsi="Times New Roman"/>
                <w:b/>
                <w:sz w:val="20"/>
                <w:szCs w:val="20"/>
                <w:lang w:val="ro-RO"/>
              </w:rPr>
              <w:t>Nu se acceptă</w:t>
            </w:r>
            <w:r w:rsidRPr="0049551E">
              <w:rPr>
                <w:rFonts w:ascii="Times New Roman" w:hAnsi="Times New Roman"/>
                <w:i/>
                <w:sz w:val="20"/>
                <w:szCs w:val="20"/>
                <w:lang w:val="ro-RO"/>
              </w:rPr>
              <w:t xml:space="preserve">. </w:t>
            </w:r>
            <w:r w:rsidRPr="0049551E">
              <w:rPr>
                <w:rFonts w:ascii="Times New Roman" w:hAnsi="Times New Roman"/>
                <w:sz w:val="20"/>
                <w:szCs w:val="20"/>
                <w:lang w:val="ro-RO"/>
              </w:rPr>
              <w:t>Au fost  propuse modificări la  Legea metrologiei nr. 647 din 17 noiembrie 1995 care prevăd ca RGML să fie aprobate prin Hotărîri de Guvern sau ordine ale autorităţii centrale de metrologie.</w:t>
            </w:r>
          </w:p>
        </w:tc>
      </w:tr>
      <w:tr w:rsidR="00D70642" w:rsidRPr="0049551E" w:rsidTr="008C3D3F">
        <w:tc>
          <w:tcPr>
            <w:tcW w:w="720" w:type="dxa"/>
            <w:vMerge/>
          </w:tcPr>
          <w:p w:rsidR="00D70642" w:rsidRPr="0049551E" w:rsidRDefault="00D70642" w:rsidP="001945C1">
            <w:pPr>
              <w:spacing w:after="0" w:line="240" w:lineRule="auto"/>
              <w:jc w:val="center"/>
              <w:rPr>
                <w:rFonts w:ascii="Times New Roman" w:hAnsi="Times New Roman"/>
                <w:b/>
                <w:sz w:val="20"/>
                <w:szCs w:val="20"/>
                <w:lang w:val="ro-RO"/>
              </w:rPr>
            </w:pPr>
          </w:p>
        </w:tc>
        <w:tc>
          <w:tcPr>
            <w:tcW w:w="1620" w:type="dxa"/>
            <w:vMerge/>
          </w:tcPr>
          <w:p w:rsidR="00D70642" w:rsidRPr="0049551E" w:rsidRDefault="00D70642" w:rsidP="001945C1">
            <w:pPr>
              <w:spacing w:after="0" w:line="240" w:lineRule="auto"/>
              <w:jc w:val="center"/>
              <w:rPr>
                <w:rFonts w:ascii="Times New Roman" w:hAnsi="Times New Roman"/>
                <w:b/>
                <w:sz w:val="20"/>
                <w:szCs w:val="20"/>
                <w:lang w:val="ro-RO"/>
              </w:rPr>
            </w:pPr>
          </w:p>
        </w:tc>
        <w:tc>
          <w:tcPr>
            <w:tcW w:w="10500" w:type="dxa"/>
          </w:tcPr>
          <w:p w:rsidR="00D70642" w:rsidRPr="0049551E" w:rsidRDefault="00D70642" w:rsidP="001945C1">
            <w:pPr>
              <w:pStyle w:val="NoSpacing"/>
              <w:jc w:val="both"/>
              <w:rPr>
                <w:rFonts w:ascii="Times New Roman" w:hAnsi="Times New Roman"/>
                <w:sz w:val="20"/>
                <w:szCs w:val="20"/>
                <w:lang w:val="ro-RO"/>
              </w:rPr>
            </w:pPr>
            <w:r w:rsidRPr="0049551E">
              <w:rPr>
                <w:rFonts w:ascii="Times New Roman" w:hAnsi="Times New Roman"/>
                <w:sz w:val="20"/>
                <w:szCs w:val="20"/>
                <w:lang w:val="ro-RO"/>
              </w:rPr>
              <w:t>La Anexa 1, punctul</w:t>
            </w:r>
            <w:r w:rsidRPr="0049551E">
              <w:rPr>
                <w:rStyle w:val="SegoeUI"/>
                <w:rFonts w:ascii="Times New Roman" w:hAnsi="Times New Roman"/>
                <w:sz w:val="20"/>
                <w:szCs w:val="20"/>
                <w:lang w:val="ro-RO"/>
              </w:rPr>
              <w:t xml:space="preserve"> 6.</w:t>
            </w:r>
            <w:r w:rsidRPr="0049551E">
              <w:rPr>
                <w:rStyle w:val="a"/>
                <w:iCs/>
                <w:sz w:val="20"/>
                <w:szCs w:val="20"/>
                <w:lang w:val="ro-RO"/>
              </w:rPr>
              <w:t xml:space="preserve">„Verificarea se realizează ...în laboratoarele de metrologie desemnate în cadrul sistemului naţional de metrologie pentru efectuarea măsurărilor oficiale.''' </w:t>
            </w:r>
            <w:r w:rsidRPr="0049551E">
              <w:rPr>
                <w:rStyle w:val="0pt"/>
                <w:sz w:val="20"/>
                <w:szCs w:val="20"/>
                <w:lang w:val="ro-RO"/>
              </w:rPr>
              <w:t>în</w:t>
            </w:r>
            <w:r w:rsidRPr="0049551E">
              <w:rPr>
                <w:rFonts w:ascii="Times New Roman" w:hAnsi="Times New Roman"/>
                <w:sz w:val="20"/>
                <w:szCs w:val="20"/>
                <w:lang w:val="ro-RO"/>
              </w:rPr>
              <w:t xml:space="preserve"> opinia noastră verificările în cauză nu sunt măsurări oficiale. Aceste verificări</w:t>
            </w:r>
            <w:r w:rsidRPr="0049551E">
              <w:rPr>
                <w:rStyle w:val="0pt"/>
                <w:sz w:val="20"/>
                <w:szCs w:val="20"/>
                <w:lang w:val="ro-RO"/>
              </w:rPr>
              <w:t xml:space="preserve"> în </w:t>
            </w:r>
            <w:r w:rsidRPr="0049551E">
              <w:rPr>
                <w:rFonts w:ascii="Times New Roman" w:hAnsi="Times New Roman"/>
                <w:sz w:val="20"/>
                <w:szCs w:val="20"/>
                <w:lang w:val="ro-RO"/>
              </w:rPr>
              <w:t>esenţă sunt încercări metrologice - măsurări ale volumului sticlelor cu</w:t>
            </w:r>
            <w:r w:rsidRPr="0049551E">
              <w:rPr>
                <w:rStyle w:val="0pt"/>
                <w:sz w:val="20"/>
                <w:szCs w:val="20"/>
                <w:lang w:val="ro-RO"/>
              </w:rPr>
              <w:t xml:space="preserve"> o </w:t>
            </w:r>
            <w:r w:rsidRPr="0049551E">
              <w:rPr>
                <w:rFonts w:ascii="Times New Roman" w:hAnsi="Times New Roman"/>
                <w:sz w:val="20"/>
                <w:szCs w:val="20"/>
                <w:lang w:val="ro-RO"/>
              </w:rPr>
              <w:t>incertitudine de măsurare bine determinată. Aceste măsurări trebuie efectuate cu mijloace de măsurare etalonate, care au o incertitudine de măsurare cunoscută (indicată</w:t>
            </w:r>
            <w:r w:rsidRPr="0049551E">
              <w:rPr>
                <w:rStyle w:val="0pt"/>
                <w:sz w:val="20"/>
                <w:szCs w:val="20"/>
                <w:lang w:val="ro-RO"/>
              </w:rPr>
              <w:t xml:space="preserve"> în</w:t>
            </w:r>
            <w:r w:rsidRPr="0049551E">
              <w:rPr>
                <w:rFonts w:ascii="Times New Roman" w:hAnsi="Times New Roman"/>
                <w:sz w:val="20"/>
                <w:szCs w:val="20"/>
                <w:lang w:val="ro-RO"/>
              </w:rPr>
              <w:t xml:space="preserve"> certificatul</w:t>
            </w:r>
            <w:r w:rsidRPr="0049551E">
              <w:rPr>
                <w:rStyle w:val="0pt"/>
                <w:sz w:val="20"/>
                <w:szCs w:val="20"/>
                <w:lang w:val="ro-RO"/>
              </w:rPr>
              <w:t xml:space="preserve"> de etalonare). Pe</w:t>
            </w:r>
            <w:r w:rsidRPr="0049551E">
              <w:rPr>
                <w:rFonts w:ascii="Times New Roman" w:hAnsi="Times New Roman"/>
                <w:sz w:val="20"/>
                <w:szCs w:val="20"/>
                <w:lang w:val="ro-RO"/>
              </w:rPr>
              <w:t>cînd măsurările oficiale se efectuează cu mijloace</w:t>
            </w:r>
            <w:r w:rsidRPr="0049551E">
              <w:rPr>
                <w:rStyle w:val="0pt"/>
                <w:sz w:val="20"/>
                <w:szCs w:val="20"/>
                <w:lang w:val="ro-RO"/>
              </w:rPr>
              <w:t xml:space="preserve"> de</w:t>
            </w:r>
            <w:r w:rsidRPr="0049551E">
              <w:rPr>
                <w:rFonts w:ascii="Times New Roman" w:hAnsi="Times New Roman"/>
                <w:sz w:val="20"/>
                <w:szCs w:val="20"/>
                <w:lang w:val="ro-RO"/>
              </w:rPr>
              <w:t xml:space="preserve"> măsurare verificate metrologic,</w:t>
            </w:r>
            <w:r w:rsidRPr="0049551E">
              <w:rPr>
                <w:rStyle w:val="0pt"/>
                <w:sz w:val="20"/>
                <w:szCs w:val="20"/>
                <w:lang w:val="ro-RO"/>
              </w:rPr>
              <w:t xml:space="preserve"> deci </w:t>
            </w:r>
            <w:r w:rsidRPr="0049551E">
              <w:rPr>
                <w:rFonts w:ascii="Times New Roman" w:hAnsi="Times New Roman"/>
                <w:sz w:val="20"/>
                <w:szCs w:val="20"/>
                <w:lang w:val="ro-RO"/>
              </w:rPr>
              <w:t>incertitudinea de măsurare a acestora nu este cunoscută.</w:t>
            </w:r>
          </w:p>
          <w:p w:rsidR="00D70642" w:rsidRPr="0049551E" w:rsidRDefault="00D70642" w:rsidP="001945C1">
            <w:pPr>
              <w:pStyle w:val="NoSpacing"/>
              <w:jc w:val="both"/>
              <w:rPr>
                <w:rFonts w:ascii="Times New Roman" w:hAnsi="Times New Roman"/>
                <w:sz w:val="20"/>
                <w:szCs w:val="20"/>
                <w:lang w:val="ro-RO"/>
              </w:rPr>
            </w:pPr>
            <w:r w:rsidRPr="0049551E">
              <w:rPr>
                <w:rFonts w:ascii="Times New Roman" w:hAnsi="Times New Roman"/>
                <w:sz w:val="20"/>
                <w:szCs w:val="20"/>
                <w:lang w:val="ro-RO"/>
              </w:rPr>
              <w:t>Laboratoarelor metrologice care efectuează aceste verificări (laboratoare metrologice de încercări sau de etalonări) trebuie să fie desemnate de Autoritatea centrală</w:t>
            </w:r>
            <w:r w:rsidRPr="0049551E">
              <w:rPr>
                <w:rStyle w:val="0pt"/>
                <w:sz w:val="20"/>
                <w:szCs w:val="20"/>
                <w:lang w:val="ro-RO"/>
              </w:rPr>
              <w:t xml:space="preserve"> de metrologie</w:t>
            </w:r>
            <w:r w:rsidRPr="0049551E">
              <w:rPr>
                <w:rFonts w:ascii="Times New Roman" w:hAnsi="Times New Roman"/>
                <w:sz w:val="20"/>
                <w:szCs w:val="20"/>
                <w:lang w:val="ro-RO"/>
              </w:rPr>
              <w:t xml:space="preserve"> anume pentru verificarea sticlelor.</w:t>
            </w:r>
          </w:p>
        </w:tc>
        <w:tc>
          <w:tcPr>
            <w:tcW w:w="3432" w:type="dxa"/>
          </w:tcPr>
          <w:p w:rsidR="00D70642" w:rsidRPr="0049551E" w:rsidRDefault="00D70642" w:rsidP="00212E50">
            <w:pPr>
              <w:pStyle w:val="NormalWeb"/>
              <w:ind w:firstLine="0"/>
              <w:rPr>
                <w:sz w:val="20"/>
                <w:szCs w:val="20"/>
                <w:lang w:val="ro-RO"/>
              </w:rPr>
            </w:pPr>
            <w:r w:rsidRPr="0049551E">
              <w:rPr>
                <w:b/>
                <w:sz w:val="20"/>
                <w:szCs w:val="20"/>
                <w:lang w:val="ro-RO"/>
              </w:rPr>
              <w:t>Se acceptă</w:t>
            </w:r>
            <w:r w:rsidRPr="0049551E">
              <w:rPr>
                <w:sz w:val="20"/>
                <w:szCs w:val="20"/>
                <w:lang w:val="ro-RO"/>
              </w:rPr>
              <w:t>.</w:t>
            </w:r>
          </w:p>
        </w:tc>
      </w:tr>
      <w:tr w:rsidR="00D70642" w:rsidRPr="0049551E" w:rsidTr="008C3D3F">
        <w:tc>
          <w:tcPr>
            <w:tcW w:w="720" w:type="dxa"/>
            <w:vMerge/>
          </w:tcPr>
          <w:p w:rsidR="00D70642" w:rsidRPr="0049551E" w:rsidRDefault="00D70642" w:rsidP="001945C1">
            <w:pPr>
              <w:spacing w:after="0" w:line="240" w:lineRule="auto"/>
              <w:jc w:val="center"/>
              <w:rPr>
                <w:rFonts w:ascii="Times New Roman" w:hAnsi="Times New Roman"/>
                <w:b/>
                <w:sz w:val="20"/>
                <w:szCs w:val="20"/>
                <w:lang w:val="ro-RO"/>
              </w:rPr>
            </w:pPr>
          </w:p>
        </w:tc>
        <w:tc>
          <w:tcPr>
            <w:tcW w:w="1620" w:type="dxa"/>
            <w:vMerge/>
          </w:tcPr>
          <w:p w:rsidR="00D70642" w:rsidRPr="0049551E" w:rsidRDefault="00D70642" w:rsidP="001945C1">
            <w:pPr>
              <w:spacing w:after="0" w:line="240" w:lineRule="auto"/>
              <w:jc w:val="center"/>
              <w:rPr>
                <w:rFonts w:ascii="Times New Roman" w:hAnsi="Times New Roman"/>
                <w:b/>
                <w:sz w:val="20"/>
                <w:szCs w:val="20"/>
                <w:lang w:val="ro-RO"/>
              </w:rPr>
            </w:pPr>
          </w:p>
        </w:tc>
        <w:tc>
          <w:tcPr>
            <w:tcW w:w="10500" w:type="dxa"/>
          </w:tcPr>
          <w:p w:rsidR="00D70642" w:rsidRPr="0049551E" w:rsidRDefault="00D70642" w:rsidP="001945C1">
            <w:pPr>
              <w:pStyle w:val="NoSpacing"/>
              <w:jc w:val="both"/>
              <w:rPr>
                <w:rFonts w:ascii="Times New Roman" w:hAnsi="Times New Roman"/>
                <w:sz w:val="20"/>
                <w:szCs w:val="20"/>
                <w:lang w:val="ro-RO"/>
              </w:rPr>
            </w:pPr>
            <w:r w:rsidRPr="0049551E">
              <w:rPr>
                <w:rFonts w:ascii="Times New Roman" w:hAnsi="Times New Roman"/>
                <w:sz w:val="20"/>
                <w:szCs w:val="20"/>
                <w:lang w:val="ro-RO"/>
              </w:rPr>
              <w:t>La Anexa 2, punctul 2. Verificarea va fi efectuată cu mijloace de măsurare legale, adecvate efectuării operațiunilor necesare."în contextul celor expuse mai sus propunem formularea:</w:t>
            </w:r>
          </w:p>
          <w:p w:rsidR="00D70642" w:rsidRPr="0049551E" w:rsidRDefault="00D70642" w:rsidP="001945C1">
            <w:pPr>
              <w:pStyle w:val="NoSpacing"/>
              <w:jc w:val="both"/>
              <w:rPr>
                <w:rFonts w:ascii="Times New Roman" w:hAnsi="Times New Roman"/>
                <w:sz w:val="20"/>
                <w:szCs w:val="20"/>
                <w:lang w:val="ro-RO"/>
              </w:rPr>
            </w:pPr>
            <w:r w:rsidRPr="0049551E">
              <w:rPr>
                <w:rFonts w:ascii="Times New Roman" w:hAnsi="Times New Roman"/>
                <w:sz w:val="20"/>
                <w:szCs w:val="20"/>
                <w:lang w:val="ro-RO"/>
              </w:rPr>
              <w:t>Verificarea va fi efectuata cu mijloace de măsurare etalonate</w:t>
            </w:r>
            <w:r w:rsidRPr="0049551E">
              <w:rPr>
                <w:rStyle w:val="229pt"/>
                <w:iCs/>
                <w:sz w:val="20"/>
                <w:szCs w:val="20"/>
                <w:lang w:val="ro-RO"/>
              </w:rPr>
              <w:t>,</w:t>
            </w:r>
            <w:r w:rsidRPr="0049551E">
              <w:rPr>
                <w:rFonts w:ascii="Times New Roman" w:hAnsi="Times New Roman"/>
                <w:sz w:val="20"/>
                <w:szCs w:val="20"/>
                <w:lang w:val="ro-RO"/>
              </w:rPr>
              <w:t xml:space="preserve"> adecvate efectuării operațiunilor necesare,"Incertitudinea de măsurare a capacităţii nu trebuie să depăşească o cincime din eroarea tolerată corespunzătoare capacităţii nominale a sticlei, "</w:t>
            </w:r>
            <w:r w:rsidRPr="0049551E">
              <w:rPr>
                <w:rStyle w:val="211"/>
                <w:iCs/>
                <w:sz w:val="20"/>
                <w:szCs w:val="20"/>
                <w:lang w:val="ro-RO"/>
              </w:rPr>
              <w:t>Aici este necesar de exclus ori noţiune de</w:t>
            </w:r>
            <w:r w:rsidRPr="0049551E">
              <w:rPr>
                <w:rFonts w:ascii="Times New Roman" w:hAnsi="Times New Roman"/>
                <w:sz w:val="20"/>
                <w:szCs w:val="20"/>
                <w:lang w:val="ro-RO"/>
              </w:rPr>
              <w:t xml:space="preserve"> incertitudine</w:t>
            </w:r>
            <w:r w:rsidRPr="0049551E">
              <w:rPr>
                <w:rStyle w:val="211"/>
                <w:iCs/>
                <w:sz w:val="20"/>
                <w:szCs w:val="20"/>
                <w:lang w:val="ro-RO"/>
              </w:rPr>
              <w:t>" ori noţiunea de</w:t>
            </w:r>
            <w:r w:rsidRPr="0049551E">
              <w:rPr>
                <w:rFonts w:ascii="Times New Roman" w:hAnsi="Times New Roman"/>
                <w:sz w:val="20"/>
                <w:szCs w:val="20"/>
                <w:lang w:val="ro-RO"/>
              </w:rPr>
              <w:t xml:space="preserve"> „eroare", </w:t>
            </w:r>
            <w:r w:rsidRPr="0049551E">
              <w:rPr>
                <w:rStyle w:val="211"/>
                <w:iCs/>
                <w:sz w:val="20"/>
                <w:szCs w:val="20"/>
                <w:lang w:val="ro-RO"/>
              </w:rPr>
              <w:t>(în versiune română a Directivei 75/107/CEE este trecut:</w:t>
            </w:r>
            <w:r w:rsidRPr="0049551E">
              <w:rPr>
                <w:rStyle w:val="2111"/>
                <w:bCs/>
                <w:sz w:val="20"/>
                <w:szCs w:val="20"/>
                <w:lang w:val="ro-RO"/>
              </w:rPr>
              <w:t xml:space="preserve"> Erorile</w:t>
            </w:r>
            <w:r w:rsidRPr="0049551E">
              <w:rPr>
                <w:rFonts w:ascii="Times New Roman" w:hAnsi="Times New Roman"/>
                <w:sz w:val="20"/>
                <w:szCs w:val="20"/>
                <w:lang w:val="ro-RO"/>
              </w:rPr>
              <w:t xml:space="preserve"> în măsurarea capacităţii nu trebuie să fie mai mari de o cincime din</w:t>
            </w:r>
            <w:r w:rsidRPr="0049551E">
              <w:rPr>
                <w:rStyle w:val="2111"/>
                <w:bCs/>
                <w:sz w:val="20"/>
                <w:szCs w:val="20"/>
                <w:lang w:val="ro-RO"/>
              </w:rPr>
              <w:t xml:space="preserve"> eroarea</w:t>
            </w:r>
            <w:r w:rsidRPr="0049551E">
              <w:rPr>
                <w:rFonts w:ascii="Times New Roman" w:hAnsi="Times New Roman"/>
                <w:sz w:val="20"/>
                <w:szCs w:val="20"/>
                <w:lang w:val="ro-RO"/>
              </w:rPr>
              <w:t xml:space="preserve"> maximă admisă corespunzătoare capacităţii nominale</w:t>
            </w:r>
            <w:r w:rsidRPr="0049551E">
              <w:rPr>
                <w:rStyle w:val="2111"/>
                <w:bCs/>
                <w:sz w:val="20"/>
                <w:szCs w:val="20"/>
                <w:lang w:val="ro-RO"/>
              </w:rPr>
              <w:t xml:space="preserve"> a</w:t>
            </w:r>
            <w:r w:rsidRPr="0049551E">
              <w:rPr>
                <w:rFonts w:ascii="Times New Roman" w:hAnsi="Times New Roman"/>
                <w:sz w:val="20"/>
                <w:szCs w:val="20"/>
                <w:lang w:val="ro-RO"/>
              </w:rPr>
              <w:t xml:space="preserve"> sticlei utilizate ca recipient de măsurare.)</w:t>
            </w:r>
          </w:p>
        </w:tc>
        <w:tc>
          <w:tcPr>
            <w:tcW w:w="3432" w:type="dxa"/>
          </w:tcPr>
          <w:p w:rsidR="00D70642" w:rsidRPr="0049551E" w:rsidRDefault="00D70642" w:rsidP="00212E50">
            <w:pPr>
              <w:spacing w:line="240" w:lineRule="auto"/>
              <w:rPr>
                <w:rFonts w:ascii="Times New Roman" w:hAnsi="Times New Roman"/>
                <w:sz w:val="20"/>
                <w:szCs w:val="20"/>
              </w:rPr>
            </w:pPr>
            <w:r w:rsidRPr="0049551E">
              <w:rPr>
                <w:rFonts w:ascii="Times New Roman" w:hAnsi="Times New Roman"/>
                <w:b/>
                <w:sz w:val="20"/>
                <w:szCs w:val="20"/>
                <w:lang w:val="en-US"/>
              </w:rPr>
              <w:t>Se acceptă</w:t>
            </w:r>
            <w:r w:rsidRPr="0049551E">
              <w:rPr>
                <w:rFonts w:ascii="Times New Roman" w:hAnsi="Times New Roman"/>
                <w:sz w:val="20"/>
                <w:szCs w:val="20"/>
              </w:rPr>
              <w:t>.</w:t>
            </w:r>
          </w:p>
          <w:p w:rsidR="00D70642" w:rsidRPr="0049551E" w:rsidRDefault="00D70642" w:rsidP="00CD646A">
            <w:pPr>
              <w:pStyle w:val="NoSpacing"/>
              <w:jc w:val="both"/>
              <w:rPr>
                <w:rFonts w:ascii="Times New Roman" w:hAnsi="Times New Roman"/>
                <w:sz w:val="20"/>
                <w:szCs w:val="20"/>
                <w:lang w:val="ro-RO"/>
              </w:rPr>
            </w:pPr>
          </w:p>
        </w:tc>
      </w:tr>
      <w:tr w:rsidR="00D70642" w:rsidRPr="0049551E" w:rsidTr="008C3D3F">
        <w:tc>
          <w:tcPr>
            <w:tcW w:w="720" w:type="dxa"/>
          </w:tcPr>
          <w:p w:rsidR="00D70642" w:rsidRPr="0049551E" w:rsidRDefault="00D70642" w:rsidP="001945C1">
            <w:pPr>
              <w:spacing w:after="0" w:line="240" w:lineRule="auto"/>
              <w:jc w:val="center"/>
              <w:rPr>
                <w:rFonts w:ascii="Times New Roman" w:hAnsi="Times New Roman"/>
                <w:b/>
                <w:sz w:val="20"/>
                <w:szCs w:val="20"/>
                <w:lang w:val="ro-RO"/>
              </w:rPr>
            </w:pPr>
            <w:r w:rsidRPr="0049551E">
              <w:rPr>
                <w:rFonts w:ascii="Times New Roman" w:hAnsi="Times New Roman"/>
                <w:b/>
                <w:sz w:val="20"/>
                <w:szCs w:val="20"/>
                <w:lang w:val="ro-RO"/>
              </w:rPr>
              <w:t>12</w:t>
            </w:r>
          </w:p>
        </w:tc>
        <w:tc>
          <w:tcPr>
            <w:tcW w:w="1620" w:type="dxa"/>
          </w:tcPr>
          <w:p w:rsidR="00D70642" w:rsidRPr="0049551E" w:rsidRDefault="00D70642" w:rsidP="001945C1">
            <w:pPr>
              <w:pStyle w:val="NoSpacing"/>
              <w:jc w:val="center"/>
              <w:rPr>
                <w:rFonts w:ascii="Times New Roman" w:hAnsi="Times New Roman"/>
                <w:b/>
                <w:sz w:val="20"/>
                <w:szCs w:val="20"/>
                <w:lang w:val="ro-RO"/>
              </w:rPr>
            </w:pPr>
            <w:r w:rsidRPr="0049551E">
              <w:rPr>
                <w:rFonts w:ascii="Times New Roman" w:hAnsi="Times New Roman"/>
                <w:b/>
                <w:sz w:val="20"/>
                <w:szCs w:val="20"/>
                <w:lang w:val="ro-RO"/>
              </w:rPr>
              <w:t>Centrul de Standardizare şi Metrologie Ceadîr - Lunga</w:t>
            </w:r>
          </w:p>
        </w:tc>
        <w:tc>
          <w:tcPr>
            <w:tcW w:w="10500" w:type="dxa"/>
          </w:tcPr>
          <w:p w:rsidR="00D70642" w:rsidRPr="0049551E" w:rsidRDefault="00D70642" w:rsidP="001945C1">
            <w:pPr>
              <w:spacing w:after="0" w:line="240" w:lineRule="auto"/>
              <w:rPr>
                <w:rFonts w:ascii="Times New Roman" w:hAnsi="Times New Roman"/>
                <w:sz w:val="20"/>
                <w:szCs w:val="20"/>
                <w:lang w:val="ro-RO"/>
              </w:rPr>
            </w:pPr>
            <w:r w:rsidRPr="0049551E">
              <w:rPr>
                <w:rFonts w:ascii="Times New Roman" w:hAnsi="Times New Roman"/>
                <w:b/>
                <w:sz w:val="20"/>
                <w:szCs w:val="20"/>
                <w:lang w:val="ro-RO"/>
              </w:rPr>
              <w:t>Lipsă de obiecţii şi propuneri.</w:t>
            </w:r>
          </w:p>
        </w:tc>
        <w:tc>
          <w:tcPr>
            <w:tcW w:w="3432" w:type="dxa"/>
          </w:tcPr>
          <w:p w:rsidR="00D70642" w:rsidRPr="0049551E" w:rsidRDefault="00D70642" w:rsidP="001945C1">
            <w:pPr>
              <w:spacing w:after="0" w:line="240" w:lineRule="auto"/>
              <w:jc w:val="both"/>
              <w:rPr>
                <w:rFonts w:ascii="Times New Roman" w:hAnsi="Times New Roman"/>
                <w:sz w:val="20"/>
                <w:szCs w:val="20"/>
                <w:lang w:val="ro-RO"/>
              </w:rPr>
            </w:pPr>
          </w:p>
        </w:tc>
      </w:tr>
      <w:tr w:rsidR="00D70642" w:rsidRPr="0049551E" w:rsidTr="008C3D3F">
        <w:tc>
          <w:tcPr>
            <w:tcW w:w="720" w:type="dxa"/>
          </w:tcPr>
          <w:p w:rsidR="00D70642" w:rsidRPr="0049551E" w:rsidRDefault="00D70642" w:rsidP="001945C1">
            <w:pPr>
              <w:spacing w:after="0" w:line="240" w:lineRule="auto"/>
              <w:jc w:val="center"/>
              <w:rPr>
                <w:rFonts w:ascii="Times New Roman" w:hAnsi="Times New Roman"/>
                <w:b/>
                <w:sz w:val="20"/>
                <w:szCs w:val="20"/>
                <w:lang w:val="ro-RO"/>
              </w:rPr>
            </w:pPr>
            <w:r w:rsidRPr="0049551E">
              <w:rPr>
                <w:rFonts w:ascii="Times New Roman" w:hAnsi="Times New Roman"/>
                <w:b/>
                <w:sz w:val="20"/>
                <w:szCs w:val="20"/>
                <w:lang w:val="ro-RO"/>
              </w:rPr>
              <w:t>13</w:t>
            </w:r>
          </w:p>
        </w:tc>
        <w:tc>
          <w:tcPr>
            <w:tcW w:w="1620" w:type="dxa"/>
          </w:tcPr>
          <w:p w:rsidR="00D70642" w:rsidRPr="0049551E" w:rsidRDefault="00D70642" w:rsidP="001945C1">
            <w:pPr>
              <w:pStyle w:val="NoSpacing"/>
              <w:jc w:val="center"/>
              <w:rPr>
                <w:rFonts w:ascii="Times New Roman" w:hAnsi="Times New Roman"/>
                <w:b/>
                <w:sz w:val="20"/>
                <w:szCs w:val="20"/>
                <w:lang w:val="ro-RO"/>
              </w:rPr>
            </w:pPr>
            <w:r w:rsidRPr="0049551E">
              <w:rPr>
                <w:rFonts w:ascii="Times New Roman" w:hAnsi="Times New Roman"/>
                <w:b/>
                <w:sz w:val="20"/>
                <w:szCs w:val="20"/>
                <w:lang w:val="ro-RO"/>
              </w:rPr>
              <w:t>Centrul de Standardizare şi Metrologie Bălţi</w:t>
            </w:r>
          </w:p>
        </w:tc>
        <w:tc>
          <w:tcPr>
            <w:tcW w:w="10500" w:type="dxa"/>
          </w:tcPr>
          <w:p w:rsidR="00D70642" w:rsidRPr="0049551E" w:rsidRDefault="00D70642" w:rsidP="001945C1">
            <w:pPr>
              <w:spacing w:after="0" w:line="240" w:lineRule="auto"/>
              <w:rPr>
                <w:rFonts w:ascii="Times New Roman" w:hAnsi="Times New Roman"/>
                <w:sz w:val="20"/>
                <w:szCs w:val="20"/>
                <w:lang w:val="ro-RO"/>
              </w:rPr>
            </w:pPr>
            <w:r w:rsidRPr="0049551E">
              <w:rPr>
                <w:rFonts w:ascii="Times New Roman" w:hAnsi="Times New Roman"/>
                <w:b/>
                <w:sz w:val="20"/>
                <w:szCs w:val="20"/>
                <w:lang w:val="ro-RO"/>
              </w:rPr>
              <w:t>Lipsă de obiecţii şi propuneri.</w:t>
            </w:r>
          </w:p>
        </w:tc>
        <w:tc>
          <w:tcPr>
            <w:tcW w:w="3432" w:type="dxa"/>
          </w:tcPr>
          <w:p w:rsidR="00D70642" w:rsidRPr="0049551E" w:rsidRDefault="00D70642" w:rsidP="001945C1">
            <w:pPr>
              <w:spacing w:after="0" w:line="240" w:lineRule="auto"/>
              <w:jc w:val="both"/>
              <w:rPr>
                <w:rFonts w:ascii="Times New Roman" w:hAnsi="Times New Roman"/>
                <w:sz w:val="20"/>
                <w:szCs w:val="20"/>
                <w:lang w:val="ro-RO"/>
              </w:rPr>
            </w:pPr>
          </w:p>
        </w:tc>
      </w:tr>
      <w:tr w:rsidR="00D70642" w:rsidRPr="0049551E" w:rsidTr="008C3D3F">
        <w:trPr>
          <w:trHeight w:val="909"/>
        </w:trPr>
        <w:tc>
          <w:tcPr>
            <w:tcW w:w="720" w:type="dxa"/>
          </w:tcPr>
          <w:p w:rsidR="00D70642" w:rsidRPr="0049551E" w:rsidRDefault="00D70642" w:rsidP="001945C1">
            <w:pPr>
              <w:spacing w:after="0" w:line="240" w:lineRule="auto"/>
              <w:jc w:val="center"/>
              <w:rPr>
                <w:rFonts w:ascii="Times New Roman" w:hAnsi="Times New Roman"/>
                <w:b/>
                <w:sz w:val="20"/>
                <w:szCs w:val="20"/>
                <w:lang w:val="ro-RO"/>
              </w:rPr>
            </w:pPr>
            <w:r w:rsidRPr="0049551E">
              <w:rPr>
                <w:rFonts w:ascii="Times New Roman" w:hAnsi="Times New Roman"/>
                <w:b/>
                <w:sz w:val="20"/>
                <w:szCs w:val="20"/>
                <w:lang w:val="ro-RO"/>
              </w:rPr>
              <w:t>14</w:t>
            </w:r>
          </w:p>
        </w:tc>
        <w:tc>
          <w:tcPr>
            <w:tcW w:w="1620" w:type="dxa"/>
          </w:tcPr>
          <w:p w:rsidR="00D70642" w:rsidRPr="0049551E" w:rsidRDefault="00D70642" w:rsidP="001945C1">
            <w:pPr>
              <w:pStyle w:val="NoSpacing"/>
              <w:jc w:val="center"/>
              <w:rPr>
                <w:rFonts w:ascii="Times New Roman" w:hAnsi="Times New Roman"/>
                <w:b/>
                <w:sz w:val="20"/>
                <w:szCs w:val="20"/>
                <w:lang w:val="ro-RO"/>
              </w:rPr>
            </w:pPr>
            <w:r w:rsidRPr="0049551E">
              <w:rPr>
                <w:rFonts w:ascii="Times New Roman" w:hAnsi="Times New Roman"/>
                <w:b/>
                <w:sz w:val="20"/>
                <w:szCs w:val="20"/>
                <w:lang w:val="ro-RO"/>
              </w:rPr>
              <w:t>Centrul de Armonizare a Legislaţiei</w:t>
            </w:r>
          </w:p>
        </w:tc>
        <w:tc>
          <w:tcPr>
            <w:tcW w:w="10500" w:type="dxa"/>
          </w:tcPr>
          <w:p w:rsidR="00D70642" w:rsidRPr="0049551E" w:rsidRDefault="00D70642" w:rsidP="0015770D">
            <w:pPr>
              <w:jc w:val="both"/>
              <w:rPr>
                <w:rFonts w:ascii="Times New Roman" w:hAnsi="Times New Roman"/>
                <w:b/>
                <w:sz w:val="20"/>
                <w:szCs w:val="20"/>
                <w:lang w:val="ro-RO"/>
              </w:rPr>
            </w:pPr>
            <w:r w:rsidRPr="0049551E">
              <w:rPr>
                <w:rFonts w:ascii="Times New Roman" w:hAnsi="Times New Roman"/>
                <w:sz w:val="20"/>
                <w:szCs w:val="20"/>
                <w:lang w:val="ro-RO"/>
              </w:rPr>
              <w:t>Cu referire la Tabelul de concordanţă al proiectului naţional, remarcăm faptul că la rubrica 3 se necesită indicarea calificativului „compatibil", îţi loc de „parţial compatibil", iar la art. 4 din Directiva 75/107/CEE, calificativul „ transpunere parţială", urmează a fi înlocuit cu „prevederi UE neaplicabile".</w:t>
            </w:r>
          </w:p>
        </w:tc>
        <w:tc>
          <w:tcPr>
            <w:tcW w:w="3432" w:type="dxa"/>
          </w:tcPr>
          <w:p w:rsidR="00D70642" w:rsidRPr="0049551E" w:rsidRDefault="00D70642" w:rsidP="001945C1">
            <w:pPr>
              <w:spacing w:after="0" w:line="240" w:lineRule="auto"/>
              <w:jc w:val="both"/>
              <w:rPr>
                <w:rFonts w:ascii="Times New Roman" w:hAnsi="Times New Roman"/>
                <w:sz w:val="20"/>
                <w:szCs w:val="20"/>
                <w:lang w:val="ro-RO"/>
              </w:rPr>
            </w:pPr>
            <w:r w:rsidRPr="0049551E">
              <w:rPr>
                <w:rFonts w:ascii="Times New Roman" w:hAnsi="Times New Roman"/>
                <w:b/>
                <w:sz w:val="20"/>
                <w:szCs w:val="20"/>
                <w:lang w:val="ro-RO"/>
              </w:rPr>
              <w:t>Se acceptă.</w:t>
            </w:r>
          </w:p>
        </w:tc>
      </w:tr>
      <w:tr w:rsidR="00D70642" w:rsidRPr="0049551E" w:rsidTr="008C3D3F">
        <w:trPr>
          <w:trHeight w:val="909"/>
        </w:trPr>
        <w:tc>
          <w:tcPr>
            <w:tcW w:w="720" w:type="dxa"/>
          </w:tcPr>
          <w:p w:rsidR="00D70642" w:rsidRPr="0049551E" w:rsidRDefault="00D70642" w:rsidP="001945C1">
            <w:pPr>
              <w:spacing w:after="0" w:line="240" w:lineRule="auto"/>
              <w:jc w:val="center"/>
              <w:rPr>
                <w:rFonts w:ascii="Times New Roman" w:hAnsi="Times New Roman"/>
                <w:b/>
                <w:sz w:val="20"/>
                <w:szCs w:val="20"/>
                <w:lang w:val="ro-RO"/>
              </w:rPr>
            </w:pPr>
            <w:r w:rsidRPr="0049551E">
              <w:rPr>
                <w:rFonts w:ascii="Times New Roman" w:hAnsi="Times New Roman"/>
                <w:b/>
                <w:sz w:val="20"/>
                <w:szCs w:val="20"/>
                <w:lang w:val="ro-RO"/>
              </w:rPr>
              <w:t>15</w:t>
            </w:r>
          </w:p>
        </w:tc>
        <w:tc>
          <w:tcPr>
            <w:tcW w:w="1620" w:type="dxa"/>
          </w:tcPr>
          <w:p w:rsidR="00D70642" w:rsidRPr="0049551E" w:rsidRDefault="00D70642" w:rsidP="001945C1">
            <w:pPr>
              <w:pStyle w:val="NoSpacing"/>
              <w:jc w:val="center"/>
              <w:rPr>
                <w:rFonts w:ascii="Times New Roman" w:hAnsi="Times New Roman"/>
                <w:b/>
                <w:sz w:val="20"/>
                <w:szCs w:val="20"/>
                <w:lang w:val="ro-RO"/>
              </w:rPr>
            </w:pPr>
            <w:r w:rsidRPr="0049551E">
              <w:rPr>
                <w:rFonts w:ascii="Times New Roman" w:hAnsi="Times New Roman"/>
                <w:b/>
                <w:sz w:val="20"/>
                <w:szCs w:val="20"/>
                <w:lang w:val="ro-RO"/>
              </w:rPr>
              <w:t>Centrul Naţional Anticorupţie</w:t>
            </w:r>
          </w:p>
        </w:tc>
        <w:tc>
          <w:tcPr>
            <w:tcW w:w="10500" w:type="dxa"/>
          </w:tcPr>
          <w:p w:rsidR="00D70642" w:rsidRPr="0049551E" w:rsidRDefault="00D70642" w:rsidP="00167107">
            <w:pPr>
              <w:pStyle w:val="1"/>
              <w:shd w:val="clear" w:color="auto" w:fill="auto"/>
              <w:spacing w:before="0" w:line="264" w:lineRule="exact"/>
              <w:ind w:left="40" w:right="80"/>
              <w:rPr>
                <w:b/>
                <w:sz w:val="20"/>
                <w:lang w:val="ro-RO"/>
              </w:rPr>
            </w:pPr>
            <w:r w:rsidRPr="0049551E">
              <w:rPr>
                <w:b/>
                <w:sz w:val="20"/>
                <w:lang w:val="ro-RO"/>
              </w:rPr>
              <w:t>La general:</w:t>
            </w:r>
          </w:p>
          <w:p w:rsidR="00D70642" w:rsidRPr="0049551E" w:rsidRDefault="00D70642" w:rsidP="00E31DB8">
            <w:pPr>
              <w:pStyle w:val="1"/>
              <w:shd w:val="clear" w:color="auto" w:fill="auto"/>
              <w:spacing w:before="0" w:line="264" w:lineRule="exact"/>
              <w:ind w:left="40" w:right="80"/>
              <w:rPr>
                <w:sz w:val="20"/>
                <w:lang w:val="ro-RO"/>
              </w:rPr>
            </w:pPr>
            <w:r w:rsidRPr="0049551E">
              <w:rPr>
                <w:sz w:val="20"/>
                <w:lang w:val="ro-RO"/>
              </w:rPr>
              <w:t>Proiectul este confuz în ceea ce priveşte anexele la proiectul hotărârii de Guvern. Potrivit normei de la pct. 1 din proiectul hotărârii, conform anexei se aprobă Regulamentul de stabilire a cerinţelor către sticlele utilizate ca recipiente de măsurare, însă din motive neclare proiectul hotărârii este însoţită de patru anexe şi nu de una singură, şi anume cea a regulamentului propriu-zis. Astfel, este lipsită de claritate necesitatea structurării conţinutului regulamentului în formă de anexe la proiectul hotărârii de Guvern când, de fapt, anexele 2 şi 3 sunt capitolele II şi III ale regulamentului, după cum „Dispoziţiile generale" sunt capitolul I. Proiectul conţine mai multe contradicţi</w:t>
            </w:r>
            <w:bookmarkStart w:id="0" w:name="_GoBack"/>
            <w:bookmarkEnd w:id="0"/>
            <w:r w:rsidRPr="0049551E">
              <w:rPr>
                <w:sz w:val="20"/>
                <w:lang w:val="ro-RO"/>
              </w:rPr>
              <w:t>i în acest sens, şi anume în preambulul actualei anexe nr. 3 se face trimitere la anexa nr. 2 la regulament, în timp ce toate anexele din proiect sunt ataşate la hotărârea de Guvern.O situaţie similară este în cazul prevederilor de la lit. a) şi b) pct. 3 din aceiaşi anexă, în care, între paranteze, se face trimitere la pct. 8 din anexa nr. I, pe când actuala anexă nr. 1 conţine doar cinci puncte.</w:t>
            </w:r>
          </w:p>
          <w:p w:rsidR="00D70642" w:rsidRPr="0049551E" w:rsidRDefault="00D70642" w:rsidP="00E31DB8">
            <w:pPr>
              <w:pStyle w:val="1"/>
              <w:shd w:val="clear" w:color="auto" w:fill="auto"/>
              <w:spacing w:before="0" w:line="264" w:lineRule="exact"/>
              <w:ind w:left="40" w:right="80"/>
              <w:rPr>
                <w:b/>
                <w:sz w:val="20"/>
                <w:lang w:val="ro-RO"/>
              </w:rPr>
            </w:pPr>
            <w:r w:rsidRPr="0049551E">
              <w:rPr>
                <w:b/>
                <w:sz w:val="20"/>
                <w:lang w:val="ro-RO"/>
              </w:rPr>
              <w:t>La pct. 2 din proiectul HG:</w:t>
            </w:r>
          </w:p>
          <w:p w:rsidR="00D70642" w:rsidRPr="0049551E" w:rsidRDefault="00D70642" w:rsidP="00E31DB8">
            <w:pPr>
              <w:pStyle w:val="1"/>
              <w:shd w:val="clear" w:color="auto" w:fill="auto"/>
              <w:spacing w:before="0" w:line="264" w:lineRule="exact"/>
              <w:ind w:left="40" w:right="80"/>
              <w:rPr>
                <w:sz w:val="20"/>
                <w:lang w:val="ro-RO"/>
              </w:rPr>
            </w:pPr>
            <w:r w:rsidRPr="0049551E">
              <w:rPr>
                <w:sz w:val="20"/>
                <w:lang w:val="ro-RO"/>
              </w:rPr>
              <w:t>Deşi prevederea de la pct. 2 din proiectul hotărârii de Guvern stabileşte că implementarea şi controlul asupra executării prezentei hotărâri se pune în sarcina Ministerului Economiei şi Agenţiei pentru Protecţia Consumatorilor în corespundere cu funcţiile şi atribuţiile acestora, regulamentul nu conţine norme care ar delimita atribuţiile şi funcţiile acestor entităţi în domeniul pe care-l reglementează.Atragem atenţia autorului că în cazul lipsei sau nedelimitării clare a funcţiilor şi atribuţiilor ministerului şi ale agenţiei, dispoziţiile proiectului riscă să rămână pur declarative, iar barierele tehnice în calea comerţului pentru sticlele utilizate ca recipiente de măsurare, menţionate de autor în nota informativă, vor rămâne nedepăşite.Totodată, cumularea atribuţiilor Ministerului Economiei şi ale Agenţiei pentru Protecţia Consumatorilor constituie discreţie excesivă, deoarece norma instituie atribuţii paralele pentru entităţile menţionate şi dublează competenţele funcţionarilor publici din cadrul acestora. Astfel, din formula actuală a pct. 2 din proiectul hotărârii, atât Ministerul Economiei cât şi Agenţia pentru Protecţia Consumatorului vor fi împuternicite să efectueze aceleaşi</w:t>
            </w:r>
          </w:p>
        </w:tc>
        <w:tc>
          <w:tcPr>
            <w:tcW w:w="3432" w:type="dxa"/>
          </w:tcPr>
          <w:p w:rsidR="00D70642" w:rsidRPr="0049551E" w:rsidRDefault="00D70642" w:rsidP="001945C1">
            <w:pPr>
              <w:spacing w:after="0" w:line="240" w:lineRule="auto"/>
              <w:jc w:val="both"/>
              <w:rPr>
                <w:rFonts w:ascii="Times New Roman" w:hAnsi="Times New Roman"/>
                <w:b/>
                <w:sz w:val="20"/>
                <w:szCs w:val="20"/>
                <w:lang w:val="ro-RO"/>
              </w:rPr>
            </w:pPr>
            <w:r w:rsidRPr="0049551E">
              <w:rPr>
                <w:rFonts w:ascii="Times New Roman" w:hAnsi="Times New Roman"/>
                <w:b/>
                <w:sz w:val="20"/>
                <w:szCs w:val="20"/>
                <w:lang w:val="ro-RO"/>
              </w:rPr>
              <w:t>Se acceptă.</w:t>
            </w:r>
          </w:p>
          <w:p w:rsidR="00D70642" w:rsidRPr="0049551E" w:rsidRDefault="00D70642" w:rsidP="001945C1">
            <w:pPr>
              <w:spacing w:after="0" w:line="240" w:lineRule="auto"/>
              <w:jc w:val="both"/>
              <w:rPr>
                <w:rFonts w:ascii="Times New Roman" w:hAnsi="Times New Roman"/>
                <w:b/>
                <w:sz w:val="20"/>
                <w:szCs w:val="20"/>
                <w:lang w:val="ro-RO"/>
              </w:rPr>
            </w:pPr>
          </w:p>
          <w:p w:rsidR="00D70642" w:rsidRPr="0049551E" w:rsidRDefault="00D70642" w:rsidP="001945C1">
            <w:pPr>
              <w:spacing w:after="0" w:line="240" w:lineRule="auto"/>
              <w:jc w:val="both"/>
              <w:rPr>
                <w:rFonts w:ascii="Times New Roman" w:hAnsi="Times New Roman"/>
                <w:b/>
                <w:sz w:val="20"/>
                <w:szCs w:val="20"/>
                <w:lang w:val="ro-RO"/>
              </w:rPr>
            </w:pPr>
          </w:p>
          <w:p w:rsidR="00D70642" w:rsidRPr="0049551E" w:rsidRDefault="00D70642" w:rsidP="001945C1">
            <w:pPr>
              <w:spacing w:after="0" w:line="240" w:lineRule="auto"/>
              <w:jc w:val="both"/>
              <w:rPr>
                <w:rFonts w:ascii="Times New Roman" w:hAnsi="Times New Roman"/>
                <w:b/>
                <w:sz w:val="20"/>
                <w:szCs w:val="20"/>
                <w:lang w:val="ro-RO"/>
              </w:rPr>
            </w:pPr>
          </w:p>
          <w:p w:rsidR="00D70642" w:rsidRPr="0049551E" w:rsidRDefault="00D70642" w:rsidP="001945C1">
            <w:pPr>
              <w:spacing w:after="0" w:line="240" w:lineRule="auto"/>
              <w:jc w:val="both"/>
              <w:rPr>
                <w:rFonts w:ascii="Times New Roman" w:hAnsi="Times New Roman"/>
                <w:b/>
                <w:sz w:val="20"/>
                <w:szCs w:val="20"/>
                <w:lang w:val="ro-RO"/>
              </w:rPr>
            </w:pPr>
          </w:p>
          <w:p w:rsidR="00D70642" w:rsidRPr="0049551E" w:rsidRDefault="00D70642" w:rsidP="001945C1">
            <w:pPr>
              <w:spacing w:after="0" w:line="240" w:lineRule="auto"/>
              <w:jc w:val="both"/>
              <w:rPr>
                <w:rFonts w:ascii="Times New Roman" w:hAnsi="Times New Roman"/>
                <w:b/>
                <w:sz w:val="20"/>
                <w:szCs w:val="20"/>
                <w:lang w:val="ro-RO"/>
              </w:rPr>
            </w:pPr>
          </w:p>
          <w:p w:rsidR="00D70642" w:rsidRPr="0049551E" w:rsidRDefault="00D70642" w:rsidP="001945C1">
            <w:pPr>
              <w:spacing w:after="0" w:line="240" w:lineRule="auto"/>
              <w:jc w:val="both"/>
              <w:rPr>
                <w:rFonts w:ascii="Times New Roman" w:hAnsi="Times New Roman"/>
                <w:b/>
                <w:sz w:val="20"/>
                <w:szCs w:val="20"/>
                <w:lang w:val="ro-RO"/>
              </w:rPr>
            </w:pPr>
          </w:p>
          <w:p w:rsidR="00D70642" w:rsidRPr="0049551E" w:rsidRDefault="00D70642" w:rsidP="001945C1">
            <w:pPr>
              <w:spacing w:after="0" w:line="240" w:lineRule="auto"/>
              <w:jc w:val="both"/>
              <w:rPr>
                <w:rFonts w:ascii="Times New Roman" w:hAnsi="Times New Roman"/>
                <w:b/>
                <w:sz w:val="20"/>
                <w:szCs w:val="20"/>
                <w:lang w:val="ro-RO"/>
              </w:rPr>
            </w:pPr>
          </w:p>
          <w:p w:rsidR="00D70642" w:rsidRPr="0049551E" w:rsidRDefault="00D70642" w:rsidP="001945C1">
            <w:pPr>
              <w:spacing w:after="0" w:line="240" w:lineRule="auto"/>
              <w:jc w:val="both"/>
              <w:rPr>
                <w:rFonts w:ascii="Times New Roman" w:hAnsi="Times New Roman"/>
                <w:b/>
                <w:sz w:val="20"/>
                <w:szCs w:val="20"/>
                <w:lang w:val="ro-RO"/>
              </w:rPr>
            </w:pPr>
          </w:p>
          <w:p w:rsidR="00D70642" w:rsidRPr="0049551E" w:rsidRDefault="00D70642" w:rsidP="001945C1">
            <w:pPr>
              <w:spacing w:after="0" w:line="240" w:lineRule="auto"/>
              <w:jc w:val="both"/>
              <w:rPr>
                <w:rFonts w:ascii="Times New Roman" w:hAnsi="Times New Roman"/>
                <w:b/>
                <w:sz w:val="20"/>
                <w:szCs w:val="20"/>
                <w:lang w:val="ro-RO"/>
              </w:rPr>
            </w:pPr>
          </w:p>
          <w:p w:rsidR="00D70642" w:rsidRPr="0049551E" w:rsidRDefault="00D70642" w:rsidP="001945C1">
            <w:pPr>
              <w:spacing w:after="0" w:line="240" w:lineRule="auto"/>
              <w:jc w:val="both"/>
              <w:rPr>
                <w:rFonts w:ascii="Times New Roman" w:hAnsi="Times New Roman"/>
                <w:b/>
                <w:sz w:val="20"/>
                <w:szCs w:val="20"/>
                <w:lang w:val="ro-RO"/>
              </w:rPr>
            </w:pPr>
          </w:p>
          <w:p w:rsidR="00D70642" w:rsidRPr="0049551E" w:rsidRDefault="00D70642" w:rsidP="001945C1">
            <w:pPr>
              <w:spacing w:after="0" w:line="240" w:lineRule="auto"/>
              <w:jc w:val="both"/>
              <w:rPr>
                <w:rFonts w:ascii="Times New Roman" w:hAnsi="Times New Roman"/>
                <w:b/>
                <w:sz w:val="20"/>
                <w:szCs w:val="20"/>
                <w:lang w:val="ro-RO"/>
              </w:rPr>
            </w:pPr>
          </w:p>
          <w:p w:rsidR="00D70642" w:rsidRPr="0049551E" w:rsidRDefault="00D70642" w:rsidP="001945C1">
            <w:pPr>
              <w:spacing w:after="0" w:line="240" w:lineRule="auto"/>
              <w:jc w:val="both"/>
              <w:rPr>
                <w:rFonts w:ascii="Times New Roman" w:hAnsi="Times New Roman"/>
                <w:b/>
                <w:sz w:val="20"/>
                <w:szCs w:val="20"/>
                <w:lang w:val="ro-RO"/>
              </w:rPr>
            </w:pPr>
            <w:r w:rsidRPr="0049551E">
              <w:rPr>
                <w:rFonts w:ascii="Times New Roman" w:hAnsi="Times New Roman"/>
                <w:b/>
                <w:sz w:val="20"/>
                <w:szCs w:val="20"/>
                <w:lang w:val="ro-RO"/>
              </w:rPr>
              <w:t>Se acceptă.</w:t>
            </w:r>
          </w:p>
        </w:tc>
      </w:tr>
      <w:tr w:rsidR="00D70642" w:rsidRPr="0049551E" w:rsidTr="008C3D3F">
        <w:trPr>
          <w:trHeight w:val="909"/>
        </w:trPr>
        <w:tc>
          <w:tcPr>
            <w:tcW w:w="720" w:type="dxa"/>
          </w:tcPr>
          <w:p w:rsidR="00D70642" w:rsidRPr="0049551E" w:rsidRDefault="00D70642" w:rsidP="001945C1">
            <w:pPr>
              <w:spacing w:after="0" w:line="240" w:lineRule="auto"/>
              <w:jc w:val="center"/>
              <w:rPr>
                <w:rFonts w:ascii="Times New Roman" w:hAnsi="Times New Roman"/>
                <w:b/>
                <w:sz w:val="20"/>
                <w:szCs w:val="20"/>
                <w:lang w:val="ro-RO"/>
              </w:rPr>
            </w:pPr>
            <w:r w:rsidRPr="0049551E">
              <w:rPr>
                <w:rFonts w:ascii="Times New Roman" w:hAnsi="Times New Roman"/>
                <w:b/>
                <w:sz w:val="20"/>
                <w:szCs w:val="20"/>
                <w:lang w:val="ro-RO"/>
              </w:rPr>
              <w:t>16</w:t>
            </w:r>
          </w:p>
        </w:tc>
        <w:tc>
          <w:tcPr>
            <w:tcW w:w="1620" w:type="dxa"/>
          </w:tcPr>
          <w:p w:rsidR="00D70642" w:rsidRPr="0049551E" w:rsidRDefault="00D70642" w:rsidP="001945C1">
            <w:pPr>
              <w:pStyle w:val="NoSpacing"/>
              <w:jc w:val="center"/>
              <w:rPr>
                <w:rFonts w:ascii="Times New Roman" w:hAnsi="Times New Roman"/>
                <w:b/>
                <w:sz w:val="20"/>
                <w:szCs w:val="20"/>
                <w:lang w:val="ro-RO"/>
              </w:rPr>
            </w:pPr>
            <w:r w:rsidRPr="0049551E">
              <w:rPr>
                <w:rFonts w:ascii="Times New Roman" w:hAnsi="Times New Roman"/>
                <w:b/>
                <w:sz w:val="20"/>
                <w:szCs w:val="20"/>
                <w:lang w:val="ro-RO"/>
              </w:rPr>
              <w:t>Ministerul Justiţiei</w:t>
            </w:r>
          </w:p>
        </w:tc>
        <w:tc>
          <w:tcPr>
            <w:tcW w:w="10500" w:type="dxa"/>
          </w:tcPr>
          <w:p w:rsidR="00D70642" w:rsidRPr="0049551E" w:rsidRDefault="00D70642" w:rsidP="00971A59">
            <w:pPr>
              <w:rPr>
                <w:rFonts w:ascii="Times New Roman" w:hAnsi="Times New Roman"/>
                <w:sz w:val="20"/>
                <w:szCs w:val="20"/>
                <w:lang w:val="en-US"/>
              </w:rPr>
            </w:pPr>
            <w:r w:rsidRPr="0049551E">
              <w:rPr>
                <w:rFonts w:ascii="Times New Roman" w:hAnsi="Times New Roman"/>
                <w:sz w:val="20"/>
                <w:szCs w:val="20"/>
                <w:lang w:val="en-US"/>
              </w:rPr>
              <w:t>I. La proiectul Hotărîrii:</w:t>
            </w:r>
          </w:p>
          <w:p w:rsidR="00D70642" w:rsidRPr="0049551E" w:rsidRDefault="00D70642" w:rsidP="0034286F">
            <w:pPr>
              <w:spacing w:after="0"/>
              <w:jc w:val="both"/>
              <w:rPr>
                <w:rFonts w:ascii="Times New Roman" w:hAnsi="Times New Roman"/>
                <w:sz w:val="20"/>
                <w:szCs w:val="20"/>
                <w:lang w:val="en-US"/>
              </w:rPr>
            </w:pPr>
            <w:r w:rsidRPr="0049551E">
              <w:rPr>
                <w:rFonts w:ascii="Times New Roman" w:hAnsi="Times New Roman"/>
                <w:sz w:val="20"/>
                <w:szCs w:val="20"/>
                <w:lang w:val="en-US"/>
              </w:rPr>
              <w:t>În conformitate cu art. 102 din Constituţia Republicii Moldova, art. 30 al Legii nr. 64-XII din 31 mai 1990 cu privire la Guvern, art. 11 al Legii nr. 317-XV din 18 iulie 2003 privind actele normative ale Guvernului şi ale altor autorităţi ale administraţiei publice centrale şi locale, hotărîrele Guvernului se adoptă pentru exercitarea atribuţiilor constituţionale şi celor ce decurg din Legea cu privire la Guvern, precum şi pentru organizarea executării legilor.</w:t>
            </w:r>
          </w:p>
          <w:p w:rsidR="00D70642" w:rsidRPr="0049551E" w:rsidRDefault="00D70642" w:rsidP="0034286F">
            <w:pPr>
              <w:spacing w:after="0"/>
              <w:jc w:val="both"/>
              <w:rPr>
                <w:rFonts w:ascii="Times New Roman" w:hAnsi="Times New Roman"/>
                <w:sz w:val="20"/>
                <w:szCs w:val="20"/>
                <w:lang w:val="en-US"/>
              </w:rPr>
            </w:pPr>
            <w:r w:rsidRPr="0049551E">
              <w:rPr>
                <w:rFonts w:ascii="Times New Roman" w:hAnsi="Times New Roman"/>
                <w:sz w:val="20"/>
                <w:szCs w:val="20"/>
                <w:lang w:val="en-US"/>
              </w:rPr>
              <w:t>În aceeaşi ordine de idei, art. 49 şi 52 ale Legii nr. 317-XV din 18 iulie 2003. stabilesc, că una din părţile constitutive ale actului normativ este clauza de emitere, care stabileşte temeiul legal de emitere a actului normativ.</w:t>
            </w:r>
          </w:p>
          <w:p w:rsidR="00D70642" w:rsidRPr="0049551E" w:rsidRDefault="00D70642" w:rsidP="0034286F">
            <w:pPr>
              <w:spacing w:after="0"/>
              <w:jc w:val="both"/>
              <w:rPr>
                <w:rFonts w:ascii="Times New Roman" w:hAnsi="Times New Roman"/>
                <w:sz w:val="20"/>
                <w:szCs w:val="20"/>
                <w:lang w:val="en-US"/>
              </w:rPr>
            </w:pPr>
            <w:r w:rsidRPr="0049551E">
              <w:rPr>
                <w:rFonts w:ascii="Times New Roman" w:hAnsi="Times New Roman"/>
                <w:sz w:val="20"/>
                <w:szCs w:val="20"/>
                <w:lang w:val="en-US"/>
              </w:rPr>
              <w:t>Respectiv, ţinem să remarcăm, că art. 14 din Legea metrologiei nr. 647-XVI din 17 noiembrie 1995, nu prevede aprobarea de către Guvern a Regulamentului respectiv.</w:t>
            </w:r>
          </w:p>
          <w:p w:rsidR="00D70642" w:rsidRPr="0049551E" w:rsidRDefault="00D70642" w:rsidP="0034286F">
            <w:pPr>
              <w:jc w:val="both"/>
              <w:rPr>
                <w:rFonts w:ascii="Times New Roman" w:hAnsi="Times New Roman"/>
                <w:sz w:val="20"/>
                <w:szCs w:val="20"/>
                <w:lang w:val="en-US"/>
              </w:rPr>
            </w:pPr>
            <w:r w:rsidRPr="0049551E">
              <w:rPr>
                <w:rFonts w:ascii="Times New Roman" w:hAnsi="Times New Roman"/>
                <w:sz w:val="20"/>
                <w:szCs w:val="20"/>
                <w:lang w:val="en-US"/>
              </w:rPr>
              <w:t>Dat fiind faptul, că se propune aducerea cadrului normativ în conformitate cu Directivele UE din domeniul recipientelor de măsurare. În scopul armonizării legislaţiei interne cu legislaţia comunitară, urmează a fi aduse în concordanţă Legile ce reglementează domeniul propriu-zis, ulterior - actele ce vin întru executarea acestora.</w:t>
            </w:r>
          </w:p>
          <w:p w:rsidR="00D70642" w:rsidRPr="0049551E" w:rsidRDefault="00D70642" w:rsidP="0034286F">
            <w:pPr>
              <w:jc w:val="both"/>
              <w:rPr>
                <w:rFonts w:ascii="Times New Roman" w:hAnsi="Times New Roman"/>
                <w:sz w:val="20"/>
                <w:szCs w:val="20"/>
                <w:lang w:val="en-US"/>
              </w:rPr>
            </w:pPr>
            <w:r w:rsidRPr="0049551E">
              <w:rPr>
                <w:rFonts w:ascii="Times New Roman" w:hAnsi="Times New Roman"/>
                <w:sz w:val="20"/>
                <w:szCs w:val="20"/>
                <w:lang w:val="en-US"/>
              </w:rPr>
              <w:t>În clauza de emitere a proiectului hotărîrii, sursa de publicare a Legii metrologiei nr. 647-XVI, se va indica după următoarea schemă: (Monitorul Oficial al Republicii Moldova, anul publicării, numărul Monitorului, numărul articolului).</w:t>
            </w:r>
          </w:p>
          <w:p w:rsidR="00D70642" w:rsidRPr="0049551E" w:rsidRDefault="00D70642" w:rsidP="00971A59">
            <w:pPr>
              <w:rPr>
                <w:rFonts w:ascii="Times New Roman" w:hAnsi="Times New Roman"/>
                <w:sz w:val="20"/>
                <w:szCs w:val="20"/>
                <w:lang w:val="en-US"/>
              </w:rPr>
            </w:pPr>
            <w:r w:rsidRPr="0049551E">
              <w:rPr>
                <w:rFonts w:ascii="Times New Roman" w:hAnsi="Times New Roman"/>
                <w:sz w:val="20"/>
                <w:szCs w:val="20"/>
                <w:lang w:val="en-US"/>
              </w:rPr>
              <w:t>II. La proiectul Regulamentului:</w:t>
            </w:r>
          </w:p>
          <w:p w:rsidR="00D70642" w:rsidRPr="0049551E" w:rsidRDefault="00D70642" w:rsidP="0034286F">
            <w:pPr>
              <w:jc w:val="both"/>
              <w:rPr>
                <w:rFonts w:ascii="Times New Roman" w:hAnsi="Times New Roman"/>
                <w:sz w:val="20"/>
                <w:szCs w:val="20"/>
                <w:lang w:val="en-US"/>
              </w:rPr>
            </w:pPr>
            <w:r w:rsidRPr="0049551E">
              <w:rPr>
                <w:rFonts w:ascii="Times New Roman" w:hAnsi="Times New Roman"/>
                <w:sz w:val="20"/>
                <w:szCs w:val="20"/>
                <w:lang w:val="en-US"/>
              </w:rPr>
              <w:t>Proiectul actului normativ prezentat spre avizare, necesită a fi revizuit din punct de vedere redacţional şi expus conform art. 56 şi 58 din Legea nr. 317-XV din 18 iulie 2003. Astfel, punctele se numerotează în continuare de la începutul şi pînă la sfîrşitul actului normativ, punîndu-se punct după cifra de numerotare. Subpunctele se numerotează cu cifre arabe şi o paranteză şi pot avea diviziuni numerotate cu litere latine şi o paranteză.</w:t>
            </w:r>
          </w:p>
          <w:p w:rsidR="00D70642" w:rsidRPr="0049551E" w:rsidRDefault="00D70642" w:rsidP="00971A59">
            <w:pPr>
              <w:rPr>
                <w:rFonts w:ascii="Times New Roman" w:hAnsi="Times New Roman"/>
                <w:sz w:val="20"/>
                <w:szCs w:val="20"/>
                <w:lang w:val="en-US"/>
              </w:rPr>
            </w:pPr>
          </w:p>
          <w:p w:rsidR="00D70642" w:rsidRPr="0049551E" w:rsidRDefault="00D70642" w:rsidP="00971A59">
            <w:pPr>
              <w:rPr>
                <w:rFonts w:ascii="Times New Roman" w:hAnsi="Times New Roman"/>
                <w:sz w:val="20"/>
                <w:szCs w:val="20"/>
                <w:lang w:val="en-US"/>
              </w:rPr>
            </w:pPr>
            <w:r w:rsidRPr="0049551E">
              <w:rPr>
                <w:rFonts w:ascii="Times New Roman" w:hAnsi="Times New Roman"/>
                <w:sz w:val="20"/>
                <w:szCs w:val="20"/>
                <w:lang w:val="en-US"/>
              </w:rPr>
              <w:t>Se va revedea titlul, în partea utilizării cuvîntului „general", deaorece este confuz.</w:t>
            </w:r>
          </w:p>
          <w:p w:rsidR="00D70642" w:rsidRPr="0049551E" w:rsidRDefault="00D70642" w:rsidP="00971A59">
            <w:pPr>
              <w:rPr>
                <w:rFonts w:ascii="Times New Roman" w:hAnsi="Times New Roman"/>
                <w:sz w:val="20"/>
                <w:szCs w:val="20"/>
                <w:lang w:val="en-US"/>
              </w:rPr>
            </w:pPr>
          </w:p>
          <w:p w:rsidR="00D70642" w:rsidRPr="0049551E" w:rsidRDefault="00D70642" w:rsidP="00971A59">
            <w:pPr>
              <w:rPr>
                <w:rFonts w:ascii="Times New Roman" w:hAnsi="Times New Roman"/>
                <w:sz w:val="20"/>
                <w:szCs w:val="20"/>
                <w:lang w:val="en-US"/>
              </w:rPr>
            </w:pPr>
          </w:p>
          <w:p w:rsidR="00D70642" w:rsidRPr="0049551E" w:rsidRDefault="00D70642" w:rsidP="00971A59">
            <w:pPr>
              <w:rPr>
                <w:rFonts w:ascii="Times New Roman" w:hAnsi="Times New Roman"/>
                <w:sz w:val="20"/>
                <w:szCs w:val="20"/>
                <w:lang w:val="en-US"/>
              </w:rPr>
            </w:pPr>
          </w:p>
          <w:p w:rsidR="00D70642" w:rsidRPr="0049551E" w:rsidRDefault="00D70642" w:rsidP="00971A59">
            <w:pPr>
              <w:rPr>
                <w:rFonts w:ascii="Times New Roman" w:hAnsi="Times New Roman"/>
                <w:sz w:val="20"/>
                <w:szCs w:val="20"/>
                <w:lang w:val="en-US"/>
              </w:rPr>
            </w:pPr>
          </w:p>
          <w:p w:rsidR="00D70642" w:rsidRPr="0049551E" w:rsidRDefault="00D70642" w:rsidP="00971A59">
            <w:pPr>
              <w:rPr>
                <w:rFonts w:ascii="Times New Roman" w:hAnsi="Times New Roman"/>
                <w:sz w:val="20"/>
                <w:szCs w:val="20"/>
                <w:lang w:val="en-US"/>
              </w:rPr>
            </w:pPr>
          </w:p>
          <w:p w:rsidR="00D70642" w:rsidRDefault="00D70642" w:rsidP="00971A59">
            <w:pPr>
              <w:rPr>
                <w:rFonts w:ascii="Times New Roman" w:hAnsi="Times New Roman"/>
                <w:sz w:val="20"/>
                <w:szCs w:val="20"/>
                <w:lang w:val="en-US"/>
              </w:rPr>
            </w:pPr>
          </w:p>
          <w:p w:rsidR="00D70642" w:rsidRPr="0049551E" w:rsidRDefault="00D70642" w:rsidP="00971A59">
            <w:pPr>
              <w:rPr>
                <w:rFonts w:ascii="Times New Roman" w:hAnsi="Times New Roman"/>
                <w:sz w:val="20"/>
                <w:szCs w:val="20"/>
                <w:lang w:val="en-US"/>
              </w:rPr>
            </w:pPr>
          </w:p>
          <w:p w:rsidR="00D70642" w:rsidRPr="0049551E" w:rsidRDefault="00D70642" w:rsidP="00971A59">
            <w:pPr>
              <w:rPr>
                <w:rFonts w:ascii="Times New Roman" w:hAnsi="Times New Roman"/>
                <w:sz w:val="20"/>
                <w:szCs w:val="20"/>
                <w:lang w:val="en-US"/>
              </w:rPr>
            </w:pPr>
            <w:r w:rsidRPr="0049551E">
              <w:rPr>
                <w:rFonts w:ascii="Times New Roman" w:hAnsi="Times New Roman"/>
                <w:sz w:val="20"/>
                <w:szCs w:val="20"/>
                <w:lang w:val="en-US"/>
              </w:rPr>
              <w:t xml:space="preserve">La pct. 4 se va explica termenul "recipient". </w:t>
            </w:r>
          </w:p>
          <w:p w:rsidR="00D70642" w:rsidRPr="0049551E" w:rsidRDefault="00D70642" w:rsidP="00971A59">
            <w:pPr>
              <w:rPr>
                <w:rFonts w:ascii="Times New Roman" w:hAnsi="Times New Roman"/>
                <w:sz w:val="20"/>
                <w:szCs w:val="20"/>
                <w:lang w:val="en-US"/>
              </w:rPr>
            </w:pPr>
          </w:p>
          <w:p w:rsidR="00D70642" w:rsidRDefault="00D70642" w:rsidP="00971A59">
            <w:pPr>
              <w:rPr>
                <w:rFonts w:ascii="Times New Roman" w:hAnsi="Times New Roman"/>
                <w:sz w:val="20"/>
                <w:szCs w:val="20"/>
                <w:lang w:val="en-US"/>
              </w:rPr>
            </w:pPr>
          </w:p>
          <w:p w:rsidR="00D70642" w:rsidRPr="0049551E" w:rsidRDefault="00D70642" w:rsidP="00971A59">
            <w:pPr>
              <w:rPr>
                <w:rFonts w:ascii="Times New Roman" w:hAnsi="Times New Roman"/>
                <w:sz w:val="20"/>
                <w:szCs w:val="20"/>
                <w:lang w:val="en-US"/>
              </w:rPr>
            </w:pPr>
            <w:r w:rsidRPr="0049551E">
              <w:rPr>
                <w:rFonts w:ascii="Times New Roman" w:hAnsi="Times New Roman"/>
                <w:sz w:val="20"/>
                <w:szCs w:val="20"/>
                <w:lang w:val="en-US"/>
              </w:rPr>
              <w:t>Totodată, la pct. 4 se va revedea sintagma "cu următoarele completări", deoarece noţiunile din lege nu pot fi completate prin</w:t>
            </w:r>
            <w:r w:rsidRPr="0049551E">
              <w:rPr>
                <w:rFonts w:ascii="Times New Roman" w:hAnsi="Times New Roman"/>
                <w:sz w:val="20"/>
                <w:szCs w:val="20"/>
                <w:lang w:val="ro-RO"/>
              </w:rPr>
              <w:t>tr - o</w:t>
            </w:r>
            <w:r w:rsidRPr="0049551E">
              <w:rPr>
                <w:rFonts w:ascii="Times New Roman" w:hAnsi="Times New Roman"/>
                <w:sz w:val="20"/>
                <w:szCs w:val="20"/>
                <w:lang w:val="en-US"/>
              </w:rPr>
              <w:t xml:space="preserve"> Hotărîre de Guvern.</w:t>
            </w:r>
          </w:p>
          <w:p w:rsidR="00D70642" w:rsidRPr="0049551E" w:rsidRDefault="00D70642" w:rsidP="00364E84">
            <w:pPr>
              <w:rPr>
                <w:rFonts w:ascii="Times New Roman" w:hAnsi="Times New Roman"/>
                <w:sz w:val="20"/>
                <w:szCs w:val="20"/>
                <w:lang w:val="en-US"/>
              </w:rPr>
            </w:pPr>
            <w:r w:rsidRPr="0049551E">
              <w:rPr>
                <w:rFonts w:ascii="Times New Roman" w:hAnsi="Times New Roman"/>
                <w:sz w:val="20"/>
                <w:szCs w:val="20"/>
                <w:lang w:val="en-US"/>
              </w:rPr>
              <w:t>La pct. 5 este greşită formularea "se adresează".</w:t>
            </w:r>
            <w:r w:rsidRPr="0049551E">
              <w:rPr>
                <w:rFonts w:ascii="Times New Roman" w:hAnsi="Times New Roman"/>
                <w:sz w:val="20"/>
                <w:szCs w:val="20"/>
                <w:lang w:val="en-US"/>
              </w:rPr>
              <w:br w:type="page"/>
            </w:r>
          </w:p>
          <w:p w:rsidR="00D70642" w:rsidRPr="0049551E" w:rsidRDefault="00D70642" w:rsidP="00971A59">
            <w:pPr>
              <w:rPr>
                <w:rFonts w:ascii="Times New Roman" w:hAnsi="Times New Roman"/>
                <w:sz w:val="20"/>
                <w:szCs w:val="20"/>
                <w:lang w:val="en-US"/>
              </w:rPr>
            </w:pPr>
            <w:r w:rsidRPr="0049551E">
              <w:rPr>
                <w:rFonts w:ascii="Times New Roman" w:hAnsi="Times New Roman"/>
                <w:sz w:val="20"/>
                <w:szCs w:val="20"/>
                <w:lang w:val="en-US"/>
              </w:rPr>
              <w:t>La pct. 1 din Capitolul II se vor revedea sintagmele: "specificate întotdeauna", "pînă la plin ras" şi "nivelul teoretic corespunzător", deoarece sunt confuze.</w:t>
            </w:r>
          </w:p>
          <w:p w:rsidR="00D70642" w:rsidRPr="0049551E" w:rsidRDefault="00D70642" w:rsidP="00971A59">
            <w:pPr>
              <w:rPr>
                <w:rFonts w:ascii="Times New Roman" w:hAnsi="Times New Roman"/>
                <w:sz w:val="20"/>
                <w:szCs w:val="20"/>
                <w:lang w:val="en-US"/>
              </w:rPr>
            </w:pPr>
          </w:p>
          <w:p w:rsidR="00D70642" w:rsidRPr="0049551E" w:rsidRDefault="00D70642" w:rsidP="00971A59">
            <w:pPr>
              <w:rPr>
                <w:rFonts w:ascii="Times New Roman" w:hAnsi="Times New Roman"/>
                <w:sz w:val="20"/>
                <w:szCs w:val="20"/>
                <w:lang w:val="en-US"/>
              </w:rPr>
            </w:pPr>
            <w:r w:rsidRPr="0049551E">
              <w:rPr>
                <w:rFonts w:ascii="Times New Roman" w:hAnsi="Times New Roman"/>
                <w:sz w:val="20"/>
                <w:szCs w:val="20"/>
                <w:lang w:val="en-US"/>
              </w:rPr>
              <w:t>In scopul oferirii actului normative un caracter mai precis, la pct. 5 din Capitolul II se va indica care legislaţie în vigoare se are în vedere.</w:t>
            </w:r>
          </w:p>
          <w:p w:rsidR="00D70642" w:rsidRPr="0049551E" w:rsidRDefault="00D70642" w:rsidP="00971A59">
            <w:pPr>
              <w:rPr>
                <w:rFonts w:ascii="Times New Roman" w:hAnsi="Times New Roman"/>
                <w:sz w:val="20"/>
                <w:szCs w:val="20"/>
                <w:lang w:val="ro-RO"/>
              </w:rPr>
            </w:pPr>
            <w:r w:rsidRPr="0049551E">
              <w:rPr>
                <w:rFonts w:ascii="Times New Roman" w:hAnsi="Times New Roman"/>
                <w:sz w:val="20"/>
                <w:szCs w:val="20"/>
                <w:lang w:val="en-US"/>
              </w:rPr>
              <w:t>In pct. 6. din capitolul II, se va exclude referirea la Hotărîrea Guvernului nr. 936 din 9 decembrie 2011 privind crearea Agenţiei pentru Protecţia Consumatorilor şi aprobarea Regulamentului, structurii şi efectivului-limită, ca nefiind necesară.</w:t>
            </w:r>
          </w:p>
          <w:p w:rsidR="00D70642" w:rsidRPr="0049551E" w:rsidRDefault="00D70642" w:rsidP="00971A59">
            <w:pPr>
              <w:rPr>
                <w:rFonts w:ascii="Times New Roman" w:hAnsi="Times New Roman"/>
                <w:sz w:val="20"/>
                <w:szCs w:val="20"/>
                <w:lang w:val="en-US"/>
              </w:rPr>
            </w:pPr>
            <w:r w:rsidRPr="0049551E">
              <w:rPr>
                <w:rFonts w:ascii="Times New Roman" w:hAnsi="Times New Roman"/>
                <w:sz w:val="20"/>
                <w:szCs w:val="20"/>
                <w:lang w:val="en-US"/>
              </w:rPr>
              <w:t xml:space="preserve">Suplimentar, pct. 6 se va revedea în partea respectării de către sticle a prevederilor prezentului Regulament, deoarece prevederile Regulamentului urmează a fi respectate nu de către sticle, dar de către producător, reprezentantul autorizat al acestuia şi importator. </w:t>
            </w:r>
          </w:p>
          <w:p w:rsidR="00D70642" w:rsidRPr="0049551E" w:rsidRDefault="00D70642" w:rsidP="00971A59">
            <w:pPr>
              <w:rPr>
                <w:rFonts w:ascii="Times New Roman" w:hAnsi="Times New Roman"/>
                <w:sz w:val="20"/>
                <w:szCs w:val="20"/>
                <w:lang w:val="en-US"/>
              </w:rPr>
            </w:pPr>
            <w:r w:rsidRPr="0049551E">
              <w:rPr>
                <w:rFonts w:ascii="Times New Roman" w:hAnsi="Times New Roman"/>
                <w:sz w:val="20"/>
                <w:szCs w:val="20"/>
                <w:lang w:val="en-US"/>
              </w:rPr>
              <w:t>Sinsintagma „în incinta importatorului" nu este clară. Astfel, aceasta necesită a fi revăzută.</w:t>
            </w:r>
          </w:p>
          <w:p w:rsidR="00D70642" w:rsidRPr="0049551E" w:rsidRDefault="00D70642" w:rsidP="00971A59">
            <w:pPr>
              <w:rPr>
                <w:rFonts w:ascii="Times New Roman" w:hAnsi="Times New Roman"/>
                <w:sz w:val="20"/>
                <w:szCs w:val="20"/>
                <w:lang w:val="en-US"/>
              </w:rPr>
            </w:pPr>
            <w:r w:rsidRPr="0049551E">
              <w:rPr>
                <w:rFonts w:ascii="Times New Roman" w:hAnsi="Times New Roman"/>
                <w:sz w:val="20"/>
                <w:szCs w:val="20"/>
                <w:lang w:val="en-US"/>
              </w:rPr>
              <w:t>Pct. 7 are un caracter declarativ şi inconcret. lipseşte lista verificărilor ce ar putea fi efectuate de autorităţi de supraveghere a pieţei.</w:t>
            </w:r>
          </w:p>
          <w:p w:rsidR="00D70642" w:rsidRPr="0049551E" w:rsidRDefault="00D70642" w:rsidP="00971A59">
            <w:pPr>
              <w:rPr>
                <w:rFonts w:ascii="Times New Roman" w:hAnsi="Times New Roman"/>
                <w:sz w:val="20"/>
                <w:szCs w:val="20"/>
                <w:lang w:val="ro-RO"/>
              </w:rPr>
            </w:pPr>
          </w:p>
          <w:p w:rsidR="00D70642" w:rsidRPr="0049551E" w:rsidRDefault="00D70642" w:rsidP="00971A59">
            <w:pPr>
              <w:rPr>
                <w:rFonts w:ascii="Times New Roman" w:hAnsi="Times New Roman"/>
                <w:sz w:val="20"/>
                <w:szCs w:val="20"/>
                <w:lang w:val="ro-RO"/>
              </w:rPr>
            </w:pPr>
          </w:p>
          <w:p w:rsidR="00D70642" w:rsidRPr="0049551E" w:rsidRDefault="00D70642" w:rsidP="00971A59">
            <w:pPr>
              <w:rPr>
                <w:rFonts w:ascii="Times New Roman" w:hAnsi="Times New Roman"/>
                <w:sz w:val="20"/>
                <w:szCs w:val="20"/>
                <w:lang w:val="ro-RO"/>
              </w:rPr>
            </w:pPr>
          </w:p>
          <w:p w:rsidR="00D70642" w:rsidRPr="0049551E" w:rsidRDefault="00D70642" w:rsidP="00971A59">
            <w:pPr>
              <w:rPr>
                <w:rFonts w:ascii="Times New Roman" w:hAnsi="Times New Roman"/>
                <w:sz w:val="20"/>
                <w:szCs w:val="20"/>
                <w:lang w:val="ro-RO"/>
              </w:rPr>
            </w:pPr>
          </w:p>
          <w:p w:rsidR="00D70642" w:rsidRPr="0049551E" w:rsidRDefault="00D70642" w:rsidP="00971A59">
            <w:pPr>
              <w:rPr>
                <w:rFonts w:ascii="Times New Roman" w:hAnsi="Times New Roman"/>
                <w:sz w:val="20"/>
                <w:szCs w:val="20"/>
                <w:lang w:val="ro-RO"/>
              </w:rPr>
            </w:pPr>
          </w:p>
          <w:p w:rsidR="00D70642" w:rsidRPr="0049551E" w:rsidRDefault="00D70642" w:rsidP="00971A59">
            <w:pPr>
              <w:rPr>
                <w:rFonts w:ascii="Times New Roman" w:hAnsi="Times New Roman"/>
                <w:sz w:val="20"/>
                <w:szCs w:val="20"/>
                <w:lang w:val="ro-RO"/>
              </w:rPr>
            </w:pPr>
          </w:p>
          <w:p w:rsidR="00D70642" w:rsidRPr="0049551E" w:rsidRDefault="00D70642" w:rsidP="00880FCE">
            <w:pPr>
              <w:spacing w:line="240" w:lineRule="auto"/>
              <w:rPr>
                <w:rFonts w:ascii="Times New Roman" w:hAnsi="Times New Roman"/>
                <w:sz w:val="20"/>
                <w:szCs w:val="20"/>
                <w:lang w:val="en-US"/>
              </w:rPr>
            </w:pPr>
            <w:r w:rsidRPr="0049551E">
              <w:rPr>
                <w:rFonts w:ascii="Times New Roman" w:hAnsi="Times New Roman"/>
                <w:sz w:val="20"/>
                <w:szCs w:val="20"/>
                <w:lang w:val="en-US"/>
              </w:rPr>
              <w:t>Primul alineat din Capitolul III se va exclude ca nefiind necesar.</w:t>
            </w:r>
          </w:p>
          <w:p w:rsidR="00D70642" w:rsidRPr="0049551E" w:rsidRDefault="00D70642" w:rsidP="00971A59">
            <w:pPr>
              <w:rPr>
                <w:rFonts w:ascii="Times New Roman" w:hAnsi="Times New Roman"/>
                <w:sz w:val="20"/>
                <w:szCs w:val="20"/>
                <w:lang w:val="en-US"/>
              </w:rPr>
            </w:pPr>
          </w:p>
          <w:p w:rsidR="00D70642" w:rsidRPr="0049551E" w:rsidRDefault="00D70642" w:rsidP="00971A59">
            <w:pPr>
              <w:rPr>
                <w:rFonts w:ascii="Times New Roman" w:hAnsi="Times New Roman"/>
                <w:sz w:val="20"/>
                <w:szCs w:val="20"/>
                <w:lang w:val="ro-RO"/>
              </w:rPr>
            </w:pPr>
            <w:r w:rsidRPr="0049551E">
              <w:rPr>
                <w:rFonts w:ascii="Times New Roman" w:hAnsi="Times New Roman"/>
                <w:sz w:val="20"/>
                <w:szCs w:val="20"/>
                <w:lang w:val="en-US"/>
              </w:rPr>
              <w:t>In capitolul III. pct 1. se va indica, cine întocmeşte şi aprobă planurile de eşantionare.</w:t>
            </w:r>
          </w:p>
          <w:p w:rsidR="00D70642" w:rsidRDefault="00D70642" w:rsidP="00971A59">
            <w:pPr>
              <w:rPr>
                <w:rFonts w:ascii="Times New Roman" w:hAnsi="Times New Roman"/>
                <w:sz w:val="20"/>
                <w:szCs w:val="20"/>
                <w:lang w:val="en-US"/>
              </w:rPr>
            </w:pPr>
          </w:p>
          <w:p w:rsidR="00D70642" w:rsidRPr="0049551E" w:rsidRDefault="00D70642" w:rsidP="00971A59">
            <w:pPr>
              <w:rPr>
                <w:rFonts w:ascii="Times New Roman" w:hAnsi="Times New Roman"/>
                <w:sz w:val="20"/>
                <w:szCs w:val="20"/>
                <w:lang w:val="en-US"/>
              </w:rPr>
            </w:pPr>
            <w:r w:rsidRPr="0049551E">
              <w:rPr>
                <w:rFonts w:ascii="Times New Roman" w:hAnsi="Times New Roman"/>
                <w:sz w:val="20"/>
                <w:szCs w:val="20"/>
                <w:lang w:val="en-US"/>
              </w:rPr>
              <w:t>Dat fiind faptul, că este doar o anexă la Regulament, aceasta nu necesită a fi numerotată.</w:t>
            </w:r>
          </w:p>
          <w:p w:rsidR="00D70642" w:rsidRPr="0049551E" w:rsidRDefault="00D70642" w:rsidP="00971A59">
            <w:pPr>
              <w:rPr>
                <w:rFonts w:ascii="Times New Roman" w:hAnsi="Times New Roman"/>
                <w:sz w:val="20"/>
                <w:szCs w:val="20"/>
                <w:lang w:val="ro-RO"/>
              </w:rPr>
            </w:pPr>
            <w:r w:rsidRPr="0049551E">
              <w:rPr>
                <w:rFonts w:ascii="Times New Roman" w:hAnsi="Times New Roman"/>
                <w:sz w:val="20"/>
                <w:szCs w:val="20"/>
                <w:lang w:val="en-US"/>
              </w:rPr>
              <w:t>După expunere, constatăm, că acesta nu-i Regulament, care poate expune un mecanism, un proces de efectuare a unei activităţi, prevederile fiind logic legate între ele şi expuse conform etapelor procesului, mecanismului.</w:t>
            </w:r>
          </w:p>
          <w:p w:rsidR="00D70642" w:rsidRPr="0049551E" w:rsidRDefault="00D70642" w:rsidP="00971A59">
            <w:pPr>
              <w:rPr>
                <w:rFonts w:ascii="Times New Roman" w:hAnsi="Times New Roman"/>
                <w:sz w:val="20"/>
                <w:szCs w:val="20"/>
                <w:lang w:val="ro-RO"/>
              </w:rPr>
            </w:pPr>
          </w:p>
          <w:p w:rsidR="00D70642" w:rsidRPr="0049551E" w:rsidRDefault="00D70642" w:rsidP="00971A59">
            <w:pPr>
              <w:rPr>
                <w:rFonts w:ascii="Times New Roman" w:hAnsi="Times New Roman"/>
                <w:sz w:val="20"/>
                <w:szCs w:val="20"/>
                <w:lang w:val="ro-RO"/>
              </w:rPr>
            </w:pPr>
          </w:p>
          <w:p w:rsidR="00D70642" w:rsidRPr="0049551E" w:rsidRDefault="00D70642" w:rsidP="00971A59">
            <w:pPr>
              <w:rPr>
                <w:rFonts w:ascii="Times New Roman" w:hAnsi="Times New Roman"/>
                <w:sz w:val="20"/>
                <w:szCs w:val="20"/>
                <w:lang w:val="en-US"/>
              </w:rPr>
            </w:pPr>
          </w:p>
          <w:p w:rsidR="00D70642" w:rsidRPr="0049551E" w:rsidRDefault="00D70642" w:rsidP="00971A59">
            <w:pPr>
              <w:rPr>
                <w:rFonts w:ascii="Times New Roman" w:hAnsi="Times New Roman"/>
                <w:sz w:val="20"/>
                <w:szCs w:val="20"/>
                <w:lang w:val="en-US"/>
              </w:rPr>
            </w:pPr>
            <w:r w:rsidRPr="0049551E">
              <w:rPr>
                <w:rFonts w:ascii="Times New Roman" w:hAnsi="Times New Roman"/>
                <w:sz w:val="20"/>
                <w:szCs w:val="20"/>
                <w:lang w:val="en-US"/>
              </w:rPr>
              <w:t>Proiectul necesită o examinare suplimentară, astefel încît să fie excluse divirgenţele de opinii.</w:t>
            </w:r>
          </w:p>
          <w:p w:rsidR="00D70642" w:rsidRPr="0049551E" w:rsidRDefault="00D70642" w:rsidP="00971A59">
            <w:pPr>
              <w:rPr>
                <w:rFonts w:ascii="Times New Roman" w:hAnsi="Times New Roman"/>
                <w:sz w:val="20"/>
                <w:szCs w:val="20"/>
                <w:lang w:val="en-US"/>
              </w:rPr>
            </w:pPr>
          </w:p>
        </w:tc>
        <w:tc>
          <w:tcPr>
            <w:tcW w:w="3432" w:type="dxa"/>
          </w:tcPr>
          <w:p w:rsidR="00D70642" w:rsidRPr="0049551E" w:rsidRDefault="00D70642" w:rsidP="006F2B92">
            <w:pPr>
              <w:rPr>
                <w:rFonts w:ascii="Times New Roman" w:hAnsi="Times New Roman"/>
                <w:sz w:val="20"/>
                <w:szCs w:val="20"/>
                <w:lang w:val="ro-RO"/>
              </w:rPr>
            </w:pPr>
          </w:p>
          <w:p w:rsidR="00D70642" w:rsidRPr="0049551E" w:rsidRDefault="00D70642" w:rsidP="006F2B92">
            <w:pPr>
              <w:rPr>
                <w:rFonts w:ascii="Times New Roman" w:hAnsi="Times New Roman"/>
                <w:sz w:val="20"/>
                <w:szCs w:val="20"/>
                <w:lang w:val="en-US"/>
              </w:rPr>
            </w:pPr>
            <w:r w:rsidRPr="0049551E">
              <w:rPr>
                <w:rFonts w:ascii="Times New Roman" w:hAnsi="Times New Roman"/>
                <w:b/>
                <w:sz w:val="20"/>
                <w:szCs w:val="20"/>
                <w:lang w:val="en-US"/>
              </w:rPr>
              <w:t>Se acceptă.</w:t>
            </w:r>
            <w:r w:rsidRPr="0049551E">
              <w:rPr>
                <w:rFonts w:ascii="Times New Roman" w:hAnsi="Times New Roman"/>
                <w:sz w:val="20"/>
                <w:szCs w:val="20"/>
                <w:lang w:val="en-US"/>
              </w:rPr>
              <w:t xml:space="preserve"> La moment au fost iniţiate  modificări ale Legii metrologiei nr. 647-XVI din 17 noiembrie 1995. Aceste modificări stabilesc temeiul legal de emitere al acestui act normativ.</w:t>
            </w:r>
          </w:p>
          <w:p w:rsidR="00D70642" w:rsidRPr="0049551E" w:rsidRDefault="00D70642" w:rsidP="006F2B92">
            <w:pPr>
              <w:rPr>
                <w:rFonts w:ascii="Times New Roman" w:hAnsi="Times New Roman"/>
                <w:sz w:val="20"/>
                <w:szCs w:val="20"/>
                <w:lang w:val="en-US"/>
              </w:rPr>
            </w:pPr>
          </w:p>
          <w:p w:rsidR="00D70642" w:rsidRPr="0049551E" w:rsidRDefault="00D70642" w:rsidP="006F2B92">
            <w:pPr>
              <w:rPr>
                <w:rFonts w:ascii="Times New Roman" w:hAnsi="Times New Roman"/>
                <w:sz w:val="20"/>
                <w:szCs w:val="20"/>
                <w:lang w:val="en-US"/>
              </w:rPr>
            </w:pPr>
          </w:p>
          <w:p w:rsidR="00D70642" w:rsidRPr="0049551E" w:rsidRDefault="00D70642" w:rsidP="006F2B92">
            <w:pPr>
              <w:rPr>
                <w:rFonts w:ascii="Times New Roman" w:hAnsi="Times New Roman"/>
                <w:sz w:val="20"/>
                <w:szCs w:val="20"/>
                <w:lang w:val="ro-RO"/>
              </w:rPr>
            </w:pPr>
          </w:p>
          <w:p w:rsidR="00D70642" w:rsidRPr="0049551E" w:rsidRDefault="00D70642" w:rsidP="006F2B92">
            <w:pPr>
              <w:rPr>
                <w:rFonts w:ascii="Times New Roman" w:hAnsi="Times New Roman"/>
                <w:b/>
                <w:sz w:val="20"/>
                <w:szCs w:val="20"/>
                <w:lang w:val="en-US"/>
              </w:rPr>
            </w:pPr>
          </w:p>
          <w:p w:rsidR="00D70642" w:rsidRPr="0049551E" w:rsidRDefault="00D70642" w:rsidP="006F2B92">
            <w:pPr>
              <w:rPr>
                <w:rFonts w:ascii="Times New Roman" w:hAnsi="Times New Roman"/>
                <w:sz w:val="20"/>
                <w:szCs w:val="20"/>
                <w:lang w:val="ro-RO"/>
              </w:rPr>
            </w:pPr>
            <w:r w:rsidRPr="0049551E">
              <w:rPr>
                <w:rFonts w:ascii="Times New Roman" w:hAnsi="Times New Roman"/>
                <w:b/>
                <w:sz w:val="20"/>
                <w:szCs w:val="20"/>
                <w:lang w:val="en-US"/>
              </w:rPr>
              <w:t>Se acceptă</w:t>
            </w:r>
            <w:r w:rsidRPr="0049551E">
              <w:rPr>
                <w:rFonts w:ascii="Times New Roman" w:hAnsi="Times New Roman"/>
                <w:sz w:val="20"/>
                <w:szCs w:val="20"/>
                <w:lang w:val="en-US"/>
              </w:rPr>
              <w:t>.</w:t>
            </w:r>
            <w:r w:rsidRPr="0049551E">
              <w:rPr>
                <w:rFonts w:ascii="Times New Roman" w:hAnsi="Times New Roman"/>
                <w:sz w:val="20"/>
                <w:szCs w:val="20"/>
                <w:lang w:val="ro-RO"/>
              </w:rPr>
              <w:t xml:space="preserve"> </w:t>
            </w:r>
          </w:p>
          <w:p w:rsidR="00D70642" w:rsidRPr="0049551E" w:rsidRDefault="00D70642" w:rsidP="006F2B92">
            <w:pPr>
              <w:rPr>
                <w:rFonts w:ascii="Times New Roman" w:hAnsi="Times New Roman"/>
                <w:sz w:val="20"/>
                <w:szCs w:val="20"/>
                <w:lang w:val="en-US"/>
              </w:rPr>
            </w:pPr>
          </w:p>
          <w:p w:rsidR="00D70642" w:rsidRPr="0049551E" w:rsidRDefault="00D70642" w:rsidP="006F2B92">
            <w:pPr>
              <w:rPr>
                <w:rFonts w:ascii="Times New Roman" w:hAnsi="Times New Roman"/>
                <w:sz w:val="20"/>
                <w:szCs w:val="20"/>
                <w:lang w:val="en-US"/>
              </w:rPr>
            </w:pPr>
          </w:p>
          <w:p w:rsidR="00D70642" w:rsidRPr="0049551E" w:rsidRDefault="00D70642" w:rsidP="00C833DE">
            <w:pPr>
              <w:rPr>
                <w:rFonts w:ascii="Times New Roman" w:hAnsi="Times New Roman"/>
                <w:b/>
                <w:sz w:val="20"/>
                <w:szCs w:val="20"/>
                <w:lang w:val="en-US"/>
              </w:rPr>
            </w:pPr>
            <w:r w:rsidRPr="0049551E">
              <w:rPr>
                <w:rFonts w:ascii="Times New Roman" w:hAnsi="Times New Roman"/>
                <w:b/>
                <w:sz w:val="20"/>
                <w:szCs w:val="20"/>
                <w:lang w:val="en-US"/>
              </w:rPr>
              <w:t>Se acceptă.</w:t>
            </w:r>
          </w:p>
          <w:p w:rsidR="00D70642" w:rsidRPr="0049551E" w:rsidRDefault="00D70642" w:rsidP="00971A59">
            <w:pPr>
              <w:jc w:val="both"/>
              <w:rPr>
                <w:rFonts w:ascii="Times New Roman" w:hAnsi="Times New Roman"/>
                <w:b/>
                <w:sz w:val="20"/>
                <w:szCs w:val="20"/>
                <w:lang w:val="en-US"/>
              </w:rPr>
            </w:pPr>
          </w:p>
          <w:p w:rsidR="00D70642" w:rsidRPr="0049551E" w:rsidRDefault="00D70642" w:rsidP="00971A59">
            <w:pPr>
              <w:jc w:val="both"/>
              <w:rPr>
                <w:rFonts w:ascii="Times New Roman" w:hAnsi="Times New Roman"/>
                <w:sz w:val="20"/>
                <w:szCs w:val="20"/>
                <w:lang w:val="en-US"/>
              </w:rPr>
            </w:pPr>
            <w:r w:rsidRPr="0049551E">
              <w:rPr>
                <w:rFonts w:ascii="Times New Roman" w:hAnsi="Times New Roman"/>
                <w:b/>
                <w:sz w:val="20"/>
                <w:szCs w:val="20"/>
                <w:lang w:val="en-US"/>
              </w:rPr>
              <w:t>Nu se acceptă</w:t>
            </w:r>
            <w:r w:rsidRPr="0049551E">
              <w:rPr>
                <w:rFonts w:ascii="Times New Roman" w:hAnsi="Times New Roman"/>
                <w:sz w:val="20"/>
                <w:szCs w:val="20"/>
                <w:lang w:val="en-US"/>
              </w:rPr>
              <w:t xml:space="preserve"> deoarece denumirea de Regulament general de metrologie legală (RGML) este o denumire a documentului normativ din domeniul metrologiei, care este specificat la art. 3 din Legea metrologiei nr. 647-XVI din 17 noiembrie 1995. Suplimentar, modificările la legea existentă vor conţine prevederi referitor la modul de aprobare al RGML - prin Hotărîri de Givern sau ordine ale autorităţii centrale de metrologie.</w:t>
            </w:r>
          </w:p>
          <w:p w:rsidR="00D70642" w:rsidRPr="0049551E" w:rsidRDefault="00D70642" w:rsidP="006F2B92">
            <w:pPr>
              <w:rPr>
                <w:rFonts w:ascii="Times New Roman" w:hAnsi="Times New Roman"/>
                <w:sz w:val="20"/>
                <w:szCs w:val="20"/>
                <w:lang w:val="en-US"/>
              </w:rPr>
            </w:pPr>
            <w:r w:rsidRPr="0049551E">
              <w:rPr>
                <w:rFonts w:ascii="Times New Roman" w:hAnsi="Times New Roman"/>
                <w:b/>
                <w:sz w:val="20"/>
                <w:szCs w:val="20"/>
                <w:lang w:val="en-US"/>
              </w:rPr>
              <w:t>Nu se acceptă.</w:t>
            </w:r>
            <w:r w:rsidRPr="0049551E">
              <w:rPr>
                <w:rFonts w:ascii="Times New Roman" w:hAnsi="Times New Roman"/>
                <w:sz w:val="20"/>
                <w:szCs w:val="20"/>
                <w:lang w:val="en-US"/>
              </w:rPr>
              <w:t xml:space="preserve"> Termenul "recipient" nu poate fi explicat deoarece reiese din însăşi noţiunea de sticle care sunt considerate ca fiind utilizate ca recipiente de măsurare.</w:t>
            </w:r>
          </w:p>
          <w:p w:rsidR="00D70642" w:rsidRPr="0049551E" w:rsidRDefault="00D70642" w:rsidP="006F2B92">
            <w:pPr>
              <w:rPr>
                <w:rFonts w:ascii="Times New Roman" w:hAnsi="Times New Roman"/>
                <w:sz w:val="20"/>
                <w:szCs w:val="20"/>
                <w:lang w:val="en-US"/>
              </w:rPr>
            </w:pPr>
            <w:r w:rsidRPr="0049551E">
              <w:rPr>
                <w:rFonts w:ascii="Times New Roman" w:hAnsi="Times New Roman"/>
                <w:b/>
                <w:sz w:val="20"/>
                <w:szCs w:val="20"/>
                <w:lang w:val="en-US"/>
              </w:rPr>
              <w:t xml:space="preserve">Se acceptă. </w:t>
            </w:r>
            <w:r w:rsidRPr="0049551E">
              <w:rPr>
                <w:rFonts w:ascii="Times New Roman" w:hAnsi="Times New Roman"/>
                <w:sz w:val="20"/>
                <w:szCs w:val="20"/>
                <w:lang w:val="en-US"/>
              </w:rPr>
              <w:t>Sintagma "cu următoarele completări" a fost exclusă.</w:t>
            </w:r>
          </w:p>
          <w:p w:rsidR="00D70642" w:rsidRPr="0049551E" w:rsidRDefault="00D70642" w:rsidP="006F2B92">
            <w:pPr>
              <w:rPr>
                <w:rFonts w:ascii="Times New Roman" w:hAnsi="Times New Roman"/>
                <w:color w:val="3366FF"/>
                <w:sz w:val="20"/>
                <w:szCs w:val="20"/>
                <w:lang w:val="en-US"/>
              </w:rPr>
            </w:pPr>
            <w:r w:rsidRPr="0049551E">
              <w:rPr>
                <w:rFonts w:ascii="Times New Roman" w:hAnsi="Times New Roman"/>
                <w:b/>
                <w:sz w:val="20"/>
                <w:szCs w:val="20"/>
                <w:lang w:val="en-US"/>
              </w:rPr>
              <w:t>Se acceptă</w:t>
            </w:r>
            <w:r w:rsidRPr="0049551E">
              <w:rPr>
                <w:rFonts w:ascii="Times New Roman" w:hAnsi="Times New Roman"/>
                <w:color w:val="3366FF"/>
                <w:sz w:val="20"/>
                <w:szCs w:val="20"/>
                <w:lang w:val="en-US"/>
              </w:rPr>
              <w:t>.</w:t>
            </w:r>
          </w:p>
          <w:p w:rsidR="00D70642" w:rsidRPr="0049551E" w:rsidRDefault="00D70642" w:rsidP="00253389">
            <w:pPr>
              <w:jc w:val="both"/>
              <w:rPr>
                <w:rFonts w:ascii="Times New Roman" w:hAnsi="Times New Roman"/>
                <w:sz w:val="20"/>
                <w:szCs w:val="20"/>
                <w:lang w:val="en-US"/>
              </w:rPr>
            </w:pPr>
            <w:r w:rsidRPr="0049551E">
              <w:rPr>
                <w:rFonts w:ascii="Times New Roman" w:hAnsi="Times New Roman"/>
                <w:b/>
                <w:sz w:val="20"/>
                <w:szCs w:val="20"/>
                <w:lang w:val="en-US"/>
              </w:rPr>
              <w:t>Nu se acceptă</w:t>
            </w:r>
            <w:r w:rsidRPr="0049551E">
              <w:rPr>
                <w:rFonts w:ascii="Times New Roman" w:hAnsi="Times New Roman"/>
                <w:b/>
                <w:sz w:val="20"/>
                <w:szCs w:val="20"/>
                <w:lang w:val="ro-RO"/>
              </w:rPr>
              <w:t>.</w:t>
            </w:r>
            <w:r w:rsidRPr="0049551E">
              <w:rPr>
                <w:rFonts w:ascii="Times New Roman" w:hAnsi="Times New Roman"/>
                <w:sz w:val="20"/>
                <w:szCs w:val="20"/>
                <w:lang w:val="en-US"/>
              </w:rPr>
              <w:t xml:space="preserve"> Sintagmele enumerate sunt nişte </w:t>
            </w:r>
            <w:r w:rsidRPr="0049551E">
              <w:rPr>
                <w:rFonts w:ascii="Times New Roman" w:hAnsi="Times New Roman"/>
                <w:sz w:val="20"/>
                <w:szCs w:val="20"/>
                <w:lang w:val="ro-RO"/>
              </w:rPr>
              <w:t xml:space="preserve">termeni </w:t>
            </w:r>
            <w:r w:rsidRPr="0049551E">
              <w:rPr>
                <w:rFonts w:ascii="Times New Roman" w:hAnsi="Times New Roman"/>
                <w:sz w:val="20"/>
                <w:szCs w:val="20"/>
                <w:lang w:val="en-US"/>
              </w:rPr>
              <w:t>specific</w:t>
            </w:r>
            <w:r w:rsidRPr="0049551E">
              <w:rPr>
                <w:rFonts w:ascii="Times New Roman" w:hAnsi="Times New Roman"/>
                <w:sz w:val="20"/>
                <w:szCs w:val="20"/>
                <w:lang w:val="ro-RO"/>
              </w:rPr>
              <w:t>i</w:t>
            </w:r>
            <w:r w:rsidRPr="0049551E">
              <w:rPr>
                <w:rFonts w:ascii="Times New Roman" w:hAnsi="Times New Roman"/>
                <w:sz w:val="20"/>
                <w:szCs w:val="20"/>
                <w:lang w:val="en-US"/>
              </w:rPr>
              <w:t xml:space="preserve"> din domeniul metrologiei, totodată fiind şi nişte condiţii obligatorii pentru a asigura conformitatea măsurărilor.  </w:t>
            </w:r>
          </w:p>
          <w:p w:rsidR="00D70642" w:rsidRPr="0049551E" w:rsidRDefault="00D70642" w:rsidP="00756C9B">
            <w:pPr>
              <w:rPr>
                <w:rFonts w:ascii="Times New Roman" w:hAnsi="Times New Roman"/>
                <w:color w:val="3366FF"/>
                <w:sz w:val="20"/>
                <w:szCs w:val="20"/>
                <w:lang w:val="en-US"/>
              </w:rPr>
            </w:pPr>
            <w:r w:rsidRPr="0049551E">
              <w:rPr>
                <w:rFonts w:ascii="Times New Roman" w:hAnsi="Times New Roman"/>
                <w:b/>
                <w:sz w:val="20"/>
                <w:szCs w:val="20"/>
                <w:lang w:val="en-US"/>
              </w:rPr>
              <w:t>Se acceptă</w:t>
            </w:r>
            <w:r w:rsidRPr="0049551E">
              <w:rPr>
                <w:rFonts w:ascii="Times New Roman" w:hAnsi="Times New Roman"/>
                <w:color w:val="3366FF"/>
                <w:sz w:val="20"/>
                <w:szCs w:val="20"/>
                <w:lang w:val="en-US"/>
              </w:rPr>
              <w:t>.</w:t>
            </w:r>
          </w:p>
          <w:p w:rsidR="00D70642" w:rsidRPr="0049551E" w:rsidRDefault="00D70642" w:rsidP="001945C1">
            <w:pPr>
              <w:spacing w:after="0" w:line="240" w:lineRule="auto"/>
              <w:jc w:val="both"/>
              <w:rPr>
                <w:rFonts w:ascii="Times New Roman" w:hAnsi="Times New Roman"/>
                <w:sz w:val="20"/>
                <w:szCs w:val="20"/>
                <w:lang w:val="en-US"/>
              </w:rPr>
            </w:pPr>
          </w:p>
          <w:p w:rsidR="00D70642" w:rsidRPr="0049551E" w:rsidRDefault="00D70642" w:rsidP="001945C1">
            <w:pPr>
              <w:spacing w:after="0" w:line="240" w:lineRule="auto"/>
              <w:jc w:val="both"/>
              <w:rPr>
                <w:rFonts w:ascii="Times New Roman" w:hAnsi="Times New Roman"/>
                <w:sz w:val="20"/>
                <w:szCs w:val="20"/>
                <w:lang w:val="en-US"/>
              </w:rPr>
            </w:pPr>
            <w:r w:rsidRPr="0049551E">
              <w:rPr>
                <w:rFonts w:ascii="Times New Roman" w:hAnsi="Times New Roman"/>
                <w:b/>
                <w:sz w:val="20"/>
                <w:szCs w:val="20"/>
                <w:lang w:val="en-US"/>
              </w:rPr>
              <w:t>Se acceptă,</w:t>
            </w:r>
            <w:r w:rsidRPr="0049551E">
              <w:rPr>
                <w:rFonts w:ascii="Times New Roman" w:hAnsi="Times New Roman"/>
                <w:sz w:val="20"/>
                <w:szCs w:val="20"/>
                <w:lang w:val="en-US"/>
              </w:rPr>
              <w:t xml:space="preserve"> a se vedea pct. 11 din proiect.</w:t>
            </w:r>
          </w:p>
          <w:p w:rsidR="00D70642" w:rsidRPr="0049551E" w:rsidRDefault="00D70642" w:rsidP="001945C1">
            <w:pPr>
              <w:spacing w:after="0" w:line="240" w:lineRule="auto"/>
              <w:jc w:val="both"/>
              <w:rPr>
                <w:rFonts w:ascii="Times New Roman" w:hAnsi="Times New Roman"/>
                <w:sz w:val="20"/>
                <w:szCs w:val="20"/>
                <w:lang w:val="en-US"/>
              </w:rPr>
            </w:pPr>
          </w:p>
          <w:p w:rsidR="00D70642" w:rsidRPr="0049551E" w:rsidRDefault="00D70642" w:rsidP="001945C1">
            <w:pPr>
              <w:spacing w:after="0" w:line="240" w:lineRule="auto"/>
              <w:jc w:val="both"/>
              <w:rPr>
                <w:rFonts w:ascii="Times New Roman" w:hAnsi="Times New Roman"/>
                <w:sz w:val="20"/>
                <w:szCs w:val="20"/>
                <w:lang w:val="en-US"/>
              </w:rPr>
            </w:pPr>
            <w:r w:rsidRPr="0049551E">
              <w:rPr>
                <w:rFonts w:ascii="Times New Roman" w:hAnsi="Times New Roman"/>
                <w:b/>
                <w:sz w:val="20"/>
                <w:szCs w:val="20"/>
                <w:lang w:val="en-US"/>
              </w:rPr>
              <w:t>Se acceptă,</w:t>
            </w:r>
            <w:r w:rsidRPr="0049551E">
              <w:rPr>
                <w:rFonts w:ascii="Times New Roman" w:hAnsi="Times New Roman"/>
                <w:sz w:val="20"/>
                <w:szCs w:val="20"/>
                <w:lang w:val="en-US"/>
              </w:rPr>
              <w:t xml:space="preserve"> a se vedea pct. 11 din proiect</w:t>
            </w:r>
          </w:p>
          <w:p w:rsidR="00D70642" w:rsidRPr="0049551E" w:rsidRDefault="00D70642" w:rsidP="001945C1">
            <w:pPr>
              <w:spacing w:after="0" w:line="240" w:lineRule="auto"/>
              <w:jc w:val="both"/>
              <w:rPr>
                <w:rFonts w:ascii="Times New Roman" w:hAnsi="Times New Roman"/>
                <w:sz w:val="20"/>
                <w:szCs w:val="20"/>
                <w:lang w:val="en-US"/>
              </w:rPr>
            </w:pPr>
          </w:p>
          <w:p w:rsidR="00D70642" w:rsidRPr="0049551E" w:rsidRDefault="00D70642" w:rsidP="001945C1">
            <w:pPr>
              <w:spacing w:after="0" w:line="240" w:lineRule="auto"/>
              <w:jc w:val="both"/>
              <w:rPr>
                <w:rFonts w:ascii="Times New Roman" w:hAnsi="Times New Roman"/>
                <w:sz w:val="20"/>
                <w:szCs w:val="20"/>
                <w:lang w:val="en-US"/>
              </w:rPr>
            </w:pPr>
            <w:r w:rsidRPr="0049551E">
              <w:rPr>
                <w:rFonts w:ascii="Times New Roman" w:hAnsi="Times New Roman"/>
                <w:b/>
                <w:sz w:val="20"/>
                <w:szCs w:val="20"/>
                <w:lang w:val="en-US"/>
              </w:rPr>
              <w:t>Se acceptă,</w:t>
            </w:r>
            <w:r w:rsidRPr="0049551E">
              <w:rPr>
                <w:rFonts w:ascii="Times New Roman" w:hAnsi="Times New Roman"/>
                <w:sz w:val="20"/>
                <w:szCs w:val="20"/>
                <w:lang w:val="en-US"/>
              </w:rPr>
              <w:t xml:space="preserve"> a se vedea pct. 11 din proiect</w:t>
            </w:r>
          </w:p>
          <w:p w:rsidR="00D70642" w:rsidRPr="0049551E" w:rsidRDefault="00D70642" w:rsidP="001945C1">
            <w:pPr>
              <w:spacing w:after="0" w:line="240" w:lineRule="auto"/>
              <w:jc w:val="both"/>
              <w:rPr>
                <w:rFonts w:ascii="Times New Roman" w:hAnsi="Times New Roman"/>
                <w:sz w:val="20"/>
                <w:szCs w:val="20"/>
                <w:lang w:val="en-US"/>
              </w:rPr>
            </w:pPr>
          </w:p>
          <w:p w:rsidR="00D70642" w:rsidRPr="0049551E" w:rsidRDefault="00D70642" w:rsidP="001945C1">
            <w:pPr>
              <w:spacing w:after="0" w:line="240" w:lineRule="auto"/>
              <w:jc w:val="both"/>
              <w:rPr>
                <w:rFonts w:ascii="Times New Roman" w:hAnsi="Times New Roman"/>
                <w:sz w:val="20"/>
                <w:szCs w:val="20"/>
                <w:lang w:val="ro-RO"/>
              </w:rPr>
            </w:pPr>
            <w:r w:rsidRPr="0049551E">
              <w:rPr>
                <w:rFonts w:ascii="Times New Roman" w:hAnsi="Times New Roman"/>
                <w:b/>
                <w:sz w:val="20"/>
                <w:szCs w:val="20"/>
                <w:lang w:val="en-US"/>
              </w:rPr>
              <w:t>Nu se acceptă</w:t>
            </w:r>
            <w:r w:rsidRPr="0049551E">
              <w:rPr>
                <w:rFonts w:ascii="Times New Roman" w:hAnsi="Times New Roman"/>
                <w:sz w:val="20"/>
                <w:szCs w:val="20"/>
                <w:lang w:val="en-US"/>
              </w:rPr>
              <w:t xml:space="preserve"> Verificările (metrologice) care trebuie să fie efectuate de către Agenţia pentru Protecţia Consumatorilor sunt stipulate în </w:t>
            </w:r>
            <w:r w:rsidRPr="0049551E">
              <w:rPr>
                <w:rFonts w:ascii="Times New Roman" w:hAnsi="Times New Roman"/>
                <w:sz w:val="20"/>
                <w:szCs w:val="20"/>
                <w:lang w:val="ro-RO"/>
              </w:rPr>
              <w:t>Hotărîrea Guvernului nr. 936 din 09.12.2011 privind crearea Agenţiei pentru Protecţia Consumatorilor şi aprobarea Regulamentului, structurii şi efectivului-limită. În proiectul documentului în cauză sunt stipulate numai metodele de umplere a sticlelor utilizate ca recipiente de măsurare, precum şi aplicarea rezultatelor în dependenţă de metoda de prelevare aplicată.</w:t>
            </w:r>
          </w:p>
          <w:p w:rsidR="00D70642" w:rsidRPr="0049551E" w:rsidRDefault="00D70642" w:rsidP="001945C1">
            <w:pPr>
              <w:spacing w:after="0" w:line="240" w:lineRule="auto"/>
              <w:jc w:val="both"/>
              <w:rPr>
                <w:rFonts w:ascii="Times New Roman" w:hAnsi="Times New Roman"/>
                <w:sz w:val="20"/>
                <w:szCs w:val="20"/>
                <w:lang w:val="ro-RO"/>
              </w:rPr>
            </w:pPr>
          </w:p>
          <w:p w:rsidR="00D70642" w:rsidRPr="0049551E" w:rsidRDefault="00D70642" w:rsidP="001945C1">
            <w:pPr>
              <w:spacing w:after="0" w:line="240" w:lineRule="auto"/>
              <w:jc w:val="both"/>
              <w:rPr>
                <w:rFonts w:ascii="Times New Roman" w:hAnsi="Times New Roman"/>
                <w:sz w:val="20"/>
                <w:szCs w:val="20"/>
                <w:lang w:val="ro-RO"/>
              </w:rPr>
            </w:pPr>
            <w:r w:rsidRPr="0049551E">
              <w:rPr>
                <w:rFonts w:ascii="Times New Roman" w:hAnsi="Times New Roman"/>
                <w:b/>
                <w:sz w:val="20"/>
                <w:szCs w:val="20"/>
                <w:lang w:val="en-US"/>
              </w:rPr>
              <w:t>Se acceptă.</w:t>
            </w:r>
          </w:p>
          <w:p w:rsidR="00D70642" w:rsidRPr="0049551E" w:rsidRDefault="00D70642" w:rsidP="001945C1">
            <w:pPr>
              <w:spacing w:after="0" w:line="240" w:lineRule="auto"/>
              <w:jc w:val="both"/>
              <w:rPr>
                <w:rFonts w:ascii="Times New Roman" w:hAnsi="Times New Roman"/>
                <w:sz w:val="20"/>
                <w:szCs w:val="20"/>
                <w:lang w:val="en-US"/>
              </w:rPr>
            </w:pPr>
          </w:p>
          <w:p w:rsidR="00D70642" w:rsidRPr="0049551E" w:rsidRDefault="00D70642" w:rsidP="001945C1">
            <w:pPr>
              <w:spacing w:after="0" w:line="240" w:lineRule="auto"/>
              <w:jc w:val="both"/>
              <w:rPr>
                <w:rFonts w:ascii="Times New Roman" w:hAnsi="Times New Roman"/>
                <w:sz w:val="20"/>
                <w:szCs w:val="20"/>
                <w:lang w:val="en-US"/>
              </w:rPr>
            </w:pPr>
            <w:r w:rsidRPr="0049551E">
              <w:rPr>
                <w:rFonts w:ascii="Times New Roman" w:hAnsi="Times New Roman"/>
                <w:b/>
                <w:sz w:val="20"/>
                <w:szCs w:val="20"/>
                <w:lang w:val="en-US"/>
              </w:rPr>
              <w:t>Nu se acceptă</w:t>
            </w:r>
            <w:r w:rsidRPr="0049551E">
              <w:rPr>
                <w:rFonts w:ascii="Times New Roman" w:hAnsi="Times New Roman"/>
                <w:sz w:val="20"/>
                <w:szCs w:val="20"/>
                <w:lang w:val="en-US"/>
              </w:rPr>
              <w:t>, planul de eşantionare nu este necesar de întocmit şi de aprobat din motivul că eşantionarea va fi efectuată printr-o singură metodă, care este stipulată în acest proiect.</w:t>
            </w:r>
          </w:p>
          <w:p w:rsidR="00D70642" w:rsidRPr="0049551E" w:rsidRDefault="00D70642" w:rsidP="001945C1">
            <w:pPr>
              <w:spacing w:after="0" w:line="240" w:lineRule="auto"/>
              <w:jc w:val="both"/>
              <w:rPr>
                <w:rFonts w:ascii="Times New Roman" w:hAnsi="Times New Roman"/>
                <w:sz w:val="20"/>
                <w:szCs w:val="20"/>
                <w:lang w:val="en-US"/>
              </w:rPr>
            </w:pPr>
          </w:p>
          <w:p w:rsidR="00D70642" w:rsidRPr="0049551E" w:rsidRDefault="00D70642" w:rsidP="00102177">
            <w:pPr>
              <w:spacing w:after="0" w:line="240" w:lineRule="auto"/>
              <w:jc w:val="both"/>
              <w:rPr>
                <w:rFonts w:ascii="Times New Roman" w:hAnsi="Times New Roman"/>
                <w:sz w:val="20"/>
                <w:szCs w:val="20"/>
                <w:lang w:val="ro-RO"/>
              </w:rPr>
            </w:pPr>
            <w:r w:rsidRPr="0049551E">
              <w:rPr>
                <w:rFonts w:ascii="Times New Roman" w:hAnsi="Times New Roman"/>
                <w:b/>
                <w:sz w:val="20"/>
                <w:szCs w:val="20"/>
                <w:lang w:val="en-US"/>
              </w:rPr>
              <w:t>Se acceptă.</w:t>
            </w:r>
          </w:p>
          <w:p w:rsidR="00D70642" w:rsidRPr="0049551E" w:rsidRDefault="00D70642" w:rsidP="001945C1">
            <w:pPr>
              <w:spacing w:after="0" w:line="240" w:lineRule="auto"/>
              <w:jc w:val="both"/>
              <w:rPr>
                <w:rFonts w:ascii="Times New Roman" w:hAnsi="Times New Roman"/>
                <w:sz w:val="20"/>
                <w:szCs w:val="20"/>
                <w:lang w:val="en-US"/>
              </w:rPr>
            </w:pPr>
          </w:p>
          <w:p w:rsidR="00D70642" w:rsidRPr="0049551E" w:rsidRDefault="00D70642" w:rsidP="00102177">
            <w:pPr>
              <w:spacing w:after="0" w:line="240" w:lineRule="auto"/>
              <w:jc w:val="both"/>
              <w:rPr>
                <w:rFonts w:ascii="Times New Roman" w:hAnsi="Times New Roman"/>
                <w:sz w:val="20"/>
                <w:szCs w:val="20"/>
                <w:lang w:val="ro-RO"/>
              </w:rPr>
            </w:pPr>
            <w:r w:rsidRPr="0049551E">
              <w:rPr>
                <w:rFonts w:ascii="Times New Roman" w:hAnsi="Times New Roman"/>
                <w:b/>
                <w:sz w:val="20"/>
                <w:szCs w:val="20"/>
                <w:lang w:val="en-US"/>
              </w:rPr>
              <w:t xml:space="preserve">Se acceptă parţial. </w:t>
            </w:r>
            <w:r w:rsidRPr="0049551E">
              <w:rPr>
                <w:rFonts w:ascii="Times New Roman" w:hAnsi="Times New Roman"/>
                <w:sz w:val="20"/>
                <w:szCs w:val="20"/>
                <w:lang w:val="en-US"/>
              </w:rPr>
              <w:t>Acest document nu este un simplu Regulament, ci un</w:t>
            </w:r>
            <w:r w:rsidRPr="0049551E">
              <w:rPr>
                <w:rFonts w:ascii="Times New Roman" w:hAnsi="Times New Roman"/>
                <w:b/>
                <w:sz w:val="20"/>
                <w:szCs w:val="20"/>
                <w:lang w:val="en-US"/>
              </w:rPr>
              <w:t xml:space="preserve"> </w:t>
            </w:r>
            <w:r w:rsidRPr="0049551E">
              <w:rPr>
                <w:rFonts w:ascii="Times New Roman" w:hAnsi="Times New Roman"/>
                <w:sz w:val="20"/>
                <w:szCs w:val="20"/>
                <w:lang w:val="en-US"/>
              </w:rPr>
              <w:t>Regulament general de metrologie legală, care stabileşte cerinţe pentru ambalajele produselor preambalate, şi anume, pentru sticle sau alte ambalaje care au aceeiaşi rigiditate ca şi sticla, fiind folosite ca recipiente de măsurare la preambalarea produselor.</w:t>
            </w:r>
          </w:p>
          <w:p w:rsidR="00D70642" w:rsidRPr="0049551E" w:rsidRDefault="00D70642" w:rsidP="0007627B">
            <w:pPr>
              <w:spacing w:after="0" w:line="240" w:lineRule="auto"/>
              <w:jc w:val="both"/>
              <w:rPr>
                <w:rFonts w:ascii="Times New Roman" w:hAnsi="Times New Roman"/>
                <w:b/>
                <w:sz w:val="20"/>
                <w:szCs w:val="20"/>
                <w:lang w:val="en-US"/>
              </w:rPr>
            </w:pPr>
          </w:p>
          <w:p w:rsidR="00D70642" w:rsidRPr="0049551E" w:rsidRDefault="00D70642" w:rsidP="001945C1">
            <w:pPr>
              <w:spacing w:after="0" w:line="240" w:lineRule="auto"/>
              <w:jc w:val="both"/>
              <w:rPr>
                <w:rFonts w:ascii="Times New Roman" w:hAnsi="Times New Roman"/>
                <w:sz w:val="20"/>
                <w:szCs w:val="20"/>
                <w:lang w:val="en-US"/>
              </w:rPr>
            </w:pPr>
            <w:r w:rsidRPr="0049551E">
              <w:rPr>
                <w:rFonts w:ascii="Times New Roman" w:hAnsi="Times New Roman"/>
                <w:b/>
                <w:sz w:val="20"/>
                <w:szCs w:val="20"/>
                <w:lang w:val="en-US"/>
              </w:rPr>
              <w:t xml:space="preserve">Se acceptă. </w:t>
            </w:r>
          </w:p>
        </w:tc>
      </w:tr>
    </w:tbl>
    <w:p w:rsidR="00D70642" w:rsidRPr="0049551E" w:rsidRDefault="00D70642" w:rsidP="00A5262D">
      <w:pPr>
        <w:rPr>
          <w:rFonts w:ascii="Times New Roman" w:hAnsi="Times New Roman"/>
          <w:sz w:val="20"/>
          <w:szCs w:val="20"/>
          <w:lang w:val="ro-RO"/>
        </w:rPr>
      </w:pPr>
    </w:p>
    <w:sectPr w:rsidR="00D70642" w:rsidRPr="0049551E" w:rsidSect="007A2F8B">
      <w:footerReference w:type="even" r:id="rId7"/>
      <w:footerReference w:type="default" r:id="rId8"/>
      <w:pgSz w:w="16838" w:h="11906" w:orient="landscape"/>
      <w:pgMar w:top="902" w:right="1140" w:bottom="851" w:left="11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0642" w:rsidRDefault="00D70642" w:rsidP="001D0089">
      <w:pPr>
        <w:spacing w:after="0" w:line="240" w:lineRule="auto"/>
      </w:pPr>
      <w:r>
        <w:separator/>
      </w:r>
    </w:p>
  </w:endnote>
  <w:endnote w:type="continuationSeparator" w:id="1">
    <w:p w:rsidR="00D70642" w:rsidRDefault="00D70642" w:rsidP="001D008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0642" w:rsidRDefault="00D70642" w:rsidP="00AA113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70642" w:rsidRDefault="00D70642" w:rsidP="00880FCE">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0642" w:rsidRDefault="00D70642" w:rsidP="00AA113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D70642" w:rsidRDefault="00D70642" w:rsidP="00880FCE">
    <w:pPr>
      <w:pStyle w:val="Footer"/>
      <w:ind w:right="360"/>
      <w:jc w:val="right"/>
    </w:pPr>
  </w:p>
  <w:p w:rsidR="00D70642" w:rsidRDefault="00D7064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0642" w:rsidRDefault="00D70642" w:rsidP="001D0089">
      <w:pPr>
        <w:spacing w:after="0" w:line="240" w:lineRule="auto"/>
      </w:pPr>
      <w:r>
        <w:separator/>
      </w:r>
    </w:p>
  </w:footnote>
  <w:footnote w:type="continuationSeparator" w:id="1">
    <w:p w:rsidR="00D70642" w:rsidRDefault="00D70642" w:rsidP="001D008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0329960"/>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F2D6978A"/>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86C254EA"/>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70B698BA"/>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889AFD9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2E90D84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C20BB8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8152C9D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9E05B70"/>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433816D0"/>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2"/>
        <w:szCs w:val="22"/>
        <w:u w:val="none"/>
      </w:rPr>
    </w:lvl>
  </w:abstractNum>
  <w:abstractNum w:abstractNumId="11">
    <w:nsid w:val="2DCD4EE2"/>
    <w:multiLevelType w:val="hybridMultilevel"/>
    <w:tmpl w:val="272644A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47DA38BC"/>
    <w:multiLevelType w:val="hybridMultilevel"/>
    <w:tmpl w:val="FEEC6636"/>
    <w:lvl w:ilvl="0" w:tplc="927ADB9E">
      <w:start w:val="2"/>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2"/>
  </w:num>
  <w:num w:numId="2">
    <w:abstractNumId w:val="10"/>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20D1A"/>
    <w:rsid w:val="0000042E"/>
    <w:rsid w:val="0000220E"/>
    <w:rsid w:val="000133FE"/>
    <w:rsid w:val="000139CD"/>
    <w:rsid w:val="0001687E"/>
    <w:rsid w:val="000224BF"/>
    <w:rsid w:val="0002726A"/>
    <w:rsid w:val="00054CAA"/>
    <w:rsid w:val="0007627B"/>
    <w:rsid w:val="0008457F"/>
    <w:rsid w:val="0009213D"/>
    <w:rsid w:val="00095BA3"/>
    <w:rsid w:val="000A4653"/>
    <w:rsid w:val="000B35D8"/>
    <w:rsid w:val="000B764A"/>
    <w:rsid w:val="000C04AA"/>
    <w:rsid w:val="000C1B5E"/>
    <w:rsid w:val="000C6C20"/>
    <w:rsid w:val="000E2BF6"/>
    <w:rsid w:val="000E39D0"/>
    <w:rsid w:val="000E6B69"/>
    <w:rsid w:val="00100CE1"/>
    <w:rsid w:val="00102177"/>
    <w:rsid w:val="001218F9"/>
    <w:rsid w:val="00141576"/>
    <w:rsid w:val="0015770D"/>
    <w:rsid w:val="00161EA5"/>
    <w:rsid w:val="0016463D"/>
    <w:rsid w:val="00167107"/>
    <w:rsid w:val="0016741B"/>
    <w:rsid w:val="00177E50"/>
    <w:rsid w:val="001855BF"/>
    <w:rsid w:val="001945C1"/>
    <w:rsid w:val="001B1125"/>
    <w:rsid w:val="001B26D0"/>
    <w:rsid w:val="001B6BDF"/>
    <w:rsid w:val="001C1DA2"/>
    <w:rsid w:val="001C376D"/>
    <w:rsid w:val="001D0089"/>
    <w:rsid w:val="00212E50"/>
    <w:rsid w:val="002338D8"/>
    <w:rsid w:val="00241EDB"/>
    <w:rsid w:val="002434A6"/>
    <w:rsid w:val="002455A3"/>
    <w:rsid w:val="0025160A"/>
    <w:rsid w:val="00253389"/>
    <w:rsid w:val="0027380E"/>
    <w:rsid w:val="00282ACB"/>
    <w:rsid w:val="002846F1"/>
    <w:rsid w:val="0028477E"/>
    <w:rsid w:val="00294EFD"/>
    <w:rsid w:val="002A033A"/>
    <w:rsid w:val="002B1A9F"/>
    <w:rsid w:val="002B3D92"/>
    <w:rsid w:val="002D0138"/>
    <w:rsid w:val="002D064F"/>
    <w:rsid w:val="002D3208"/>
    <w:rsid w:val="002D47C1"/>
    <w:rsid w:val="002E0649"/>
    <w:rsid w:val="002E7B64"/>
    <w:rsid w:val="002F1B56"/>
    <w:rsid w:val="002F1D14"/>
    <w:rsid w:val="00314BFB"/>
    <w:rsid w:val="003158C0"/>
    <w:rsid w:val="003215C6"/>
    <w:rsid w:val="0034286F"/>
    <w:rsid w:val="0034443A"/>
    <w:rsid w:val="003451FA"/>
    <w:rsid w:val="00351ED8"/>
    <w:rsid w:val="00364E84"/>
    <w:rsid w:val="003712FF"/>
    <w:rsid w:val="00376150"/>
    <w:rsid w:val="00384413"/>
    <w:rsid w:val="003939FC"/>
    <w:rsid w:val="003942C9"/>
    <w:rsid w:val="00395390"/>
    <w:rsid w:val="00396995"/>
    <w:rsid w:val="0039774F"/>
    <w:rsid w:val="003A1E85"/>
    <w:rsid w:val="003A2612"/>
    <w:rsid w:val="003A7CF7"/>
    <w:rsid w:val="003B2BAB"/>
    <w:rsid w:val="003C2741"/>
    <w:rsid w:val="003C2CF3"/>
    <w:rsid w:val="003C5501"/>
    <w:rsid w:val="003D06C3"/>
    <w:rsid w:val="003F5B79"/>
    <w:rsid w:val="004023CB"/>
    <w:rsid w:val="0040296C"/>
    <w:rsid w:val="00407CFB"/>
    <w:rsid w:val="0042231B"/>
    <w:rsid w:val="0043081C"/>
    <w:rsid w:val="00432994"/>
    <w:rsid w:val="00435388"/>
    <w:rsid w:val="00437B0F"/>
    <w:rsid w:val="0045399F"/>
    <w:rsid w:val="00460F6F"/>
    <w:rsid w:val="00461FB1"/>
    <w:rsid w:val="00480BB0"/>
    <w:rsid w:val="00485965"/>
    <w:rsid w:val="00485AE8"/>
    <w:rsid w:val="00487305"/>
    <w:rsid w:val="0049417E"/>
    <w:rsid w:val="0049551E"/>
    <w:rsid w:val="00497FAD"/>
    <w:rsid w:val="004A292E"/>
    <w:rsid w:val="004A679D"/>
    <w:rsid w:val="004B2667"/>
    <w:rsid w:val="004B4432"/>
    <w:rsid w:val="004B722F"/>
    <w:rsid w:val="004C11DF"/>
    <w:rsid w:val="004C16C2"/>
    <w:rsid w:val="004C39D2"/>
    <w:rsid w:val="004E400D"/>
    <w:rsid w:val="004F76A2"/>
    <w:rsid w:val="00516461"/>
    <w:rsid w:val="00533C51"/>
    <w:rsid w:val="00565E39"/>
    <w:rsid w:val="005767EF"/>
    <w:rsid w:val="00587081"/>
    <w:rsid w:val="00596624"/>
    <w:rsid w:val="005A0C4C"/>
    <w:rsid w:val="005B1239"/>
    <w:rsid w:val="005B299B"/>
    <w:rsid w:val="005B48E4"/>
    <w:rsid w:val="005B7181"/>
    <w:rsid w:val="005C0838"/>
    <w:rsid w:val="005C78FE"/>
    <w:rsid w:val="005F2FC8"/>
    <w:rsid w:val="005F431F"/>
    <w:rsid w:val="00617BB0"/>
    <w:rsid w:val="00631711"/>
    <w:rsid w:val="0064630A"/>
    <w:rsid w:val="00685D5C"/>
    <w:rsid w:val="006866D1"/>
    <w:rsid w:val="00687824"/>
    <w:rsid w:val="00691D39"/>
    <w:rsid w:val="0069418E"/>
    <w:rsid w:val="006A5CE6"/>
    <w:rsid w:val="006B6494"/>
    <w:rsid w:val="006D2410"/>
    <w:rsid w:val="006E586D"/>
    <w:rsid w:val="006F2B92"/>
    <w:rsid w:val="00707CEF"/>
    <w:rsid w:val="00720D1A"/>
    <w:rsid w:val="007211AF"/>
    <w:rsid w:val="0072783D"/>
    <w:rsid w:val="007345F0"/>
    <w:rsid w:val="0073766F"/>
    <w:rsid w:val="00747BB7"/>
    <w:rsid w:val="00755C3A"/>
    <w:rsid w:val="00756C9B"/>
    <w:rsid w:val="00761F43"/>
    <w:rsid w:val="00773943"/>
    <w:rsid w:val="00783E4A"/>
    <w:rsid w:val="00783F5B"/>
    <w:rsid w:val="007937B7"/>
    <w:rsid w:val="007970D7"/>
    <w:rsid w:val="007A2F8B"/>
    <w:rsid w:val="007C4D77"/>
    <w:rsid w:val="007C4F0C"/>
    <w:rsid w:val="008016A8"/>
    <w:rsid w:val="008111CB"/>
    <w:rsid w:val="00815746"/>
    <w:rsid w:val="00852E12"/>
    <w:rsid w:val="00873955"/>
    <w:rsid w:val="00880FCE"/>
    <w:rsid w:val="008A11DD"/>
    <w:rsid w:val="008A39A2"/>
    <w:rsid w:val="008A3B4F"/>
    <w:rsid w:val="008A3D78"/>
    <w:rsid w:val="008B02F7"/>
    <w:rsid w:val="008B1980"/>
    <w:rsid w:val="008B697C"/>
    <w:rsid w:val="008C3D3F"/>
    <w:rsid w:val="008E5794"/>
    <w:rsid w:val="008E7CB5"/>
    <w:rsid w:val="008F55D6"/>
    <w:rsid w:val="0090345D"/>
    <w:rsid w:val="00925C3E"/>
    <w:rsid w:val="009438D6"/>
    <w:rsid w:val="00971A59"/>
    <w:rsid w:val="009817FF"/>
    <w:rsid w:val="009A1005"/>
    <w:rsid w:val="009A1F43"/>
    <w:rsid w:val="009B51A1"/>
    <w:rsid w:val="00A11F2C"/>
    <w:rsid w:val="00A37835"/>
    <w:rsid w:val="00A42239"/>
    <w:rsid w:val="00A46B86"/>
    <w:rsid w:val="00A46F45"/>
    <w:rsid w:val="00A50E3E"/>
    <w:rsid w:val="00A5262D"/>
    <w:rsid w:val="00A71DE6"/>
    <w:rsid w:val="00A73525"/>
    <w:rsid w:val="00A75D5F"/>
    <w:rsid w:val="00A92739"/>
    <w:rsid w:val="00AA113C"/>
    <w:rsid w:val="00AA1847"/>
    <w:rsid w:val="00AA6584"/>
    <w:rsid w:val="00AA738D"/>
    <w:rsid w:val="00AB520F"/>
    <w:rsid w:val="00AC5EBD"/>
    <w:rsid w:val="00AD32B8"/>
    <w:rsid w:val="00AD69BC"/>
    <w:rsid w:val="00AE37FC"/>
    <w:rsid w:val="00AE511E"/>
    <w:rsid w:val="00AF107C"/>
    <w:rsid w:val="00B65CB0"/>
    <w:rsid w:val="00B74DA9"/>
    <w:rsid w:val="00BB186E"/>
    <w:rsid w:val="00BC79D1"/>
    <w:rsid w:val="00BD0B12"/>
    <w:rsid w:val="00BD258B"/>
    <w:rsid w:val="00BF3D43"/>
    <w:rsid w:val="00BF6C90"/>
    <w:rsid w:val="00BF7D7B"/>
    <w:rsid w:val="00C04601"/>
    <w:rsid w:val="00C118AF"/>
    <w:rsid w:val="00C1749A"/>
    <w:rsid w:val="00C21D9E"/>
    <w:rsid w:val="00C32696"/>
    <w:rsid w:val="00C446F2"/>
    <w:rsid w:val="00C62116"/>
    <w:rsid w:val="00C77E83"/>
    <w:rsid w:val="00C833DE"/>
    <w:rsid w:val="00C83DC4"/>
    <w:rsid w:val="00C84A0B"/>
    <w:rsid w:val="00C87999"/>
    <w:rsid w:val="00C902FE"/>
    <w:rsid w:val="00CC03F3"/>
    <w:rsid w:val="00CC29F4"/>
    <w:rsid w:val="00CC630E"/>
    <w:rsid w:val="00CD0D49"/>
    <w:rsid w:val="00CD2575"/>
    <w:rsid w:val="00CD646A"/>
    <w:rsid w:val="00CE5996"/>
    <w:rsid w:val="00CF4DD4"/>
    <w:rsid w:val="00D0205B"/>
    <w:rsid w:val="00D2215D"/>
    <w:rsid w:val="00D337ED"/>
    <w:rsid w:val="00D56DC5"/>
    <w:rsid w:val="00D61821"/>
    <w:rsid w:val="00D70642"/>
    <w:rsid w:val="00D83F95"/>
    <w:rsid w:val="00D84C8A"/>
    <w:rsid w:val="00D84F20"/>
    <w:rsid w:val="00D87E80"/>
    <w:rsid w:val="00DA61F5"/>
    <w:rsid w:val="00DB3313"/>
    <w:rsid w:val="00DD17D8"/>
    <w:rsid w:val="00DD36E4"/>
    <w:rsid w:val="00DE713F"/>
    <w:rsid w:val="00DF180F"/>
    <w:rsid w:val="00DF7826"/>
    <w:rsid w:val="00E1604B"/>
    <w:rsid w:val="00E232B6"/>
    <w:rsid w:val="00E23E6C"/>
    <w:rsid w:val="00E30A93"/>
    <w:rsid w:val="00E31DB8"/>
    <w:rsid w:val="00E73E07"/>
    <w:rsid w:val="00E74066"/>
    <w:rsid w:val="00EA7342"/>
    <w:rsid w:val="00EB6E31"/>
    <w:rsid w:val="00EC0A01"/>
    <w:rsid w:val="00ED7F22"/>
    <w:rsid w:val="00EF027D"/>
    <w:rsid w:val="00F0128F"/>
    <w:rsid w:val="00F11525"/>
    <w:rsid w:val="00F16510"/>
    <w:rsid w:val="00F334EA"/>
    <w:rsid w:val="00F3398B"/>
    <w:rsid w:val="00F7410D"/>
    <w:rsid w:val="00F75A7F"/>
    <w:rsid w:val="00F80930"/>
    <w:rsid w:val="00FA5EC6"/>
    <w:rsid w:val="00FA7D8C"/>
    <w:rsid w:val="00FB03B0"/>
    <w:rsid w:val="00FB3683"/>
    <w:rsid w:val="00FD75EA"/>
    <w:rsid w:val="00FD7E8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7BB0"/>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720D1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99"/>
    <w:qFormat/>
    <w:rsid w:val="00FB03B0"/>
    <w:rPr>
      <w:lang w:eastAsia="en-US"/>
    </w:rPr>
  </w:style>
  <w:style w:type="character" w:customStyle="1" w:styleId="69">
    <w:name w:val="Основной текст (6) + 9"/>
    <w:aliases w:val="5 pt,Полужирный,Курсив,Интервал 1 pt,Основной текст + 11 pt,Основной текст + 9,Основной текст + 10,5 pt4,Основной текст + Полужирный"/>
    <w:uiPriority w:val="99"/>
    <w:rsid w:val="007345F0"/>
    <w:rPr>
      <w:rFonts w:ascii="Times New Roman" w:hAnsi="Times New Roman"/>
      <w:b/>
      <w:i/>
      <w:spacing w:val="20"/>
      <w:sz w:val="19"/>
      <w:shd w:val="clear" w:color="auto" w:fill="FFFFFF"/>
    </w:rPr>
  </w:style>
  <w:style w:type="character" w:customStyle="1" w:styleId="410">
    <w:name w:val="Основной текст (4) + 10"/>
    <w:aliases w:val="5 pt3,Курсив1"/>
    <w:uiPriority w:val="99"/>
    <w:rsid w:val="007345F0"/>
    <w:rPr>
      <w:rFonts w:ascii="Times New Roman" w:hAnsi="Times New Roman"/>
      <w:i/>
      <w:sz w:val="21"/>
      <w:shd w:val="clear" w:color="auto" w:fill="FFFFFF"/>
    </w:rPr>
  </w:style>
  <w:style w:type="character" w:customStyle="1" w:styleId="310">
    <w:name w:val="Основной текст (3) + 10"/>
    <w:aliases w:val="5 pt2,Не курсив2"/>
    <w:uiPriority w:val="99"/>
    <w:rsid w:val="007345F0"/>
    <w:rPr>
      <w:rFonts w:ascii="Times New Roman" w:hAnsi="Times New Roman"/>
      <w:b/>
      <w:i/>
      <w:sz w:val="21"/>
      <w:shd w:val="clear" w:color="auto" w:fill="FFFFFF"/>
    </w:rPr>
  </w:style>
  <w:style w:type="character" w:customStyle="1" w:styleId="3101">
    <w:name w:val="Основной текст (3) + 101"/>
    <w:aliases w:val="5 pt1"/>
    <w:uiPriority w:val="99"/>
    <w:rsid w:val="007345F0"/>
    <w:rPr>
      <w:rFonts w:ascii="Times New Roman" w:hAnsi="Times New Roman"/>
      <w:b/>
      <w:i/>
      <w:sz w:val="21"/>
      <w:shd w:val="clear" w:color="auto" w:fill="FFFFFF"/>
    </w:rPr>
  </w:style>
  <w:style w:type="character" w:customStyle="1" w:styleId="310pt">
    <w:name w:val="Основной текст (3) + 10 pt"/>
    <w:aliases w:val="Не полужирный1,Не курсив1"/>
    <w:uiPriority w:val="99"/>
    <w:rsid w:val="007345F0"/>
    <w:rPr>
      <w:rFonts w:ascii="Times New Roman" w:hAnsi="Times New Roman"/>
      <w:b/>
      <w:i/>
      <w:sz w:val="20"/>
      <w:shd w:val="clear" w:color="auto" w:fill="FFFFFF"/>
    </w:rPr>
  </w:style>
  <w:style w:type="character" w:customStyle="1" w:styleId="4">
    <w:name w:val="Основной текст (4) + Не курсив"/>
    <w:uiPriority w:val="99"/>
    <w:rsid w:val="007345F0"/>
    <w:rPr>
      <w:rFonts w:ascii="Times New Roman" w:hAnsi="Times New Roman"/>
      <w:i/>
      <w:sz w:val="23"/>
      <w:shd w:val="clear" w:color="auto" w:fill="FFFFFF"/>
    </w:rPr>
  </w:style>
  <w:style w:type="character" w:customStyle="1" w:styleId="41">
    <w:name w:val="Основной текст (4) + Не курсив1"/>
    <w:aliases w:val="Интервал 0 pt"/>
    <w:uiPriority w:val="99"/>
    <w:rsid w:val="007345F0"/>
    <w:rPr>
      <w:rFonts w:ascii="Times New Roman" w:hAnsi="Times New Roman"/>
      <w:i/>
      <w:spacing w:val="10"/>
      <w:sz w:val="23"/>
      <w:u w:val="single"/>
      <w:shd w:val="clear" w:color="auto" w:fill="FFFFFF"/>
    </w:rPr>
  </w:style>
  <w:style w:type="character" w:customStyle="1" w:styleId="0pt">
    <w:name w:val="Основной текст + Интервал 0 pt"/>
    <w:uiPriority w:val="99"/>
    <w:rsid w:val="007345F0"/>
    <w:rPr>
      <w:rFonts w:ascii="Times New Roman" w:hAnsi="Times New Roman"/>
      <w:spacing w:val="10"/>
      <w:sz w:val="23"/>
      <w:shd w:val="clear" w:color="auto" w:fill="FFFFFF"/>
    </w:rPr>
  </w:style>
  <w:style w:type="character" w:customStyle="1" w:styleId="SegoeUI">
    <w:name w:val="Основной текст + Segoe UI"/>
    <w:aliases w:val="9 pt,Интервал 0 pt1"/>
    <w:uiPriority w:val="99"/>
    <w:rsid w:val="007345F0"/>
    <w:rPr>
      <w:rFonts w:ascii="Segoe UI" w:hAnsi="Segoe UI"/>
      <w:spacing w:val="10"/>
      <w:sz w:val="18"/>
      <w:shd w:val="clear" w:color="auto" w:fill="FFFFFF"/>
    </w:rPr>
  </w:style>
  <w:style w:type="character" w:customStyle="1" w:styleId="a">
    <w:name w:val="Основной текст + Курсив"/>
    <w:uiPriority w:val="99"/>
    <w:rsid w:val="007345F0"/>
    <w:rPr>
      <w:rFonts w:ascii="Times New Roman" w:hAnsi="Times New Roman"/>
      <w:i/>
      <w:spacing w:val="0"/>
      <w:sz w:val="23"/>
      <w:shd w:val="clear" w:color="auto" w:fill="FFFFFF"/>
    </w:rPr>
  </w:style>
  <w:style w:type="paragraph" w:styleId="NormalWeb">
    <w:name w:val="Normal (Web)"/>
    <w:basedOn w:val="Normal"/>
    <w:uiPriority w:val="99"/>
    <w:rsid w:val="007345F0"/>
    <w:pPr>
      <w:spacing w:after="0" w:line="240" w:lineRule="auto"/>
      <w:ind w:firstLine="567"/>
      <w:jc w:val="both"/>
    </w:pPr>
    <w:rPr>
      <w:rFonts w:ascii="Times New Roman" w:eastAsia="Times New Roman" w:hAnsi="Times New Roman"/>
      <w:sz w:val="24"/>
      <w:szCs w:val="24"/>
      <w:lang w:eastAsia="ru-RU"/>
    </w:rPr>
  </w:style>
  <w:style w:type="character" w:customStyle="1" w:styleId="229pt">
    <w:name w:val="Основной текст (2) + 29 pt"/>
    <w:aliases w:val="Не курсив"/>
    <w:uiPriority w:val="99"/>
    <w:rsid w:val="007345F0"/>
    <w:rPr>
      <w:rFonts w:ascii="Times New Roman" w:hAnsi="Times New Roman"/>
      <w:i/>
      <w:sz w:val="58"/>
      <w:shd w:val="clear" w:color="auto" w:fill="FFFFFF"/>
    </w:rPr>
  </w:style>
  <w:style w:type="character" w:customStyle="1" w:styleId="211">
    <w:name w:val="Основной текст (2) + 11"/>
    <w:aliases w:val="5 pt6,Не курсив3"/>
    <w:uiPriority w:val="99"/>
    <w:rsid w:val="007345F0"/>
    <w:rPr>
      <w:rFonts w:ascii="Times New Roman" w:hAnsi="Times New Roman"/>
      <w:i/>
      <w:sz w:val="23"/>
      <w:shd w:val="clear" w:color="auto" w:fill="FFFFFF"/>
    </w:rPr>
  </w:style>
  <w:style w:type="character" w:customStyle="1" w:styleId="2111">
    <w:name w:val="Основной текст (2) + 111"/>
    <w:aliases w:val="5 pt5,Полужирный1"/>
    <w:uiPriority w:val="99"/>
    <w:rsid w:val="007345F0"/>
    <w:rPr>
      <w:rFonts w:ascii="Times New Roman" w:hAnsi="Times New Roman"/>
      <w:b/>
      <w:sz w:val="23"/>
      <w:shd w:val="clear" w:color="auto" w:fill="FFFFFF"/>
    </w:rPr>
  </w:style>
  <w:style w:type="paragraph" w:styleId="Header">
    <w:name w:val="header"/>
    <w:basedOn w:val="Normal"/>
    <w:link w:val="HeaderChar"/>
    <w:uiPriority w:val="99"/>
    <w:rsid w:val="001D0089"/>
    <w:pPr>
      <w:tabs>
        <w:tab w:val="center" w:pos="4677"/>
        <w:tab w:val="right" w:pos="9355"/>
      </w:tabs>
      <w:spacing w:after="0" w:line="240" w:lineRule="auto"/>
    </w:pPr>
    <w:rPr>
      <w:sz w:val="20"/>
      <w:szCs w:val="20"/>
      <w:lang w:eastAsia="ru-RU"/>
    </w:rPr>
  </w:style>
  <w:style w:type="character" w:customStyle="1" w:styleId="HeaderChar">
    <w:name w:val="Header Char"/>
    <w:basedOn w:val="DefaultParagraphFont"/>
    <w:link w:val="Header"/>
    <w:uiPriority w:val="99"/>
    <w:locked/>
    <w:rsid w:val="001D0089"/>
    <w:rPr>
      <w:rFonts w:cs="Times New Roman"/>
    </w:rPr>
  </w:style>
  <w:style w:type="paragraph" w:styleId="Footer">
    <w:name w:val="footer"/>
    <w:basedOn w:val="Normal"/>
    <w:link w:val="FooterChar"/>
    <w:uiPriority w:val="99"/>
    <w:rsid w:val="001D0089"/>
    <w:pPr>
      <w:tabs>
        <w:tab w:val="center" w:pos="4677"/>
        <w:tab w:val="right" w:pos="9355"/>
      </w:tabs>
      <w:spacing w:after="0" w:line="240" w:lineRule="auto"/>
    </w:pPr>
    <w:rPr>
      <w:sz w:val="20"/>
      <w:szCs w:val="20"/>
      <w:lang w:eastAsia="ru-RU"/>
    </w:rPr>
  </w:style>
  <w:style w:type="character" w:customStyle="1" w:styleId="FooterChar">
    <w:name w:val="Footer Char"/>
    <w:basedOn w:val="DefaultParagraphFont"/>
    <w:link w:val="Footer"/>
    <w:uiPriority w:val="99"/>
    <w:locked/>
    <w:rsid w:val="001D0089"/>
    <w:rPr>
      <w:rFonts w:cs="Times New Roman"/>
    </w:rPr>
  </w:style>
  <w:style w:type="character" w:customStyle="1" w:styleId="a0">
    <w:name w:val="Основной текст_"/>
    <w:link w:val="1"/>
    <w:uiPriority w:val="99"/>
    <w:locked/>
    <w:rsid w:val="005B48E4"/>
    <w:rPr>
      <w:rFonts w:ascii="Times New Roman" w:hAnsi="Times New Roman"/>
      <w:sz w:val="25"/>
      <w:shd w:val="clear" w:color="auto" w:fill="FFFFFF"/>
    </w:rPr>
  </w:style>
  <w:style w:type="paragraph" w:customStyle="1" w:styleId="1">
    <w:name w:val="Основной текст1"/>
    <w:basedOn w:val="Normal"/>
    <w:link w:val="a0"/>
    <w:uiPriority w:val="99"/>
    <w:rsid w:val="005B48E4"/>
    <w:pPr>
      <w:shd w:val="clear" w:color="auto" w:fill="FFFFFF"/>
      <w:spacing w:before="240" w:after="0" w:line="322" w:lineRule="exact"/>
      <w:ind w:firstLine="380"/>
      <w:jc w:val="both"/>
    </w:pPr>
    <w:rPr>
      <w:rFonts w:ascii="Times New Roman" w:hAnsi="Times New Roman"/>
      <w:sz w:val="25"/>
      <w:szCs w:val="20"/>
      <w:lang w:eastAsia="ru-RU"/>
    </w:rPr>
  </w:style>
  <w:style w:type="character" w:customStyle="1" w:styleId="8">
    <w:name w:val="Основной текст (8) + Не курсив"/>
    <w:uiPriority w:val="99"/>
    <w:rsid w:val="00E31DB8"/>
    <w:rPr>
      <w:rFonts w:ascii="Arial" w:hAnsi="Arial"/>
      <w:i/>
      <w:spacing w:val="0"/>
      <w:sz w:val="22"/>
    </w:rPr>
  </w:style>
  <w:style w:type="character" w:customStyle="1" w:styleId="BodyTextChar1">
    <w:name w:val="Body Text Char1"/>
    <w:basedOn w:val="DefaultParagraphFont"/>
    <w:link w:val="BodyText"/>
    <w:uiPriority w:val="99"/>
    <w:locked/>
    <w:rsid w:val="0028477E"/>
    <w:rPr>
      <w:rFonts w:cs="Times New Roman"/>
      <w:spacing w:val="10"/>
      <w:sz w:val="22"/>
      <w:szCs w:val="22"/>
      <w:lang w:bidi="ar-SA"/>
    </w:rPr>
  </w:style>
  <w:style w:type="paragraph" w:styleId="BodyText">
    <w:name w:val="Body Text"/>
    <w:basedOn w:val="Normal"/>
    <w:link w:val="BodyTextChar1"/>
    <w:uiPriority w:val="99"/>
    <w:rsid w:val="0028477E"/>
    <w:pPr>
      <w:shd w:val="clear" w:color="auto" w:fill="FFFFFF"/>
      <w:spacing w:before="420" w:after="0" w:line="302" w:lineRule="exact"/>
    </w:pPr>
    <w:rPr>
      <w:rFonts w:ascii="Times New Roman" w:hAnsi="Times New Roman"/>
      <w:noProof/>
      <w:spacing w:val="10"/>
      <w:lang w:eastAsia="ru-RU"/>
    </w:rPr>
  </w:style>
  <w:style w:type="character" w:customStyle="1" w:styleId="BodyTextChar">
    <w:name w:val="Body Text Char"/>
    <w:basedOn w:val="DefaultParagraphFont"/>
    <w:link w:val="BodyText"/>
    <w:uiPriority w:val="99"/>
    <w:semiHidden/>
    <w:locked/>
    <w:rsid w:val="002455A3"/>
    <w:rPr>
      <w:rFonts w:cs="Times New Roman"/>
      <w:lang w:eastAsia="en-US"/>
    </w:rPr>
  </w:style>
  <w:style w:type="character" w:customStyle="1" w:styleId="2">
    <w:name w:val="Основной текст (2)_"/>
    <w:basedOn w:val="DefaultParagraphFont"/>
    <w:link w:val="20"/>
    <w:uiPriority w:val="99"/>
    <w:locked/>
    <w:rsid w:val="0028477E"/>
    <w:rPr>
      <w:rFonts w:cs="Times New Roman"/>
      <w:b/>
      <w:bCs/>
      <w:spacing w:val="20"/>
      <w:sz w:val="22"/>
      <w:szCs w:val="22"/>
      <w:lang w:bidi="ar-SA"/>
    </w:rPr>
  </w:style>
  <w:style w:type="character" w:customStyle="1" w:styleId="1pt">
    <w:name w:val="Основной текст + Интервал 1 pt"/>
    <w:basedOn w:val="BodyTextChar1"/>
    <w:uiPriority w:val="99"/>
    <w:rsid w:val="0028477E"/>
    <w:rPr>
      <w:rFonts w:ascii="Times New Roman" w:hAnsi="Times New Roman"/>
      <w:spacing w:val="30"/>
    </w:rPr>
  </w:style>
  <w:style w:type="paragraph" w:customStyle="1" w:styleId="20">
    <w:name w:val="Основной текст (2)"/>
    <w:basedOn w:val="Normal"/>
    <w:link w:val="2"/>
    <w:uiPriority w:val="99"/>
    <w:rsid w:val="0028477E"/>
    <w:pPr>
      <w:shd w:val="clear" w:color="auto" w:fill="FFFFFF"/>
      <w:spacing w:after="0" w:line="302" w:lineRule="exact"/>
    </w:pPr>
    <w:rPr>
      <w:rFonts w:ascii="Times New Roman" w:hAnsi="Times New Roman"/>
      <w:b/>
      <w:bCs/>
      <w:noProof/>
      <w:spacing w:val="20"/>
      <w:lang w:eastAsia="ru-RU"/>
    </w:rPr>
  </w:style>
  <w:style w:type="paragraph" w:styleId="BodyText2">
    <w:name w:val="Body Text 2"/>
    <w:basedOn w:val="Normal"/>
    <w:link w:val="BodyText2Char"/>
    <w:uiPriority w:val="99"/>
    <w:rsid w:val="00384413"/>
    <w:pPr>
      <w:spacing w:after="120" w:line="480" w:lineRule="auto"/>
    </w:pPr>
  </w:style>
  <w:style w:type="character" w:customStyle="1" w:styleId="BodyText2Char">
    <w:name w:val="Body Text 2 Char"/>
    <w:basedOn w:val="DefaultParagraphFont"/>
    <w:link w:val="BodyText2"/>
    <w:uiPriority w:val="99"/>
    <w:semiHidden/>
    <w:locked/>
    <w:rsid w:val="002338D8"/>
    <w:rPr>
      <w:rFonts w:cs="Times New Roman"/>
      <w:lang w:eastAsia="en-US"/>
    </w:rPr>
  </w:style>
  <w:style w:type="character" w:styleId="PageNumber">
    <w:name w:val="page number"/>
    <w:basedOn w:val="DefaultParagraphFont"/>
    <w:uiPriority w:val="99"/>
    <w:rsid w:val="00880FCE"/>
    <w:rPr>
      <w:rFonts w:cs="Times New Roman"/>
    </w:rPr>
  </w:style>
  <w:style w:type="paragraph" w:styleId="BalloonText">
    <w:name w:val="Balloon Text"/>
    <w:basedOn w:val="Normal"/>
    <w:link w:val="BalloonTextChar"/>
    <w:uiPriority w:val="99"/>
    <w:semiHidden/>
    <w:rsid w:val="00D337ED"/>
    <w:rPr>
      <w:rFonts w:ascii="Tahoma" w:hAnsi="Tahoma" w:cs="Tahoma"/>
      <w:sz w:val="16"/>
      <w:szCs w:val="16"/>
    </w:rPr>
  </w:style>
  <w:style w:type="character" w:customStyle="1" w:styleId="BalloonTextChar">
    <w:name w:val="Balloon Text Char"/>
    <w:basedOn w:val="DefaultParagraphFont"/>
    <w:link w:val="BalloonText"/>
    <w:uiPriority w:val="99"/>
    <w:semiHidden/>
    <w:rsid w:val="0088681B"/>
    <w:rPr>
      <w:rFonts w:ascii="Times New Roman" w:hAnsi="Times New Roman"/>
      <w:sz w:val="0"/>
      <w:szCs w:val="0"/>
      <w:lang w:eastAsia="en-US"/>
    </w:rPr>
  </w:style>
</w:styles>
</file>

<file path=word/webSettings.xml><?xml version="1.0" encoding="utf-8"?>
<w:webSettings xmlns:r="http://schemas.openxmlformats.org/officeDocument/2006/relationships" xmlns:w="http://schemas.openxmlformats.org/wordprocessingml/2006/main">
  <w:divs>
    <w:div w:id="29734344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21</TotalTime>
  <Pages>9</Pages>
  <Words>3727</Words>
  <Characters>21244</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Tabelul de sinteză</dc:title>
  <dc:subject/>
  <dc:creator>Adrian</dc:creator>
  <cp:keywords/>
  <dc:description/>
  <cp:lastModifiedBy>ME-305-Angela</cp:lastModifiedBy>
  <cp:revision>17</cp:revision>
  <cp:lastPrinted>2014-01-09T13:59:00Z</cp:lastPrinted>
  <dcterms:created xsi:type="dcterms:W3CDTF">2014-01-09T12:58:00Z</dcterms:created>
  <dcterms:modified xsi:type="dcterms:W3CDTF">2014-01-09T13:59:00Z</dcterms:modified>
</cp:coreProperties>
</file>