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12F" w:rsidRPr="00A5012F" w:rsidRDefault="00A5012F" w:rsidP="00A5012F">
      <w:pPr>
        <w:pBdr>
          <w:top w:val="none" w:sz="0" w:space="0" w:color="000000"/>
          <w:left w:val="none" w:sz="0" w:space="0" w:color="000000"/>
          <w:bottom w:val="none" w:sz="0" w:space="0" w:color="000000"/>
          <w:right w:val="none" w:sz="0" w:space="0" w:color="000000"/>
        </w:pBdr>
        <w:tabs>
          <w:tab w:val="left" w:pos="884"/>
          <w:tab w:val="left" w:pos="1196"/>
        </w:tabs>
        <w:spacing w:line="276" w:lineRule="auto"/>
        <w:ind w:firstLine="0"/>
        <w:jc w:val="center"/>
        <w:rPr>
          <w:b/>
          <w:sz w:val="24"/>
          <w:szCs w:val="24"/>
          <w:lang w:val="ro-RO"/>
        </w:rPr>
      </w:pPr>
    </w:p>
    <w:p w:rsidR="00A5012F" w:rsidRPr="00A5012F" w:rsidRDefault="00A5012F" w:rsidP="00A5012F">
      <w:pPr>
        <w:pBdr>
          <w:top w:val="none" w:sz="0" w:space="0" w:color="000000"/>
          <w:left w:val="none" w:sz="0" w:space="0" w:color="000000"/>
          <w:bottom w:val="none" w:sz="0" w:space="0" w:color="000000"/>
          <w:right w:val="none" w:sz="0" w:space="0" w:color="000000"/>
        </w:pBdr>
        <w:tabs>
          <w:tab w:val="left" w:pos="884"/>
          <w:tab w:val="left" w:pos="1196"/>
        </w:tabs>
        <w:spacing w:line="276" w:lineRule="auto"/>
        <w:ind w:firstLine="0"/>
        <w:jc w:val="center"/>
        <w:rPr>
          <w:b/>
          <w:sz w:val="24"/>
          <w:szCs w:val="24"/>
          <w:lang w:val="ro-RO"/>
        </w:rPr>
      </w:pPr>
    </w:p>
    <w:p w:rsidR="00A5012F" w:rsidRPr="00A5012F" w:rsidRDefault="00A5012F" w:rsidP="00A5012F">
      <w:pPr>
        <w:pBdr>
          <w:top w:val="none" w:sz="0" w:space="0" w:color="000000"/>
          <w:left w:val="none" w:sz="0" w:space="0" w:color="000000"/>
          <w:bottom w:val="none" w:sz="0" w:space="0" w:color="000000"/>
          <w:right w:val="none" w:sz="0" w:space="0" w:color="000000"/>
        </w:pBdr>
        <w:tabs>
          <w:tab w:val="left" w:pos="884"/>
          <w:tab w:val="left" w:pos="1196"/>
        </w:tabs>
        <w:spacing w:line="276" w:lineRule="auto"/>
        <w:ind w:firstLine="0"/>
        <w:jc w:val="center"/>
        <w:rPr>
          <w:b/>
          <w:sz w:val="24"/>
          <w:szCs w:val="24"/>
          <w:lang w:val="ro-RO"/>
        </w:rPr>
      </w:pPr>
    </w:p>
    <w:p w:rsidR="004B60B0" w:rsidRPr="00A5012F" w:rsidRDefault="00284C08" w:rsidP="00A5012F">
      <w:pPr>
        <w:pBdr>
          <w:top w:val="none" w:sz="0" w:space="0" w:color="000000"/>
          <w:left w:val="none" w:sz="0" w:space="0" w:color="000000"/>
          <w:bottom w:val="none" w:sz="0" w:space="0" w:color="000000"/>
          <w:right w:val="none" w:sz="0" w:space="0" w:color="000000"/>
        </w:pBdr>
        <w:tabs>
          <w:tab w:val="left" w:pos="884"/>
          <w:tab w:val="left" w:pos="1196"/>
        </w:tabs>
        <w:spacing w:line="276" w:lineRule="auto"/>
        <w:ind w:firstLine="0"/>
        <w:jc w:val="center"/>
        <w:rPr>
          <w:sz w:val="24"/>
          <w:szCs w:val="24"/>
          <w:lang w:val="ro-RO"/>
        </w:rPr>
      </w:pPr>
      <w:r w:rsidRPr="00A5012F">
        <w:rPr>
          <w:b/>
          <w:sz w:val="24"/>
          <w:szCs w:val="24"/>
          <w:lang w:val="ro-RO"/>
        </w:rPr>
        <w:t>NOTA DE FUNDAMENTARE</w:t>
      </w:r>
    </w:p>
    <w:p w:rsidR="004B60B0" w:rsidRPr="00A5012F" w:rsidRDefault="00284C08" w:rsidP="00A5012F">
      <w:pPr>
        <w:pBdr>
          <w:top w:val="none" w:sz="0" w:space="0" w:color="000000"/>
          <w:left w:val="none" w:sz="0" w:space="0" w:color="000000"/>
          <w:bottom w:val="none" w:sz="0" w:space="0" w:color="000000"/>
          <w:right w:val="none" w:sz="0" w:space="0" w:color="000000"/>
        </w:pBdr>
        <w:tabs>
          <w:tab w:val="left" w:pos="884"/>
          <w:tab w:val="left" w:pos="1196"/>
        </w:tabs>
        <w:spacing w:line="276" w:lineRule="auto"/>
        <w:ind w:firstLine="0"/>
        <w:jc w:val="center"/>
        <w:rPr>
          <w:b/>
          <w:sz w:val="24"/>
          <w:szCs w:val="24"/>
          <w:lang w:val="ro-RO"/>
        </w:rPr>
      </w:pPr>
      <w:r w:rsidRPr="00A5012F">
        <w:rPr>
          <w:b/>
          <w:sz w:val="24"/>
          <w:szCs w:val="24"/>
          <w:lang w:val="ro-RO"/>
        </w:rPr>
        <w:t>la proiectul Hotărârii Guvernului pentru modificarea Regulamentului cu privire la mecanismul de finanțare a sportului de performanță conform criteriilor distincte, aprobat prin Hotărârea Guvernului nr.22/2023</w:t>
      </w:r>
    </w:p>
    <w:tbl>
      <w:tblPr>
        <w:tblStyle w:val="ad"/>
        <w:tblW w:w="11199" w:type="dxa"/>
        <w:tblInd w:w="-577" w:type="dxa"/>
        <w:tblBorders>
          <w:top w:val="nil"/>
          <w:left w:val="nil"/>
          <w:bottom w:val="nil"/>
          <w:right w:val="nil"/>
          <w:insideH w:val="nil"/>
          <w:insideV w:val="nil"/>
        </w:tblBorders>
        <w:tblLayout w:type="fixed"/>
        <w:tblLook w:val="0400" w:firstRow="0" w:lastRow="0" w:firstColumn="0" w:lastColumn="0" w:noHBand="0" w:noVBand="1"/>
      </w:tblPr>
      <w:tblGrid>
        <w:gridCol w:w="11199"/>
      </w:tblGrid>
      <w:tr w:rsidR="004B60B0" w:rsidRPr="00A5012F" w:rsidTr="00973879">
        <w:trPr>
          <w:trHeight w:val="287"/>
        </w:trPr>
        <w:tc>
          <w:tcPr>
            <w:tcW w:w="11199"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A5012F" w:rsidRDefault="006D4064" w:rsidP="00A5012F">
            <w:pPr>
              <w:spacing w:line="276" w:lineRule="auto"/>
              <w:ind w:firstLine="0"/>
              <w:rPr>
                <w:rFonts w:ascii="Times New Roman" w:hAnsi="Times New Roman" w:cs="Times New Roman"/>
                <w:b/>
                <w:sz w:val="24"/>
                <w:szCs w:val="24"/>
                <w:lang w:val="ro-RO"/>
              </w:rPr>
            </w:pPr>
            <w:r w:rsidRPr="00A5012F">
              <w:rPr>
                <w:rFonts w:ascii="Times New Roman" w:hAnsi="Times New Roman" w:cs="Times New Roman"/>
                <w:b/>
                <w:sz w:val="24"/>
                <w:szCs w:val="24"/>
                <w:lang w:val="ro-RO"/>
              </w:rPr>
              <w:t>1. Denumirea</w:t>
            </w:r>
            <w:r w:rsidR="00284C08" w:rsidRPr="00A5012F">
              <w:rPr>
                <w:rFonts w:ascii="Times New Roman" w:hAnsi="Times New Roman" w:cs="Times New Roman"/>
                <w:b/>
                <w:sz w:val="24"/>
                <w:szCs w:val="24"/>
                <w:lang w:val="ro-RO"/>
              </w:rPr>
              <w:t xml:space="preserve"> autorului și, după caz, a/al participanților la elaborarea proiectului actului normativ.</w:t>
            </w:r>
          </w:p>
        </w:tc>
      </w:tr>
      <w:tr w:rsidR="004B60B0" w:rsidRPr="00A5012F" w:rsidTr="0020430B">
        <w:tc>
          <w:tcPr>
            <w:tcW w:w="111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Proiectul Hotărârii Guvernului pentru modificarea Regulamentului cu privire la mecanismul de finanțare a sportului de performanță conform criteriilor distincte, aprobat prin Hotărârea Guvernului nr.22/2023 a fost elaborat de către Ministerul Educației și Cercetării.</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b/>
                <w:sz w:val="24"/>
                <w:szCs w:val="24"/>
                <w:lang w:val="ro-RO"/>
              </w:rPr>
            </w:pPr>
            <w:r w:rsidRPr="00A5012F">
              <w:rPr>
                <w:rFonts w:ascii="Times New Roman" w:hAnsi="Times New Roman" w:cs="Times New Roman"/>
                <w:b/>
                <w:sz w:val="24"/>
                <w:szCs w:val="24"/>
                <w:lang w:val="ro-RO"/>
              </w:rPr>
              <w:t>2. Condițiile ce au impus elaborarea proiectului actului normativ.</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i/>
                <w:sz w:val="24"/>
                <w:szCs w:val="24"/>
                <w:lang w:val="ro-RO"/>
              </w:rPr>
            </w:pPr>
            <w:r w:rsidRPr="00A5012F">
              <w:rPr>
                <w:rFonts w:ascii="Times New Roman" w:hAnsi="Times New Roman" w:cs="Times New Roman"/>
                <w:i/>
                <w:sz w:val="24"/>
                <w:szCs w:val="24"/>
                <w:lang w:val="ro-RO"/>
              </w:rPr>
              <w:t>2.1. Temeiul legal sau, după caz, sursa proiectului actului normativ.</w:t>
            </w:r>
          </w:p>
        </w:tc>
      </w:tr>
      <w:tr w:rsidR="004B60B0" w:rsidRPr="00A5012F" w:rsidTr="00A5012F">
        <w:trPr>
          <w:trHeight w:val="830"/>
        </w:trPr>
        <w:tc>
          <w:tcPr>
            <w:tcW w:w="1119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A79EA" w:rsidRPr="00A5012F" w:rsidRDefault="000A79EA" w:rsidP="00A5012F">
            <w:pPr>
              <w:shd w:val="clear" w:color="auto" w:fill="FFFFFF"/>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 xml:space="preserve">Odată cu finisarea Jocurilor Olimpice/Paralimpice de la Paris 2024, urmează </w:t>
            </w:r>
            <w:r w:rsidR="00BC1F5D" w:rsidRPr="00A5012F">
              <w:rPr>
                <w:rFonts w:ascii="Times New Roman" w:hAnsi="Times New Roman" w:cs="Times New Roman"/>
                <w:sz w:val="24"/>
                <w:szCs w:val="24"/>
                <w:lang w:val="ro-RO"/>
              </w:rPr>
              <w:t xml:space="preserve">desfășurarea </w:t>
            </w:r>
            <w:r w:rsidR="00A32854" w:rsidRPr="00A5012F">
              <w:rPr>
                <w:rFonts w:ascii="Times New Roman" w:hAnsi="Times New Roman" w:cs="Times New Roman"/>
                <w:sz w:val="24"/>
                <w:szCs w:val="24"/>
                <w:lang w:val="ro-RO"/>
              </w:rPr>
              <w:t xml:space="preserve">anuală al </w:t>
            </w:r>
            <w:r w:rsidR="00BC1F5D" w:rsidRPr="00A5012F">
              <w:rPr>
                <w:rFonts w:ascii="Times New Roman" w:hAnsi="Times New Roman" w:cs="Times New Roman"/>
                <w:sz w:val="24"/>
                <w:szCs w:val="24"/>
                <w:lang w:val="ro-RO"/>
              </w:rPr>
              <w:t>camp</w:t>
            </w:r>
            <w:r w:rsidR="00A32854" w:rsidRPr="00A5012F">
              <w:rPr>
                <w:rFonts w:ascii="Times New Roman" w:hAnsi="Times New Roman" w:cs="Times New Roman"/>
                <w:sz w:val="24"/>
                <w:szCs w:val="24"/>
                <w:lang w:val="ro-RO"/>
              </w:rPr>
              <w:t>ionatelor naționale</w:t>
            </w:r>
            <w:r w:rsidR="00BC1F5D" w:rsidRPr="00A5012F">
              <w:rPr>
                <w:rFonts w:ascii="Times New Roman" w:hAnsi="Times New Roman" w:cs="Times New Roman"/>
                <w:sz w:val="24"/>
                <w:szCs w:val="24"/>
                <w:lang w:val="ro-RO"/>
              </w:rPr>
              <w:t>, participarea la turnee de calificare și pregătiri</w:t>
            </w:r>
            <w:r w:rsidR="00A32854" w:rsidRPr="00A5012F">
              <w:rPr>
                <w:rFonts w:ascii="Times New Roman" w:hAnsi="Times New Roman" w:cs="Times New Roman"/>
                <w:sz w:val="24"/>
                <w:szCs w:val="24"/>
                <w:lang w:val="ro-RO"/>
              </w:rPr>
              <w:t>le</w:t>
            </w:r>
            <w:r w:rsidRPr="00A5012F">
              <w:rPr>
                <w:rFonts w:ascii="Times New Roman" w:hAnsi="Times New Roman" w:cs="Times New Roman"/>
                <w:sz w:val="24"/>
                <w:szCs w:val="24"/>
                <w:lang w:val="ro-RO"/>
              </w:rPr>
              <w:t xml:space="preserve"> către Jocurile Olimpice/Paralimpice de la Los Angeles 2028. Pentru pregătirea sport</w:t>
            </w:r>
            <w:r w:rsidR="00CA43A0" w:rsidRPr="00A5012F">
              <w:rPr>
                <w:rFonts w:ascii="Times New Roman" w:hAnsi="Times New Roman" w:cs="Times New Roman"/>
                <w:sz w:val="24"/>
                <w:szCs w:val="24"/>
                <w:lang w:val="ro-RO"/>
              </w:rPr>
              <w:t>ivilor către Jocurile Olimpice/Paralimpice</w:t>
            </w:r>
            <w:r w:rsidRPr="00A5012F">
              <w:rPr>
                <w:rFonts w:ascii="Times New Roman" w:hAnsi="Times New Roman" w:cs="Times New Roman"/>
                <w:sz w:val="24"/>
                <w:szCs w:val="24"/>
                <w:lang w:val="ro-RO"/>
              </w:rPr>
              <w:t xml:space="preserve"> este nece</w:t>
            </w:r>
            <w:r w:rsidR="00CA43A0" w:rsidRPr="00A5012F">
              <w:rPr>
                <w:rFonts w:ascii="Times New Roman" w:hAnsi="Times New Roman" w:cs="Times New Roman"/>
                <w:sz w:val="24"/>
                <w:szCs w:val="24"/>
                <w:lang w:val="ro-RO"/>
              </w:rPr>
              <w:t xml:space="preserve">sar de a mări volumul și a liberaliza </w:t>
            </w:r>
            <w:r w:rsidR="00A32854" w:rsidRPr="00A5012F">
              <w:rPr>
                <w:rFonts w:ascii="Times New Roman" w:hAnsi="Times New Roman" w:cs="Times New Roman"/>
                <w:sz w:val="24"/>
                <w:szCs w:val="24"/>
                <w:lang w:val="ro-RO"/>
              </w:rPr>
              <w:t xml:space="preserve">modul de </w:t>
            </w:r>
            <w:r w:rsidR="00CA43A0" w:rsidRPr="00A5012F">
              <w:rPr>
                <w:rFonts w:ascii="Times New Roman" w:hAnsi="Times New Roman" w:cs="Times New Roman"/>
                <w:sz w:val="24"/>
                <w:szCs w:val="24"/>
                <w:lang w:val="ro-RO"/>
              </w:rPr>
              <w:t>finanțare</w:t>
            </w:r>
            <w:r w:rsidR="00A32854" w:rsidRPr="00A5012F">
              <w:rPr>
                <w:rFonts w:ascii="Times New Roman" w:hAnsi="Times New Roman" w:cs="Times New Roman"/>
                <w:sz w:val="24"/>
                <w:szCs w:val="24"/>
                <w:lang w:val="ro-RO"/>
              </w:rPr>
              <w:t xml:space="preserve"> </w:t>
            </w:r>
            <w:r w:rsidR="00CA43A0" w:rsidRPr="00A5012F">
              <w:rPr>
                <w:rFonts w:ascii="Times New Roman" w:hAnsi="Times New Roman" w:cs="Times New Roman"/>
                <w:sz w:val="24"/>
                <w:szCs w:val="24"/>
                <w:lang w:val="ro-RO"/>
              </w:rPr>
              <w:t>a federațiilor</w:t>
            </w:r>
            <w:r w:rsidRPr="00A5012F">
              <w:rPr>
                <w:rFonts w:ascii="Times New Roman" w:hAnsi="Times New Roman" w:cs="Times New Roman"/>
                <w:sz w:val="24"/>
                <w:szCs w:val="24"/>
                <w:lang w:val="ro-RO"/>
              </w:rPr>
              <w:t xml:space="preserve"> sportive.</w:t>
            </w:r>
          </w:p>
          <w:p w:rsidR="004B60B0" w:rsidRPr="00A5012F" w:rsidRDefault="00284C08" w:rsidP="00A5012F">
            <w:pPr>
              <w:shd w:val="clear" w:color="auto" w:fill="FFFFFF"/>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Potrivit art.30 alin.</w:t>
            </w:r>
            <w:r w:rsidR="00F115F8" w:rsidRPr="00A5012F">
              <w:rPr>
                <w:rFonts w:ascii="Times New Roman" w:hAnsi="Times New Roman" w:cs="Times New Roman"/>
                <w:sz w:val="24"/>
                <w:szCs w:val="24"/>
                <w:lang w:val="ro-RO"/>
              </w:rPr>
              <w:t>(3) din Legea nr.330/1999</w:t>
            </w:r>
            <w:r w:rsidR="00CA43A0" w:rsidRPr="00A5012F">
              <w:rPr>
                <w:rFonts w:ascii="Times New Roman" w:hAnsi="Times New Roman" w:cs="Times New Roman"/>
                <w:sz w:val="24"/>
                <w:szCs w:val="24"/>
                <w:lang w:val="ro-RO"/>
              </w:rPr>
              <w:t>,</w:t>
            </w:r>
            <w:r w:rsidRPr="00A5012F">
              <w:rPr>
                <w:rFonts w:ascii="Times New Roman" w:hAnsi="Times New Roman" w:cs="Times New Roman"/>
                <w:sz w:val="24"/>
                <w:szCs w:val="24"/>
                <w:lang w:val="ro-RO"/>
              </w:rPr>
              <w:t xml:space="preserve"> finanțarea sportului de performanță se realizează diferențiat conform criteriilor distincte.</w:t>
            </w:r>
          </w:p>
          <w:p w:rsidR="004B60B0" w:rsidRPr="00A5012F" w:rsidRDefault="00284C08" w:rsidP="00A5012F">
            <w:pPr>
              <w:shd w:val="clear" w:color="auto" w:fill="FFFFFF"/>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Hotărârea Guvernului nr.22/2023 stabilește formulele de finanțare pentru sportul de performanță, din mijloacele financiare repartizate din bugetul de stat.</w:t>
            </w:r>
          </w:p>
          <w:p w:rsidR="005B6600" w:rsidRPr="00A5012F" w:rsidRDefault="00A32854" w:rsidP="00A5012F">
            <w:pPr>
              <w:shd w:val="clear" w:color="auto" w:fill="FFFFFF"/>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La moment</w:t>
            </w:r>
            <w:r w:rsidR="005B6600" w:rsidRPr="00A5012F">
              <w:rPr>
                <w:rFonts w:ascii="Times New Roman" w:hAnsi="Times New Roman" w:cs="Times New Roman"/>
                <w:sz w:val="24"/>
                <w:szCs w:val="24"/>
                <w:lang w:val="ro-RO"/>
              </w:rPr>
              <w:t xml:space="preserve">, conform Anexei nr.1, pentru organizarea Campionatului național se acordă 7 puncte federațiilor sportive. </w:t>
            </w:r>
          </w:p>
          <w:p w:rsidR="005B6600" w:rsidRPr="00A5012F" w:rsidRDefault="005B6600" w:rsidP="00A5012F">
            <w:pPr>
              <w:shd w:val="clear" w:color="auto" w:fill="FFFFFF"/>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Având în vedere faptul că unele federații sportive organizează separat campionatul național la categoria</w:t>
            </w:r>
            <w:r w:rsidR="007665BA" w:rsidRPr="00A5012F">
              <w:rPr>
                <w:rFonts w:ascii="Times New Roman" w:hAnsi="Times New Roman" w:cs="Times New Roman"/>
                <w:sz w:val="24"/>
                <w:szCs w:val="24"/>
                <w:lang w:val="ro-RO"/>
              </w:rPr>
              <w:t xml:space="preserve"> de vârstă</w:t>
            </w:r>
            <w:r w:rsidRPr="00A5012F">
              <w:rPr>
                <w:rFonts w:ascii="Times New Roman" w:hAnsi="Times New Roman" w:cs="Times New Roman"/>
                <w:sz w:val="24"/>
                <w:szCs w:val="24"/>
                <w:lang w:val="ro-RO"/>
              </w:rPr>
              <w:t xml:space="preserve"> </w:t>
            </w:r>
            <w:r w:rsidR="008B38A9" w:rsidRPr="00A5012F">
              <w:rPr>
                <w:rFonts w:ascii="Times New Roman" w:hAnsi="Times New Roman" w:cs="Times New Roman"/>
                <w:sz w:val="24"/>
                <w:szCs w:val="24"/>
                <w:lang w:val="ro-RO"/>
              </w:rPr>
              <w:t>seniori, tineret (U-23) ,</w:t>
            </w:r>
            <w:r w:rsidRPr="00A5012F">
              <w:rPr>
                <w:rFonts w:ascii="Times New Roman" w:hAnsi="Times New Roman" w:cs="Times New Roman"/>
                <w:sz w:val="24"/>
                <w:szCs w:val="24"/>
                <w:lang w:val="ro-RO"/>
              </w:rPr>
              <w:t xml:space="preserve">juniori, </w:t>
            </w:r>
            <w:r w:rsidR="008B38A9" w:rsidRPr="00A5012F">
              <w:rPr>
                <w:rFonts w:ascii="Times New Roman" w:hAnsi="Times New Roman" w:cs="Times New Roman"/>
                <w:sz w:val="24"/>
                <w:szCs w:val="24"/>
                <w:lang w:val="ro-RO"/>
              </w:rPr>
              <w:t xml:space="preserve">cadeți, și elevi </w:t>
            </w:r>
            <w:r w:rsidRPr="00A5012F">
              <w:rPr>
                <w:rFonts w:ascii="Times New Roman" w:hAnsi="Times New Roman" w:cs="Times New Roman"/>
                <w:sz w:val="24"/>
                <w:szCs w:val="24"/>
                <w:lang w:val="ro-RO"/>
              </w:rPr>
              <w:t>tineret, U-23, U-20, U-17</w:t>
            </w:r>
            <w:r w:rsidRPr="00A5012F">
              <w:rPr>
                <w:rFonts w:ascii="Times New Roman" w:hAnsi="Times New Roman" w:cs="Times New Roman"/>
                <w:color w:val="FF0000"/>
                <w:sz w:val="24"/>
                <w:szCs w:val="24"/>
                <w:lang w:val="ro-RO"/>
              </w:rPr>
              <w:t xml:space="preserve"> </w:t>
            </w:r>
            <w:r w:rsidRPr="00A5012F">
              <w:rPr>
                <w:rFonts w:ascii="Times New Roman" w:hAnsi="Times New Roman" w:cs="Times New Roman"/>
                <w:sz w:val="24"/>
                <w:szCs w:val="24"/>
                <w:lang w:val="ro-RO"/>
              </w:rPr>
              <w:t>și senio</w:t>
            </w:r>
            <w:r w:rsidR="00A32854" w:rsidRPr="00A5012F">
              <w:rPr>
                <w:rFonts w:ascii="Times New Roman" w:hAnsi="Times New Roman" w:cs="Times New Roman"/>
                <w:sz w:val="24"/>
                <w:szCs w:val="24"/>
                <w:lang w:val="ro-RO"/>
              </w:rPr>
              <w:t>ri</w:t>
            </w:r>
            <w:r w:rsidRPr="00A5012F">
              <w:rPr>
                <w:rFonts w:ascii="Times New Roman" w:hAnsi="Times New Roman" w:cs="Times New Roman"/>
                <w:sz w:val="24"/>
                <w:szCs w:val="24"/>
                <w:lang w:val="ro-RO"/>
              </w:rPr>
              <w:t xml:space="preserve">, este oportun de </w:t>
            </w:r>
            <w:r w:rsidR="00A32854" w:rsidRPr="00A5012F">
              <w:rPr>
                <w:rFonts w:ascii="Times New Roman" w:hAnsi="Times New Roman" w:cs="Times New Roman"/>
                <w:sz w:val="24"/>
                <w:szCs w:val="24"/>
                <w:lang w:val="ro-RO"/>
              </w:rPr>
              <w:t>a modifica</w:t>
            </w:r>
            <w:r w:rsidRPr="00A5012F">
              <w:rPr>
                <w:rFonts w:ascii="Times New Roman" w:hAnsi="Times New Roman" w:cs="Times New Roman"/>
                <w:sz w:val="24"/>
                <w:szCs w:val="24"/>
                <w:lang w:val="ro-RO"/>
              </w:rPr>
              <w:t xml:space="preserve"> prevederea respectivă și de stabilit punctaj pentru fiecare categorie de campionat național.</w:t>
            </w:r>
          </w:p>
          <w:p w:rsidR="00BC1F5D" w:rsidRPr="00A5012F" w:rsidRDefault="0074277D" w:rsidP="00A5012F">
            <w:pPr>
              <w:shd w:val="clear" w:color="auto" w:fill="FFFFFF"/>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Din motiv</w:t>
            </w:r>
            <w:r w:rsidR="00BC1F5D" w:rsidRPr="00A5012F">
              <w:rPr>
                <w:rFonts w:ascii="Times New Roman" w:hAnsi="Times New Roman" w:cs="Times New Roman"/>
                <w:sz w:val="24"/>
                <w:szCs w:val="24"/>
                <w:lang w:val="ro-RO"/>
              </w:rPr>
              <w:t xml:space="preserve"> că federațiile sportive olimpice/paralimpice participă la Turnee</w:t>
            </w:r>
            <w:r w:rsidR="007665BA" w:rsidRPr="00A5012F">
              <w:rPr>
                <w:rFonts w:ascii="Times New Roman" w:hAnsi="Times New Roman" w:cs="Times New Roman"/>
                <w:sz w:val="24"/>
                <w:szCs w:val="24"/>
                <w:lang w:val="ro-RO"/>
              </w:rPr>
              <w:t>le</w:t>
            </w:r>
            <w:r w:rsidR="00BC1F5D" w:rsidRPr="00A5012F">
              <w:rPr>
                <w:rFonts w:ascii="Times New Roman" w:hAnsi="Times New Roman" w:cs="Times New Roman"/>
                <w:sz w:val="24"/>
                <w:szCs w:val="24"/>
                <w:lang w:val="ro-RO"/>
              </w:rPr>
              <w:t xml:space="preserve"> de calificare pentru a participa </w:t>
            </w:r>
            <w:r w:rsidR="00CA43A0" w:rsidRPr="00A5012F">
              <w:rPr>
                <w:rFonts w:ascii="Times New Roman" w:hAnsi="Times New Roman" w:cs="Times New Roman"/>
                <w:sz w:val="24"/>
                <w:szCs w:val="24"/>
                <w:lang w:val="ro-RO"/>
              </w:rPr>
              <w:t xml:space="preserve">ulterior </w:t>
            </w:r>
            <w:r w:rsidR="00BC1F5D" w:rsidRPr="00A5012F">
              <w:rPr>
                <w:rFonts w:ascii="Times New Roman" w:hAnsi="Times New Roman" w:cs="Times New Roman"/>
                <w:sz w:val="24"/>
                <w:szCs w:val="24"/>
                <w:lang w:val="ro-RO"/>
              </w:rPr>
              <w:t>la Jocurile Olimpice/Paralimpice, pentru rezulta</w:t>
            </w:r>
            <w:r w:rsidR="00CA43A0" w:rsidRPr="00A5012F">
              <w:rPr>
                <w:rFonts w:ascii="Times New Roman" w:hAnsi="Times New Roman" w:cs="Times New Roman"/>
                <w:sz w:val="24"/>
                <w:szCs w:val="24"/>
                <w:lang w:val="ro-RO"/>
              </w:rPr>
              <w:t>tele obținute la genul</w:t>
            </w:r>
            <w:r w:rsidR="00BC1F5D" w:rsidRPr="00A5012F">
              <w:rPr>
                <w:rFonts w:ascii="Times New Roman" w:hAnsi="Times New Roman" w:cs="Times New Roman"/>
                <w:sz w:val="24"/>
                <w:szCs w:val="24"/>
                <w:lang w:val="ro-RO"/>
              </w:rPr>
              <w:t xml:space="preserve"> de competiții </w:t>
            </w:r>
            <w:r w:rsidR="00CA43A0" w:rsidRPr="00A5012F">
              <w:rPr>
                <w:rFonts w:ascii="Times New Roman" w:hAnsi="Times New Roman" w:cs="Times New Roman"/>
                <w:sz w:val="24"/>
                <w:szCs w:val="24"/>
                <w:lang w:val="ro-RO"/>
              </w:rPr>
              <w:t xml:space="preserve">sportive </w:t>
            </w:r>
            <w:r w:rsidR="00BC1F5D" w:rsidRPr="00A5012F">
              <w:rPr>
                <w:rFonts w:ascii="Times New Roman" w:hAnsi="Times New Roman" w:cs="Times New Roman"/>
                <w:sz w:val="24"/>
                <w:szCs w:val="24"/>
                <w:lang w:val="ro-RO"/>
              </w:rPr>
              <w:t>nu este prevăzut acumularea punctajului necesar pentru finanțare</w:t>
            </w:r>
            <w:r w:rsidR="00F5631F" w:rsidRPr="00A5012F">
              <w:rPr>
                <w:rFonts w:ascii="Times New Roman" w:hAnsi="Times New Roman" w:cs="Times New Roman"/>
                <w:sz w:val="24"/>
                <w:szCs w:val="24"/>
                <w:lang w:val="ro-RO"/>
              </w:rPr>
              <w:t>, fiind o lacună, în aces sens</w:t>
            </w:r>
            <w:r w:rsidR="00BC1F5D" w:rsidRPr="00A5012F">
              <w:rPr>
                <w:rFonts w:ascii="Times New Roman" w:hAnsi="Times New Roman" w:cs="Times New Roman"/>
                <w:sz w:val="24"/>
                <w:szCs w:val="24"/>
                <w:lang w:val="ro-RO"/>
              </w:rPr>
              <w:t>.</w:t>
            </w:r>
          </w:p>
          <w:p w:rsidR="002C1048" w:rsidRPr="00A5012F" w:rsidRDefault="00BC1F5D" w:rsidP="00A5012F">
            <w:pPr>
              <w:shd w:val="clear" w:color="auto" w:fill="FFFFFF"/>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 xml:space="preserve">În acest caz, se propune de completat la Anexa nr.2, tabelele 1 și 3 cu prevedere </w:t>
            </w:r>
            <w:r w:rsidR="00CA43A0" w:rsidRPr="00A5012F">
              <w:rPr>
                <w:rFonts w:ascii="Times New Roman" w:hAnsi="Times New Roman" w:cs="Times New Roman"/>
                <w:sz w:val="24"/>
                <w:szCs w:val="24"/>
                <w:lang w:val="ro-RO"/>
              </w:rPr>
              <w:t xml:space="preserve">care </w:t>
            </w:r>
            <w:r w:rsidR="002C1048" w:rsidRPr="00A5012F">
              <w:rPr>
                <w:rFonts w:ascii="Times New Roman" w:hAnsi="Times New Roman" w:cs="Times New Roman"/>
                <w:sz w:val="24"/>
                <w:szCs w:val="24"/>
                <w:lang w:val="ro-RO"/>
              </w:rPr>
              <w:t>reglementează</w:t>
            </w:r>
            <w:r w:rsidRPr="00A5012F">
              <w:rPr>
                <w:rFonts w:ascii="Times New Roman" w:hAnsi="Times New Roman" w:cs="Times New Roman"/>
                <w:sz w:val="24"/>
                <w:szCs w:val="24"/>
                <w:lang w:val="ro-RO"/>
              </w:rPr>
              <w:t xml:space="preserve"> acumulare</w:t>
            </w:r>
            <w:r w:rsidR="002C1048" w:rsidRPr="00A5012F">
              <w:rPr>
                <w:rFonts w:ascii="Times New Roman" w:hAnsi="Times New Roman" w:cs="Times New Roman"/>
                <w:sz w:val="24"/>
                <w:szCs w:val="24"/>
                <w:lang w:val="ro-RO"/>
              </w:rPr>
              <w:t>a</w:t>
            </w:r>
            <w:r w:rsidRPr="00A5012F">
              <w:rPr>
                <w:rFonts w:ascii="Times New Roman" w:hAnsi="Times New Roman" w:cs="Times New Roman"/>
                <w:sz w:val="24"/>
                <w:szCs w:val="24"/>
                <w:lang w:val="ro-RO"/>
              </w:rPr>
              <w:t xml:space="preserve"> punctajului pentru participarea la Turnee</w:t>
            </w:r>
            <w:r w:rsidR="007665BA" w:rsidRPr="00A5012F">
              <w:rPr>
                <w:rFonts w:ascii="Times New Roman" w:hAnsi="Times New Roman" w:cs="Times New Roman"/>
                <w:sz w:val="24"/>
                <w:szCs w:val="24"/>
                <w:lang w:val="ro-RO"/>
              </w:rPr>
              <w:t>le</w:t>
            </w:r>
            <w:r w:rsidRPr="00A5012F">
              <w:rPr>
                <w:rFonts w:ascii="Times New Roman" w:hAnsi="Times New Roman" w:cs="Times New Roman"/>
                <w:sz w:val="24"/>
                <w:szCs w:val="24"/>
                <w:lang w:val="ro-RO"/>
              </w:rPr>
              <w:t xml:space="preserve"> de calificare la Jocurile Olimpice/Paralimpice. </w:t>
            </w:r>
          </w:p>
          <w:p w:rsidR="009A21CF" w:rsidRPr="00A5012F" w:rsidRDefault="009A21CF" w:rsidP="00A5012F">
            <w:pPr>
              <w:shd w:val="clear" w:color="auto" w:fill="FFFFFF"/>
              <w:spacing w:line="276" w:lineRule="auto"/>
              <w:ind w:firstLine="0"/>
              <w:rPr>
                <w:rFonts w:ascii="Times New Roman" w:hAnsi="Times New Roman" w:cs="Times New Roman"/>
                <w:sz w:val="24"/>
                <w:szCs w:val="24"/>
                <w:shd w:val="clear" w:color="auto" w:fill="FFFFFF"/>
                <w:lang w:val="ro-RO"/>
              </w:rPr>
            </w:pPr>
            <w:r w:rsidRPr="00A5012F">
              <w:rPr>
                <w:rFonts w:ascii="Times New Roman" w:hAnsi="Times New Roman" w:cs="Times New Roman"/>
                <w:sz w:val="24"/>
                <w:szCs w:val="24"/>
                <w:lang w:val="ro-RO"/>
              </w:rPr>
              <w:t xml:space="preserve">Anexa nr.3 din Hotărârea Guvernului nr.22/2023 reglementează </w:t>
            </w:r>
            <w:r w:rsidR="00F115F8" w:rsidRPr="00A5012F">
              <w:rPr>
                <w:rFonts w:ascii="Times New Roman" w:hAnsi="Times New Roman" w:cs="Times New Roman"/>
                <w:sz w:val="24"/>
                <w:szCs w:val="24"/>
                <w:lang w:val="ro-RO"/>
              </w:rPr>
              <w:t xml:space="preserve">alocarea </w:t>
            </w:r>
            <w:r w:rsidRPr="00A5012F">
              <w:rPr>
                <w:rFonts w:ascii="Times New Roman" w:hAnsi="Times New Roman" w:cs="Times New Roman"/>
                <w:sz w:val="24"/>
                <w:szCs w:val="24"/>
                <w:shd w:val="clear" w:color="auto" w:fill="FFFFFF"/>
                <w:lang w:val="ro-RO"/>
              </w:rPr>
              <w:t>mijloacele financiare de rezervă ale autorității publice c</w:t>
            </w:r>
            <w:r w:rsidR="00F115F8" w:rsidRPr="00A5012F">
              <w:rPr>
                <w:rFonts w:ascii="Times New Roman" w:hAnsi="Times New Roman" w:cs="Times New Roman"/>
                <w:sz w:val="24"/>
                <w:szCs w:val="24"/>
                <w:shd w:val="clear" w:color="auto" w:fill="FFFFFF"/>
                <w:lang w:val="ro-RO"/>
              </w:rPr>
              <w:t>entrale,</w:t>
            </w:r>
            <w:r w:rsidRPr="00A5012F">
              <w:rPr>
                <w:rFonts w:ascii="Times New Roman" w:hAnsi="Times New Roman" w:cs="Times New Roman"/>
                <w:sz w:val="24"/>
                <w:szCs w:val="24"/>
                <w:shd w:val="clear" w:color="auto" w:fill="FFFFFF"/>
                <w:lang w:val="ro-RO"/>
              </w:rPr>
              <w:t xml:space="preserve"> federațiilor sportive naționale pentru acoperirea cheltuielilor cu caracter excepțional și imprevizibi</w:t>
            </w:r>
            <w:r w:rsidR="002E439E" w:rsidRPr="00A5012F">
              <w:rPr>
                <w:rFonts w:ascii="Times New Roman" w:hAnsi="Times New Roman" w:cs="Times New Roman"/>
                <w:sz w:val="24"/>
                <w:szCs w:val="24"/>
                <w:shd w:val="clear" w:color="auto" w:fill="FFFFFF"/>
                <w:lang w:val="ro-RO"/>
              </w:rPr>
              <w:t>l.</w:t>
            </w:r>
          </w:p>
          <w:p w:rsidR="002E439E" w:rsidRPr="00A5012F" w:rsidRDefault="002E439E" w:rsidP="00A5012F">
            <w:pPr>
              <w:pStyle w:val="af0"/>
              <w:shd w:val="clear" w:color="auto" w:fill="FFFFFF"/>
              <w:spacing w:before="0" w:beforeAutospacing="0" w:after="0" w:afterAutospacing="0" w:line="276" w:lineRule="auto"/>
              <w:jc w:val="both"/>
              <w:rPr>
                <w:rFonts w:ascii="Times New Roman" w:hAnsi="Times New Roman" w:cs="Times New Roman"/>
              </w:rPr>
            </w:pPr>
            <w:r w:rsidRPr="00A5012F">
              <w:rPr>
                <w:rFonts w:ascii="Times New Roman" w:hAnsi="Times New Roman" w:cs="Times New Roman"/>
              </w:rPr>
              <w:t>Mijloacele financiare de rezervă pot fi utilizate pentru:</w:t>
            </w:r>
          </w:p>
          <w:p w:rsidR="002E439E" w:rsidRPr="00A5012F" w:rsidRDefault="002E439E" w:rsidP="00A5012F">
            <w:pPr>
              <w:pStyle w:val="af0"/>
              <w:shd w:val="clear" w:color="auto" w:fill="FFFFFF"/>
              <w:spacing w:before="0" w:beforeAutospacing="0" w:after="0" w:afterAutospacing="0" w:line="276" w:lineRule="auto"/>
              <w:jc w:val="both"/>
              <w:rPr>
                <w:rFonts w:ascii="Times New Roman" w:hAnsi="Times New Roman" w:cs="Times New Roman"/>
              </w:rPr>
            </w:pPr>
            <w:r w:rsidRPr="00A5012F">
              <w:rPr>
                <w:rFonts w:ascii="Times New Roman" w:hAnsi="Times New Roman" w:cs="Times New Roman"/>
                <w:color w:val="333333"/>
              </w:rPr>
              <w:t xml:space="preserve">1) </w:t>
            </w:r>
            <w:r w:rsidRPr="00A5012F">
              <w:rPr>
                <w:rFonts w:ascii="Times New Roman" w:hAnsi="Times New Roman" w:cs="Times New Roman"/>
              </w:rPr>
              <w:t>acordarea sprijinului financiar pentru acoperirea cheltuielilor de organizare</w:t>
            </w:r>
            <w:r w:rsidR="006D4064" w:rsidRPr="00A5012F">
              <w:rPr>
                <w:rFonts w:ascii="Times New Roman" w:hAnsi="Times New Roman" w:cs="Times New Roman"/>
              </w:rPr>
              <w:t xml:space="preserve"> a competițiilor internaționale</w:t>
            </w:r>
            <w:r w:rsidRPr="00A5012F">
              <w:rPr>
                <w:rFonts w:ascii="Times New Roman" w:hAnsi="Times New Roman" w:cs="Times New Roman"/>
              </w:rPr>
              <w:t>, desfășurate pe teritoriul Republicii Moldova, după cum urmează: </w:t>
            </w:r>
          </w:p>
          <w:p w:rsidR="002E439E" w:rsidRPr="00A5012F" w:rsidRDefault="002E439E" w:rsidP="00A5012F">
            <w:pPr>
              <w:pStyle w:val="af0"/>
              <w:shd w:val="clear" w:color="auto" w:fill="FFFFFF"/>
              <w:spacing w:before="0" w:beforeAutospacing="0" w:after="0" w:afterAutospacing="0" w:line="276" w:lineRule="auto"/>
              <w:jc w:val="both"/>
              <w:rPr>
                <w:rFonts w:ascii="Times New Roman" w:hAnsi="Times New Roman" w:cs="Times New Roman"/>
              </w:rPr>
            </w:pPr>
            <w:r w:rsidRPr="00A5012F">
              <w:rPr>
                <w:rFonts w:ascii="Times New Roman" w:hAnsi="Times New Roman" w:cs="Times New Roman"/>
              </w:rPr>
              <w:t xml:space="preserve">a) campionatul mondial </w:t>
            </w:r>
            <w:r w:rsidR="00F115F8" w:rsidRPr="00A5012F">
              <w:rPr>
                <w:rFonts w:ascii="Times New Roman" w:hAnsi="Times New Roman" w:cs="Times New Roman"/>
              </w:rPr>
              <w:t>ș</w:t>
            </w:r>
            <w:r w:rsidR="006D4064" w:rsidRPr="00A5012F">
              <w:rPr>
                <w:rFonts w:ascii="Times New Roman" w:hAnsi="Times New Roman" w:cs="Times New Roman"/>
              </w:rPr>
              <w:t xml:space="preserve">i/sau campionatul </w:t>
            </w:r>
            <w:r w:rsidR="00F115F8" w:rsidRPr="00A5012F">
              <w:rPr>
                <w:rFonts w:ascii="Times New Roman" w:hAnsi="Times New Roman" w:cs="Times New Roman"/>
              </w:rPr>
              <w:t xml:space="preserve">eurpean </w:t>
            </w:r>
            <w:r w:rsidRPr="00A5012F">
              <w:rPr>
                <w:rFonts w:ascii="Times New Roman" w:hAnsi="Times New Roman" w:cs="Times New Roman"/>
              </w:rPr>
              <w:t>pentru toate categoriile de vârstă;</w:t>
            </w:r>
          </w:p>
          <w:p w:rsidR="002E439E" w:rsidRPr="00A5012F" w:rsidRDefault="00F115F8" w:rsidP="00A5012F">
            <w:pPr>
              <w:pStyle w:val="af0"/>
              <w:shd w:val="clear" w:color="auto" w:fill="FFFFFF"/>
              <w:spacing w:before="0" w:beforeAutospacing="0" w:after="0" w:afterAutospacing="0" w:line="276" w:lineRule="auto"/>
              <w:jc w:val="both"/>
              <w:rPr>
                <w:rFonts w:ascii="Times New Roman" w:hAnsi="Times New Roman" w:cs="Times New Roman"/>
              </w:rPr>
            </w:pPr>
            <w:r w:rsidRPr="00A5012F">
              <w:rPr>
                <w:rFonts w:ascii="Times New Roman" w:hAnsi="Times New Roman" w:cs="Times New Roman"/>
              </w:rPr>
              <w:t>b</w:t>
            </w:r>
            <w:r w:rsidR="002E439E" w:rsidRPr="00A5012F">
              <w:rPr>
                <w:rFonts w:ascii="Times New Roman" w:hAnsi="Times New Roman" w:cs="Times New Roman"/>
              </w:rPr>
              <w:t>) campionatul mondial universitar;</w:t>
            </w:r>
          </w:p>
          <w:p w:rsidR="002E439E" w:rsidRPr="00A5012F" w:rsidRDefault="00F115F8" w:rsidP="00A5012F">
            <w:pPr>
              <w:pStyle w:val="af0"/>
              <w:shd w:val="clear" w:color="auto" w:fill="FFFFFF"/>
              <w:spacing w:before="0" w:beforeAutospacing="0" w:after="0" w:afterAutospacing="0" w:line="276" w:lineRule="auto"/>
              <w:jc w:val="both"/>
              <w:rPr>
                <w:rFonts w:ascii="Times New Roman" w:hAnsi="Times New Roman" w:cs="Times New Roman"/>
              </w:rPr>
            </w:pPr>
            <w:r w:rsidRPr="00A5012F">
              <w:rPr>
                <w:rFonts w:ascii="Times New Roman" w:hAnsi="Times New Roman" w:cs="Times New Roman"/>
              </w:rPr>
              <w:t>c</w:t>
            </w:r>
            <w:r w:rsidR="002E439E" w:rsidRPr="00A5012F">
              <w:rPr>
                <w:rFonts w:ascii="Times New Roman" w:hAnsi="Times New Roman" w:cs="Times New Roman"/>
              </w:rPr>
              <w:t>) competiții internaționale care oferă rating european/mondial, aprobate de către federația sportivă internațională;</w:t>
            </w:r>
          </w:p>
          <w:p w:rsidR="002E439E" w:rsidRPr="00A5012F" w:rsidRDefault="00F115F8" w:rsidP="00A5012F">
            <w:pPr>
              <w:pStyle w:val="af0"/>
              <w:shd w:val="clear" w:color="auto" w:fill="FFFFFF"/>
              <w:spacing w:before="0" w:beforeAutospacing="0" w:after="0" w:afterAutospacing="0" w:line="276" w:lineRule="auto"/>
              <w:jc w:val="both"/>
              <w:rPr>
                <w:rFonts w:ascii="Times New Roman" w:hAnsi="Times New Roman" w:cs="Times New Roman"/>
              </w:rPr>
            </w:pPr>
            <w:r w:rsidRPr="00A5012F">
              <w:rPr>
                <w:rFonts w:ascii="Times New Roman" w:hAnsi="Times New Roman" w:cs="Times New Roman"/>
              </w:rPr>
              <w:t>d</w:t>
            </w:r>
            <w:r w:rsidR="002E439E" w:rsidRPr="00A5012F">
              <w:rPr>
                <w:rFonts w:ascii="Times New Roman" w:hAnsi="Times New Roman" w:cs="Times New Roman"/>
              </w:rPr>
              <w:t>) turnee internaționale organizate sub egida federației sportive internaționale, cu participarea a cel puțin 6 țări (pentru ramurile de sport individuale) și 6 țări (pentru jocurile sportive);</w:t>
            </w:r>
          </w:p>
          <w:p w:rsidR="002E439E" w:rsidRPr="00A5012F" w:rsidRDefault="002E439E" w:rsidP="00A5012F">
            <w:pPr>
              <w:pStyle w:val="af0"/>
              <w:shd w:val="clear" w:color="auto" w:fill="FFFFFF"/>
              <w:spacing w:before="0" w:beforeAutospacing="0" w:after="0" w:afterAutospacing="0" w:line="276" w:lineRule="auto"/>
              <w:jc w:val="both"/>
              <w:rPr>
                <w:rFonts w:ascii="Times New Roman" w:hAnsi="Times New Roman" w:cs="Times New Roman"/>
              </w:rPr>
            </w:pPr>
            <w:r w:rsidRPr="00A5012F">
              <w:rPr>
                <w:rFonts w:ascii="Times New Roman" w:hAnsi="Times New Roman" w:cs="Times New Roman"/>
              </w:rPr>
              <w:t>2) acordarea suportului financiar pentru pregătirea și reab</w:t>
            </w:r>
            <w:r w:rsidR="00076384" w:rsidRPr="00A5012F">
              <w:rPr>
                <w:rFonts w:ascii="Times New Roman" w:hAnsi="Times New Roman" w:cs="Times New Roman"/>
              </w:rPr>
              <w:t>ilitarea sportivilor</w:t>
            </w:r>
            <w:r w:rsidRPr="00A5012F">
              <w:rPr>
                <w:rFonts w:ascii="Times New Roman" w:hAnsi="Times New Roman" w:cs="Times New Roman"/>
              </w:rPr>
              <w:t xml:space="preserve"> </w:t>
            </w:r>
            <w:r w:rsidR="00076384" w:rsidRPr="00A5012F">
              <w:rPr>
                <w:rFonts w:ascii="Times New Roman" w:hAnsi="Times New Roman" w:cs="Times New Roman"/>
              </w:rPr>
              <w:t>de performanță, membri al</w:t>
            </w:r>
            <w:r w:rsidRPr="00A5012F">
              <w:rPr>
                <w:rFonts w:ascii="Times New Roman" w:hAnsi="Times New Roman" w:cs="Times New Roman"/>
              </w:rPr>
              <w:t xml:space="preserve"> lotului</w:t>
            </w:r>
            <w:r w:rsidR="00076384" w:rsidRPr="00A5012F">
              <w:rPr>
                <w:rFonts w:ascii="Times New Roman" w:hAnsi="Times New Roman" w:cs="Times New Roman"/>
              </w:rPr>
              <w:t xml:space="preserve"> național, potențiali candidați</w:t>
            </w:r>
            <w:r w:rsidRPr="00A5012F">
              <w:rPr>
                <w:rFonts w:ascii="Times New Roman" w:hAnsi="Times New Roman" w:cs="Times New Roman"/>
              </w:rPr>
              <w:t xml:space="preserve"> să reprezinte Republica Moldova la Jocurile Olimpice/Paralimpice sau care au reprezentat Republica Moldova la Jocurile Olimpice/Paralimpice;</w:t>
            </w:r>
          </w:p>
          <w:p w:rsidR="002E439E" w:rsidRPr="00A5012F" w:rsidRDefault="002E439E" w:rsidP="00A5012F">
            <w:pPr>
              <w:pStyle w:val="af0"/>
              <w:shd w:val="clear" w:color="auto" w:fill="FFFFFF"/>
              <w:spacing w:before="0" w:beforeAutospacing="0" w:after="0" w:afterAutospacing="0" w:line="276" w:lineRule="auto"/>
              <w:jc w:val="both"/>
              <w:rPr>
                <w:rFonts w:ascii="Times New Roman" w:hAnsi="Times New Roman" w:cs="Times New Roman"/>
              </w:rPr>
            </w:pPr>
            <w:r w:rsidRPr="00A5012F">
              <w:rPr>
                <w:rFonts w:ascii="Times New Roman" w:hAnsi="Times New Roman" w:cs="Times New Roman"/>
              </w:rPr>
              <w:t xml:space="preserve">3) finanțarea federațiilor sportive tradiționale de oină și de trântă, a federației sportului pentru toți, a federației </w:t>
            </w:r>
            <w:r w:rsidR="006D4064" w:rsidRPr="00A5012F">
              <w:rPr>
                <w:rFonts w:ascii="Times New Roman" w:hAnsi="Times New Roman" w:cs="Times New Roman"/>
              </w:rPr>
              <w:t>sportului școlar și</w:t>
            </w:r>
            <w:r w:rsidRPr="00A5012F">
              <w:rPr>
                <w:rFonts w:ascii="Times New Roman" w:hAnsi="Times New Roman" w:cs="Times New Roman"/>
              </w:rPr>
              <w:t xml:space="preserve"> sportului universitar;</w:t>
            </w:r>
          </w:p>
          <w:p w:rsidR="002E439E" w:rsidRPr="00A5012F" w:rsidRDefault="002E439E" w:rsidP="00A5012F">
            <w:pPr>
              <w:pStyle w:val="af0"/>
              <w:shd w:val="clear" w:color="auto" w:fill="FFFFFF"/>
              <w:spacing w:before="0" w:beforeAutospacing="0" w:after="0" w:afterAutospacing="0" w:line="276" w:lineRule="auto"/>
              <w:jc w:val="both"/>
              <w:rPr>
                <w:rFonts w:ascii="Times New Roman" w:hAnsi="Times New Roman" w:cs="Times New Roman"/>
              </w:rPr>
            </w:pPr>
            <w:r w:rsidRPr="00A5012F">
              <w:rPr>
                <w:rFonts w:ascii="Times New Roman" w:hAnsi="Times New Roman" w:cs="Times New Roman"/>
              </w:rPr>
              <w:t xml:space="preserve">4) acordarea suportului financiar pentru achiziționarea </w:t>
            </w:r>
            <w:r w:rsidR="006D4064" w:rsidRPr="00A5012F">
              <w:rPr>
                <w:rFonts w:ascii="Times New Roman" w:hAnsi="Times New Roman" w:cs="Times New Roman"/>
              </w:rPr>
              <w:t>echipamentului și</w:t>
            </w:r>
            <w:r w:rsidRPr="00A5012F">
              <w:rPr>
                <w:rFonts w:ascii="Times New Roman" w:hAnsi="Times New Roman" w:cs="Times New Roman"/>
              </w:rPr>
              <w:t xml:space="preserve"> inventarului sportiv;</w:t>
            </w:r>
          </w:p>
          <w:p w:rsidR="002E439E" w:rsidRPr="00A5012F" w:rsidRDefault="002E439E" w:rsidP="00A5012F">
            <w:pPr>
              <w:pStyle w:val="af0"/>
              <w:shd w:val="clear" w:color="auto" w:fill="FFFFFF"/>
              <w:spacing w:before="0" w:beforeAutospacing="0" w:after="0" w:afterAutospacing="0" w:line="276" w:lineRule="auto"/>
              <w:jc w:val="both"/>
              <w:rPr>
                <w:rFonts w:ascii="Times New Roman" w:hAnsi="Times New Roman" w:cs="Times New Roman"/>
              </w:rPr>
            </w:pPr>
            <w:r w:rsidRPr="00A5012F">
              <w:rPr>
                <w:rFonts w:ascii="Times New Roman" w:hAnsi="Times New Roman" w:cs="Times New Roman"/>
              </w:rPr>
              <w:lastRenderedPageBreak/>
              <w:t>5) acordarea suportului financiar pentru acțiuni sportive specifice, desfășurate de către Comitetul Național Olimpic și Sportiv, Comitetul Paralimpic din Republica Moldova și Comitetul Deaflympic din Moldova, în conformitate cu programele de activitate ale acestora;</w:t>
            </w:r>
          </w:p>
          <w:p w:rsidR="004B60B0" w:rsidRPr="00A5012F" w:rsidRDefault="002E439E" w:rsidP="00A5012F">
            <w:pPr>
              <w:pStyle w:val="af0"/>
              <w:shd w:val="clear" w:color="auto" w:fill="FFFFFF"/>
              <w:spacing w:before="0" w:beforeAutospacing="0" w:after="0" w:afterAutospacing="0" w:line="276" w:lineRule="auto"/>
              <w:jc w:val="both"/>
              <w:rPr>
                <w:rFonts w:ascii="Times New Roman" w:hAnsi="Times New Roman" w:cs="Times New Roman"/>
              </w:rPr>
            </w:pPr>
            <w:r w:rsidRPr="00A5012F">
              <w:rPr>
                <w:rFonts w:ascii="Times New Roman" w:hAnsi="Times New Roman" w:cs="Times New Roman"/>
              </w:rPr>
              <w:t>6) acoperirea altor cheltuieli cu caracter imprevizibil și de urgență, care, conform legislației, țin de competența autorităților publice centrale de specialitate.</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i/>
                <w:sz w:val="24"/>
                <w:szCs w:val="24"/>
                <w:lang w:val="ro-RO"/>
              </w:rPr>
            </w:pPr>
            <w:r w:rsidRPr="00A5012F">
              <w:rPr>
                <w:rFonts w:ascii="Times New Roman" w:hAnsi="Times New Roman" w:cs="Times New Roman"/>
                <w:i/>
                <w:sz w:val="24"/>
                <w:szCs w:val="24"/>
                <w:lang w:val="ro-RO"/>
              </w:rPr>
              <w:lastRenderedPageBreak/>
              <w:t>2.2. Descrierea situației actuale și a problemelor care impun intervenția, inclusiv a cadrului normativ aplicabil și a deficiențelor/lacunelor normative</w:t>
            </w:r>
            <w:r w:rsidR="00217E5E" w:rsidRPr="00A5012F">
              <w:rPr>
                <w:rFonts w:ascii="Times New Roman" w:hAnsi="Times New Roman" w:cs="Times New Roman"/>
                <w:i/>
                <w:sz w:val="24"/>
                <w:szCs w:val="24"/>
                <w:lang w:val="ro-RO"/>
              </w:rPr>
              <w:t>.</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C1048" w:rsidRPr="00A5012F" w:rsidRDefault="007665BA" w:rsidP="00A5012F">
            <w:pPr>
              <w:shd w:val="clear" w:color="auto" w:fill="FFFFFF"/>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rPr>
              <w:t>Conform</w:t>
            </w:r>
            <w:r w:rsidR="002C1048" w:rsidRPr="00A5012F">
              <w:rPr>
                <w:rFonts w:ascii="Times New Roman" w:hAnsi="Times New Roman" w:cs="Times New Roman"/>
                <w:sz w:val="24"/>
                <w:szCs w:val="24"/>
                <w:lang w:val="ro-RO"/>
              </w:rPr>
              <w:t xml:space="preserve"> Anexei nr.1, pentru organizarea Campionatului național se acordă 7 puncte federațiilor sportive.</w:t>
            </w:r>
          </w:p>
          <w:p w:rsidR="002C1048" w:rsidRPr="00A5012F" w:rsidRDefault="002C1048" w:rsidP="00A5012F">
            <w:pPr>
              <w:shd w:val="clear" w:color="auto" w:fill="FFFFFF"/>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 xml:space="preserve">În acest caz unele federații </w:t>
            </w:r>
            <w:r w:rsidR="00B90ED9" w:rsidRPr="00A5012F">
              <w:rPr>
                <w:rFonts w:ascii="Times New Roman" w:hAnsi="Times New Roman" w:cs="Times New Roman"/>
                <w:sz w:val="24"/>
                <w:szCs w:val="24"/>
                <w:lang w:val="ro-RO"/>
              </w:rPr>
              <w:t>sportive organizează</w:t>
            </w:r>
            <w:r w:rsidRPr="00A5012F">
              <w:rPr>
                <w:rFonts w:ascii="Times New Roman" w:hAnsi="Times New Roman" w:cs="Times New Roman"/>
                <w:sz w:val="24"/>
                <w:szCs w:val="24"/>
                <w:lang w:val="ro-RO"/>
              </w:rPr>
              <w:t xml:space="preserve"> campionatul național la categoria </w:t>
            </w:r>
            <w:r w:rsidR="006F4FEE" w:rsidRPr="00A5012F">
              <w:rPr>
                <w:rFonts w:ascii="Times New Roman" w:hAnsi="Times New Roman" w:cs="Times New Roman"/>
                <w:sz w:val="24"/>
                <w:szCs w:val="24"/>
                <w:lang w:val="ro-RO"/>
              </w:rPr>
              <w:t xml:space="preserve">de vârstă </w:t>
            </w:r>
            <w:r w:rsidRPr="00A5012F">
              <w:rPr>
                <w:rFonts w:ascii="Times New Roman" w:hAnsi="Times New Roman" w:cs="Times New Roman"/>
                <w:color w:val="FF0000"/>
                <w:sz w:val="24"/>
                <w:szCs w:val="24"/>
                <w:lang w:val="ro-RO"/>
              </w:rPr>
              <w:t>juniori</w:t>
            </w:r>
            <w:r w:rsidR="006F4FEE" w:rsidRPr="00A5012F">
              <w:rPr>
                <w:rFonts w:ascii="Times New Roman" w:hAnsi="Times New Roman" w:cs="Times New Roman"/>
                <w:color w:val="FF0000"/>
                <w:sz w:val="24"/>
                <w:szCs w:val="24"/>
                <w:lang w:val="ro-RO"/>
              </w:rPr>
              <w:t xml:space="preserve"> </w:t>
            </w:r>
            <w:r w:rsidRPr="00A5012F">
              <w:rPr>
                <w:rFonts w:ascii="Times New Roman" w:hAnsi="Times New Roman" w:cs="Times New Roman"/>
                <w:color w:val="FF0000"/>
                <w:sz w:val="24"/>
                <w:szCs w:val="24"/>
                <w:lang w:val="ro-RO"/>
              </w:rPr>
              <w:t>, tineret, U-23, U-20, U-17 și seniori,</w:t>
            </w:r>
            <w:r w:rsidRPr="00A5012F">
              <w:rPr>
                <w:rFonts w:ascii="Times New Roman" w:hAnsi="Times New Roman" w:cs="Times New Roman"/>
                <w:sz w:val="24"/>
                <w:szCs w:val="24"/>
                <w:lang w:val="ro-RO"/>
              </w:rPr>
              <w:t xml:space="preserve"> în mod separat</w:t>
            </w:r>
            <w:r w:rsidR="0074277D" w:rsidRPr="00A5012F">
              <w:rPr>
                <w:rFonts w:ascii="Times New Roman" w:hAnsi="Times New Roman" w:cs="Times New Roman"/>
                <w:sz w:val="24"/>
                <w:szCs w:val="24"/>
                <w:lang w:val="ro-RO"/>
              </w:rPr>
              <w:t>. Astfel,</w:t>
            </w:r>
            <w:r w:rsidRPr="00A5012F">
              <w:rPr>
                <w:rFonts w:ascii="Times New Roman" w:hAnsi="Times New Roman" w:cs="Times New Roman"/>
                <w:sz w:val="24"/>
                <w:szCs w:val="24"/>
                <w:lang w:val="ro-RO"/>
              </w:rPr>
              <w:t xml:space="preserve"> este oportun de modificat prevederea respectivă și de stabilit pun</w:t>
            </w:r>
            <w:r w:rsidR="006F4FEE" w:rsidRPr="00A5012F">
              <w:rPr>
                <w:rFonts w:ascii="Times New Roman" w:hAnsi="Times New Roman" w:cs="Times New Roman"/>
                <w:sz w:val="24"/>
                <w:szCs w:val="24"/>
                <w:lang w:val="ro-RO"/>
              </w:rPr>
              <w:t>ctaj pentru fiecare</w:t>
            </w:r>
            <w:r w:rsidRPr="00A5012F">
              <w:rPr>
                <w:rFonts w:ascii="Times New Roman" w:hAnsi="Times New Roman" w:cs="Times New Roman"/>
                <w:sz w:val="24"/>
                <w:szCs w:val="24"/>
                <w:lang w:val="ro-RO"/>
              </w:rPr>
              <w:t xml:space="preserve"> campionat național</w:t>
            </w:r>
            <w:r w:rsidR="006F4FEE" w:rsidRPr="00A5012F">
              <w:rPr>
                <w:rFonts w:ascii="Times New Roman" w:hAnsi="Times New Roman" w:cs="Times New Roman"/>
                <w:sz w:val="24"/>
                <w:szCs w:val="24"/>
                <w:lang w:val="ro-RO"/>
              </w:rPr>
              <w:t>, în dependență de vârsta participanților acestuia</w:t>
            </w:r>
            <w:r w:rsidRPr="00A5012F">
              <w:rPr>
                <w:rFonts w:ascii="Times New Roman" w:hAnsi="Times New Roman" w:cs="Times New Roman"/>
                <w:sz w:val="24"/>
                <w:szCs w:val="24"/>
                <w:lang w:val="ro-RO"/>
              </w:rPr>
              <w:t>.</w:t>
            </w:r>
            <w:r w:rsidR="006F4FEE" w:rsidRPr="00A5012F">
              <w:rPr>
                <w:rFonts w:ascii="Times New Roman" w:hAnsi="Times New Roman" w:cs="Times New Roman"/>
                <w:sz w:val="24"/>
                <w:szCs w:val="24"/>
                <w:lang w:val="ro-RO"/>
              </w:rPr>
              <w:t xml:space="preserve"> Organizarea campionatelor naționale în dependență de categoria de vârstă al sportivilor </w:t>
            </w:r>
          </w:p>
          <w:p w:rsidR="0074277D" w:rsidRPr="00A5012F" w:rsidRDefault="00B90ED9" w:rsidP="00A5012F">
            <w:pPr>
              <w:shd w:val="clear" w:color="auto" w:fill="FFFFFF"/>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Prin proiect se propune de acoperit</w:t>
            </w:r>
            <w:r w:rsidR="0074277D" w:rsidRPr="00A5012F">
              <w:rPr>
                <w:rFonts w:ascii="Times New Roman" w:hAnsi="Times New Roman" w:cs="Times New Roman"/>
                <w:sz w:val="24"/>
                <w:szCs w:val="24"/>
                <w:lang w:val="ro-RO"/>
              </w:rPr>
              <w:t xml:space="preserve"> o lacună important</w:t>
            </w:r>
            <w:r w:rsidRPr="00A5012F">
              <w:rPr>
                <w:rFonts w:ascii="Times New Roman" w:hAnsi="Times New Roman" w:cs="Times New Roman"/>
                <w:sz w:val="24"/>
                <w:szCs w:val="24"/>
                <w:lang w:val="ro-RO"/>
              </w:rPr>
              <w:t>ă, și anume federațiile</w:t>
            </w:r>
            <w:r w:rsidR="0074277D" w:rsidRPr="00A5012F">
              <w:rPr>
                <w:rFonts w:ascii="Times New Roman" w:hAnsi="Times New Roman" w:cs="Times New Roman"/>
                <w:sz w:val="24"/>
                <w:szCs w:val="24"/>
                <w:lang w:val="ro-RO"/>
              </w:rPr>
              <w:t xml:space="preserve"> olimpice/paralimpice participă la Turnee</w:t>
            </w:r>
            <w:r w:rsidR="006F4FEE" w:rsidRPr="00A5012F">
              <w:rPr>
                <w:rFonts w:ascii="Times New Roman" w:hAnsi="Times New Roman" w:cs="Times New Roman"/>
                <w:sz w:val="24"/>
                <w:szCs w:val="24"/>
                <w:lang w:val="ro-RO"/>
              </w:rPr>
              <w:t>le</w:t>
            </w:r>
            <w:r w:rsidR="0074277D" w:rsidRPr="00A5012F">
              <w:rPr>
                <w:rFonts w:ascii="Times New Roman" w:hAnsi="Times New Roman" w:cs="Times New Roman"/>
                <w:sz w:val="24"/>
                <w:szCs w:val="24"/>
                <w:lang w:val="ro-RO"/>
              </w:rPr>
              <w:t xml:space="preserve"> de calificare pentru a participa ulterior l</w:t>
            </w:r>
            <w:r w:rsidRPr="00A5012F">
              <w:rPr>
                <w:rFonts w:ascii="Times New Roman" w:hAnsi="Times New Roman" w:cs="Times New Roman"/>
                <w:sz w:val="24"/>
                <w:szCs w:val="24"/>
                <w:lang w:val="ro-RO"/>
              </w:rPr>
              <w:t>a Jocurile Olimpice/Paralimpice. P</w:t>
            </w:r>
            <w:r w:rsidR="0074277D" w:rsidRPr="00A5012F">
              <w:rPr>
                <w:rFonts w:ascii="Times New Roman" w:hAnsi="Times New Roman" w:cs="Times New Roman"/>
                <w:sz w:val="24"/>
                <w:szCs w:val="24"/>
                <w:lang w:val="ro-RO"/>
              </w:rPr>
              <w:t>entru rezultatele obținute</w:t>
            </w:r>
            <w:r w:rsidRPr="00A5012F">
              <w:rPr>
                <w:rFonts w:ascii="Times New Roman" w:hAnsi="Times New Roman" w:cs="Times New Roman"/>
                <w:sz w:val="24"/>
                <w:szCs w:val="24"/>
                <w:lang w:val="ro-RO"/>
              </w:rPr>
              <w:t xml:space="preserve"> la Turneele de calificare</w:t>
            </w:r>
            <w:r w:rsidR="0074277D" w:rsidRPr="00A5012F">
              <w:rPr>
                <w:rFonts w:ascii="Times New Roman" w:hAnsi="Times New Roman" w:cs="Times New Roman"/>
                <w:sz w:val="24"/>
                <w:szCs w:val="24"/>
                <w:lang w:val="ro-RO"/>
              </w:rPr>
              <w:t xml:space="preserve"> nu este prevăzut acumularea punctajului necesar pentru finanțare.</w:t>
            </w:r>
          </w:p>
          <w:p w:rsidR="002C1048" w:rsidRPr="00A5012F" w:rsidRDefault="0074277D" w:rsidP="00A5012F">
            <w:pPr>
              <w:shd w:val="clear" w:color="auto" w:fill="FFFFFF"/>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În acest caz, se propune de completat la Anexa nr.2, tabelele 1 și 3 cu prevedere care reglementează acumularea punctajului pentru participarea la Turnee de cali</w:t>
            </w:r>
            <w:r w:rsidR="00B90ED9" w:rsidRPr="00A5012F">
              <w:rPr>
                <w:rFonts w:ascii="Times New Roman" w:hAnsi="Times New Roman" w:cs="Times New Roman"/>
                <w:sz w:val="24"/>
                <w:szCs w:val="24"/>
                <w:lang w:val="ro-RO"/>
              </w:rPr>
              <w:t>ficare</w:t>
            </w:r>
            <w:r w:rsidRPr="00A5012F">
              <w:rPr>
                <w:rFonts w:ascii="Times New Roman" w:hAnsi="Times New Roman" w:cs="Times New Roman"/>
                <w:sz w:val="24"/>
                <w:szCs w:val="24"/>
                <w:lang w:val="ro-RO"/>
              </w:rPr>
              <w:t xml:space="preserve">. </w:t>
            </w:r>
          </w:p>
          <w:p w:rsidR="000A79EA" w:rsidRPr="00A5012F" w:rsidRDefault="000A79EA" w:rsidP="00A5012F">
            <w:pPr>
              <w:shd w:val="clear" w:color="auto" w:fill="FFFFFF"/>
              <w:spacing w:line="276" w:lineRule="auto"/>
              <w:ind w:firstLine="0"/>
              <w:rPr>
                <w:rFonts w:ascii="Times New Roman" w:hAnsi="Times New Roman" w:cs="Times New Roman"/>
                <w:sz w:val="24"/>
                <w:szCs w:val="24"/>
                <w:shd w:val="clear" w:color="auto" w:fill="FFFFFF"/>
                <w:lang w:val="ro-RO"/>
              </w:rPr>
            </w:pPr>
            <w:r w:rsidRPr="00A5012F">
              <w:rPr>
                <w:rFonts w:ascii="Times New Roman" w:hAnsi="Times New Roman" w:cs="Times New Roman"/>
                <w:sz w:val="24"/>
                <w:szCs w:val="24"/>
                <w:shd w:val="clear" w:color="auto" w:fill="FFFFFF"/>
                <w:lang w:val="ro-RO"/>
              </w:rPr>
              <w:t>Conform pct.3 din Anexa nr.3, suma alocată din mijloacele financiare de rezervă unei federații sportive naționale, pentru acțiunile prevăzute la pct.2, nu poate depăși 50% din suma totală acordată unei federații sportive după aplicarea sistemului de repartizare a alocațiilor conform criteriilor distincte.</w:t>
            </w:r>
          </w:p>
          <w:p w:rsidR="000A79EA" w:rsidRPr="00A5012F" w:rsidRDefault="000A79EA" w:rsidP="00A5012F">
            <w:pPr>
              <w:shd w:val="clear" w:color="auto" w:fill="FFFFFF"/>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Astfel, prevederea respectivă limitează finanțarea din rezervă al federațiilor sportive, stabilind o barieră juridică sau normativă în acest sens.</w:t>
            </w:r>
          </w:p>
          <w:p w:rsidR="004B60B0" w:rsidRPr="00A5012F" w:rsidRDefault="000A79EA" w:rsidP="00A5012F">
            <w:pPr>
              <w:shd w:val="clear" w:color="auto" w:fill="FFFFFF"/>
              <w:spacing w:line="276" w:lineRule="auto"/>
              <w:ind w:firstLine="0"/>
              <w:rPr>
                <w:rFonts w:ascii="Times New Roman" w:hAnsi="Times New Roman" w:cs="Times New Roman"/>
                <w:sz w:val="24"/>
                <w:szCs w:val="24"/>
                <w:shd w:val="clear" w:color="auto" w:fill="FFFFFF"/>
                <w:lang w:val="ro-RO"/>
              </w:rPr>
            </w:pPr>
            <w:r w:rsidRPr="00A5012F">
              <w:rPr>
                <w:rFonts w:ascii="Times New Roman" w:hAnsi="Times New Roman" w:cs="Times New Roman"/>
                <w:sz w:val="24"/>
                <w:szCs w:val="24"/>
                <w:lang w:val="ro-RO"/>
              </w:rPr>
              <w:t xml:space="preserve">Federațiile sportive beneficiază de finanțarea conform criteriilor distincte stabilite în Anexa nr.2, iar anumite cazuri prevăzute, beneficiază de finanțare din rezervă, conform prevederilor Anexei nr.3. </w:t>
            </w:r>
            <w:r w:rsidRPr="00A5012F">
              <w:rPr>
                <w:rFonts w:ascii="Times New Roman" w:hAnsi="Times New Roman" w:cs="Times New Roman"/>
                <w:sz w:val="24"/>
                <w:szCs w:val="24"/>
                <w:shd w:val="clear" w:color="auto" w:fill="FFFFFF"/>
                <w:lang w:val="ro-RO"/>
              </w:rPr>
              <w:t>Există situații când unele federații sportive au nevoie de sume de bani care depășesc 50% din rezervă, iar autoritatea centrală de specialitate nu poate oferi mijloacele financiare respective fiind stabilit un prag ori o barieră legală/normativă în acest sens.</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b/>
                <w:sz w:val="24"/>
                <w:szCs w:val="24"/>
                <w:lang w:val="ro-RO"/>
              </w:rPr>
            </w:pPr>
            <w:r w:rsidRPr="00A5012F">
              <w:rPr>
                <w:rFonts w:ascii="Times New Roman" w:hAnsi="Times New Roman" w:cs="Times New Roman"/>
                <w:b/>
                <w:sz w:val="24"/>
                <w:szCs w:val="24"/>
                <w:lang w:val="ro-RO"/>
              </w:rPr>
              <w:t>3. Obiectivele urmărite și soluțiile propuse</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i/>
                <w:sz w:val="24"/>
                <w:szCs w:val="24"/>
                <w:lang w:val="ro-RO"/>
              </w:rPr>
            </w:pPr>
            <w:r w:rsidRPr="00A5012F">
              <w:rPr>
                <w:rFonts w:ascii="Times New Roman" w:hAnsi="Times New Roman" w:cs="Times New Roman"/>
                <w:i/>
                <w:sz w:val="24"/>
                <w:szCs w:val="24"/>
                <w:lang w:val="ro-RO"/>
              </w:rPr>
              <w:t>3.1. Principalele prevederi ale proiectului și evidențierea elementelor noi.</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0573" w:rsidRPr="00A5012F" w:rsidRDefault="00050573" w:rsidP="00A5012F">
            <w:pPr>
              <w:shd w:val="clear" w:color="auto" w:fill="FFFFFF"/>
              <w:spacing w:line="276" w:lineRule="auto"/>
              <w:ind w:firstLine="0"/>
              <w:rPr>
                <w:rFonts w:ascii="Times New Roman" w:hAnsi="Times New Roman" w:cs="Times New Roman"/>
                <w:sz w:val="24"/>
                <w:szCs w:val="24"/>
                <w:shd w:val="clear" w:color="auto" w:fill="FFFFFF"/>
                <w:lang w:val="ro-RO"/>
              </w:rPr>
            </w:pPr>
            <w:r w:rsidRPr="00A5012F">
              <w:rPr>
                <w:rFonts w:ascii="Times New Roman" w:hAnsi="Times New Roman" w:cs="Times New Roman"/>
                <w:sz w:val="24"/>
                <w:szCs w:val="24"/>
                <w:shd w:val="clear" w:color="auto" w:fill="FFFFFF"/>
                <w:lang w:val="ro-RO"/>
              </w:rPr>
              <w:t xml:space="preserve">Conform modificările propuse la Anexa nr.1, fiecare federație sportivă care va organiza campionatele naționale pe categoria de vârsă al sportivilor vor obține punctaj, în dependență de numărul campionatelor naționale organizate. </w:t>
            </w:r>
          </w:p>
          <w:p w:rsidR="00DD5F19" w:rsidRPr="00A5012F" w:rsidRDefault="00050573" w:rsidP="00A5012F">
            <w:pPr>
              <w:shd w:val="clear" w:color="auto" w:fill="FFFFFF"/>
              <w:spacing w:line="276" w:lineRule="auto"/>
              <w:ind w:firstLine="0"/>
              <w:rPr>
                <w:rFonts w:ascii="Times New Roman" w:hAnsi="Times New Roman" w:cs="Times New Roman"/>
                <w:sz w:val="24"/>
                <w:szCs w:val="24"/>
                <w:shd w:val="clear" w:color="auto" w:fill="FFFFFF"/>
                <w:lang w:val="ro-RO"/>
              </w:rPr>
            </w:pPr>
            <w:r w:rsidRPr="00A5012F">
              <w:rPr>
                <w:rFonts w:ascii="Times New Roman" w:hAnsi="Times New Roman" w:cs="Times New Roman"/>
                <w:sz w:val="24"/>
                <w:szCs w:val="24"/>
                <w:shd w:val="clear" w:color="auto" w:fill="FFFFFF"/>
                <w:lang w:val="ro-RO"/>
              </w:rPr>
              <w:t>Potrivit</w:t>
            </w:r>
            <w:r w:rsidR="00DD5F19" w:rsidRPr="00A5012F">
              <w:rPr>
                <w:rFonts w:ascii="Times New Roman" w:hAnsi="Times New Roman" w:cs="Times New Roman"/>
                <w:sz w:val="24"/>
                <w:szCs w:val="24"/>
                <w:shd w:val="clear" w:color="auto" w:fill="FFFFFF"/>
                <w:lang w:val="ro-RO"/>
              </w:rPr>
              <w:t xml:space="preserve"> completărilor propuse în Anexa nr.2, tabelele 1 și 3, se propune a</w:t>
            </w:r>
            <w:r w:rsidR="00303033" w:rsidRPr="00A5012F">
              <w:rPr>
                <w:rFonts w:ascii="Times New Roman" w:hAnsi="Times New Roman" w:cs="Times New Roman"/>
                <w:sz w:val="24"/>
                <w:szCs w:val="24"/>
                <w:shd w:val="clear" w:color="auto" w:fill="FFFFFF"/>
                <w:lang w:val="ro-RO"/>
              </w:rPr>
              <w:t>coperirea unor lacune și anume stabilirea punctajului pentru participarea la turnee de calificare către Jocurile Olimpice/Paralimpice.</w:t>
            </w:r>
          </w:p>
          <w:p w:rsidR="004B60B0" w:rsidRPr="00A5012F" w:rsidRDefault="000A79EA" w:rsidP="00A5012F">
            <w:pPr>
              <w:shd w:val="clear" w:color="auto" w:fill="FFFFFF"/>
              <w:spacing w:line="276" w:lineRule="auto"/>
              <w:ind w:firstLine="0"/>
              <w:rPr>
                <w:rFonts w:ascii="Times New Roman" w:hAnsi="Times New Roman" w:cs="Times New Roman"/>
                <w:sz w:val="24"/>
                <w:szCs w:val="24"/>
                <w:lang w:val="ro-RO"/>
              </w:rPr>
            </w:pPr>
            <w:proofErr w:type="spellStart"/>
            <w:r w:rsidRPr="00A5012F">
              <w:rPr>
                <w:rFonts w:ascii="Times New Roman" w:hAnsi="Times New Roman" w:cs="Times New Roman"/>
                <w:sz w:val="24"/>
                <w:szCs w:val="24"/>
                <w:shd w:val="clear" w:color="auto" w:fill="FFFFFF"/>
              </w:rPr>
              <w:t>Punctul</w:t>
            </w:r>
            <w:proofErr w:type="spellEnd"/>
            <w:r w:rsidRPr="00A5012F">
              <w:rPr>
                <w:rFonts w:ascii="Times New Roman" w:hAnsi="Times New Roman" w:cs="Times New Roman"/>
                <w:sz w:val="24"/>
                <w:szCs w:val="24"/>
                <w:shd w:val="clear" w:color="auto" w:fill="FFFFFF"/>
              </w:rPr>
              <w:t xml:space="preserve"> 3 din </w:t>
            </w:r>
            <w:proofErr w:type="spellStart"/>
            <w:r w:rsidRPr="00A5012F">
              <w:rPr>
                <w:rFonts w:ascii="Times New Roman" w:hAnsi="Times New Roman" w:cs="Times New Roman"/>
                <w:sz w:val="24"/>
                <w:szCs w:val="24"/>
                <w:shd w:val="clear" w:color="auto" w:fill="FFFFFF"/>
              </w:rPr>
              <w:t>Anexa</w:t>
            </w:r>
            <w:proofErr w:type="spellEnd"/>
            <w:r w:rsidRPr="00A5012F">
              <w:rPr>
                <w:rFonts w:ascii="Times New Roman" w:hAnsi="Times New Roman" w:cs="Times New Roman"/>
                <w:sz w:val="24"/>
                <w:szCs w:val="24"/>
                <w:shd w:val="clear" w:color="auto" w:fill="FFFFFF"/>
              </w:rPr>
              <w:t xml:space="preserve"> nr.3 </w:t>
            </w:r>
            <w:r w:rsidR="005C1925" w:rsidRPr="00A5012F">
              <w:rPr>
                <w:rFonts w:ascii="Times New Roman" w:hAnsi="Times New Roman" w:cs="Times New Roman"/>
                <w:sz w:val="24"/>
                <w:szCs w:val="24"/>
                <w:shd w:val="clear" w:color="auto" w:fill="FFFFFF"/>
                <w:lang w:val="ro-RO"/>
              </w:rPr>
              <w:t>reprezintă un prag/</w:t>
            </w:r>
            <w:r w:rsidRPr="00A5012F">
              <w:rPr>
                <w:rFonts w:ascii="Times New Roman" w:hAnsi="Times New Roman" w:cs="Times New Roman"/>
                <w:sz w:val="24"/>
                <w:szCs w:val="24"/>
                <w:shd w:val="clear" w:color="auto" w:fill="FFFFFF"/>
                <w:lang w:val="ro-RO"/>
              </w:rPr>
              <w:t>bar</w:t>
            </w:r>
            <w:r w:rsidR="005C1925" w:rsidRPr="00A5012F">
              <w:rPr>
                <w:rFonts w:ascii="Times New Roman" w:hAnsi="Times New Roman" w:cs="Times New Roman"/>
                <w:sz w:val="24"/>
                <w:szCs w:val="24"/>
                <w:shd w:val="clear" w:color="auto" w:fill="FFFFFF"/>
                <w:lang w:val="ro-RO"/>
              </w:rPr>
              <w:t>ieră juridică care limitează și</w:t>
            </w:r>
            <w:r w:rsidRPr="00A5012F">
              <w:rPr>
                <w:rFonts w:ascii="Times New Roman" w:hAnsi="Times New Roman" w:cs="Times New Roman"/>
                <w:sz w:val="24"/>
                <w:szCs w:val="24"/>
                <w:shd w:val="clear" w:color="auto" w:fill="FFFFFF"/>
                <w:lang w:val="ro-RO"/>
              </w:rPr>
              <w:t xml:space="preserve"> împiedică autoritatea centrală de specialitate să realizeze finanțarea în mod liber și complet</w:t>
            </w:r>
            <w:r w:rsidR="005C1925" w:rsidRPr="00A5012F">
              <w:rPr>
                <w:rFonts w:ascii="Times New Roman" w:hAnsi="Times New Roman" w:cs="Times New Roman"/>
                <w:sz w:val="24"/>
                <w:szCs w:val="24"/>
                <w:shd w:val="clear" w:color="auto" w:fill="FFFFFF"/>
                <w:lang w:val="ro-RO"/>
              </w:rPr>
              <w:t xml:space="preserve"> în raport cu</w:t>
            </w:r>
            <w:r w:rsidRPr="00A5012F">
              <w:rPr>
                <w:rFonts w:ascii="Times New Roman" w:hAnsi="Times New Roman" w:cs="Times New Roman"/>
                <w:sz w:val="24"/>
                <w:szCs w:val="24"/>
                <w:shd w:val="clear" w:color="auto" w:fill="FFFFFF"/>
                <w:lang w:val="ro-RO"/>
              </w:rPr>
              <w:t xml:space="preserve"> federații</w:t>
            </w:r>
            <w:r w:rsidR="005C1925" w:rsidRPr="00A5012F">
              <w:rPr>
                <w:rFonts w:ascii="Times New Roman" w:hAnsi="Times New Roman" w:cs="Times New Roman"/>
                <w:sz w:val="24"/>
                <w:szCs w:val="24"/>
                <w:shd w:val="clear" w:color="auto" w:fill="FFFFFF"/>
                <w:lang w:val="ro-RO"/>
              </w:rPr>
              <w:t>le</w:t>
            </w:r>
            <w:r w:rsidRPr="00A5012F">
              <w:rPr>
                <w:rFonts w:ascii="Times New Roman" w:hAnsi="Times New Roman" w:cs="Times New Roman"/>
                <w:sz w:val="24"/>
                <w:szCs w:val="24"/>
                <w:shd w:val="clear" w:color="auto" w:fill="FFFFFF"/>
                <w:lang w:val="ro-RO"/>
              </w:rPr>
              <w:t xml:space="preserve"> sportive pentru a participa la competițiile sportive internaționale. Astfel, abrogarea punctului respectiv va liberaliza activitatea autorității centrale de specialitate în raport cu finanțarea federațiilor sportive și va mări fi</w:t>
            </w:r>
            <w:r w:rsidR="005C1925" w:rsidRPr="00A5012F">
              <w:rPr>
                <w:rFonts w:ascii="Times New Roman" w:hAnsi="Times New Roman" w:cs="Times New Roman"/>
                <w:sz w:val="24"/>
                <w:szCs w:val="24"/>
                <w:shd w:val="clear" w:color="auto" w:fill="FFFFFF"/>
                <w:lang w:val="ro-RO"/>
              </w:rPr>
              <w:t>nanțarea acestor structuri sportive</w:t>
            </w:r>
            <w:r w:rsidRPr="00A5012F">
              <w:rPr>
                <w:rFonts w:ascii="Times New Roman" w:hAnsi="Times New Roman" w:cs="Times New Roman"/>
                <w:sz w:val="24"/>
                <w:szCs w:val="24"/>
                <w:shd w:val="clear" w:color="auto" w:fill="FFFFFF"/>
                <w:lang w:val="ro-RO"/>
              </w:rPr>
              <w:t>.</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i/>
                <w:sz w:val="24"/>
                <w:szCs w:val="24"/>
                <w:lang w:val="ro-RO"/>
              </w:rPr>
            </w:pPr>
            <w:r w:rsidRPr="00A5012F">
              <w:rPr>
                <w:rFonts w:ascii="Times New Roman" w:hAnsi="Times New Roman" w:cs="Times New Roman"/>
                <w:i/>
                <w:sz w:val="24"/>
                <w:szCs w:val="24"/>
                <w:lang w:val="ro-RO"/>
              </w:rPr>
              <w:t>3.2. Opțiunile alternative analizate și motivele pentru care acestea nu au fost luate în considerare.</w:t>
            </w:r>
          </w:p>
        </w:tc>
      </w:tr>
      <w:tr w:rsidR="004B60B0" w:rsidRPr="00A5012F" w:rsidTr="0020430B">
        <w:tc>
          <w:tcPr>
            <w:tcW w:w="111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 xml:space="preserve">A fost analizată opțiunea „a nu face nimic”. Această opțiune presupune aplicarea neschimbată a mecanismului pentru anul de finanțare 2025. Opțiunea nu se consideră una viabilă din considerentul că necesitatea intervenției a fost scoasă în evidență de federațiile sportive, beneficiarii mecanismului de finanțare, care au identificat necesitatea de intervenție de ordin tehnic, pentru a asigura echitatea, transparența și impactul mijloacelor financiare alocate. </w:t>
            </w:r>
          </w:p>
          <w:p w:rsidR="004B60B0" w:rsidRPr="00A5012F" w:rsidRDefault="00284C08" w:rsidP="00A5012F">
            <w:pPr>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A fost analizată opțiunea elaborării unui mecanism nou. Această opțiune nu se consideră viabilă din considerentul că actul normativ în vigoare este pus în</w:t>
            </w:r>
            <w:r w:rsidR="00F115F8" w:rsidRPr="00A5012F">
              <w:rPr>
                <w:rFonts w:ascii="Times New Roman" w:hAnsi="Times New Roman" w:cs="Times New Roman"/>
                <w:sz w:val="24"/>
                <w:szCs w:val="24"/>
                <w:lang w:val="ro-RO"/>
              </w:rPr>
              <w:t xml:space="preserve"> aplicare pentru o perioadă de 2</w:t>
            </w:r>
            <w:r w:rsidRPr="00A5012F">
              <w:rPr>
                <w:rFonts w:ascii="Times New Roman" w:hAnsi="Times New Roman" w:cs="Times New Roman"/>
                <w:sz w:val="24"/>
                <w:szCs w:val="24"/>
                <w:lang w:val="ro-RO"/>
              </w:rPr>
              <w:t xml:space="preserve"> ani, a demonstrat că este eficient, transparent și contribuie la o mai bună planificare a mijloacelor financiare. </w:t>
            </w:r>
          </w:p>
        </w:tc>
      </w:tr>
      <w:tr w:rsidR="004B60B0" w:rsidRPr="00A5012F" w:rsidTr="00022107">
        <w:trPr>
          <w:trHeight w:val="216"/>
        </w:trPr>
        <w:tc>
          <w:tcPr>
            <w:tcW w:w="1119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b/>
                <w:sz w:val="24"/>
                <w:szCs w:val="24"/>
                <w:lang w:val="ro-RO"/>
              </w:rPr>
            </w:pPr>
            <w:r w:rsidRPr="00A5012F">
              <w:rPr>
                <w:rFonts w:ascii="Times New Roman" w:hAnsi="Times New Roman" w:cs="Times New Roman"/>
                <w:b/>
                <w:sz w:val="24"/>
                <w:szCs w:val="24"/>
                <w:lang w:val="ro-RO"/>
              </w:rPr>
              <w:t xml:space="preserve">4. Analiza impactului de reglementare </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i/>
                <w:sz w:val="24"/>
                <w:szCs w:val="24"/>
                <w:lang w:val="ro-RO"/>
              </w:rPr>
            </w:pPr>
            <w:r w:rsidRPr="00A5012F">
              <w:rPr>
                <w:rFonts w:ascii="Times New Roman" w:hAnsi="Times New Roman" w:cs="Times New Roman"/>
                <w:i/>
                <w:sz w:val="24"/>
                <w:szCs w:val="24"/>
                <w:lang w:val="ro-RO"/>
              </w:rPr>
              <w:t>4.1. Impactul asupra sectorului public</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pBdr>
                <w:top w:val="none" w:sz="0" w:space="0" w:color="000000"/>
                <w:left w:val="none" w:sz="0" w:space="0" w:color="000000"/>
                <w:bottom w:val="none" w:sz="0" w:space="0" w:color="000000"/>
                <w:right w:val="none" w:sz="0" w:space="0" w:color="000000"/>
              </w:pBdr>
              <w:tabs>
                <w:tab w:val="left" w:pos="884"/>
                <w:tab w:val="left" w:pos="1196"/>
              </w:tabs>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Modificările la mecanismul de finanțare a sportului de performanță propuse spre aprobare urmează să contribuie la o planificare mai eficientă, bazată pe rezultat, a mijloacelor financiare ale autorității publice centrale de specialitate și să intervină cu alocarea mijloacelor supli</w:t>
            </w:r>
            <w:r w:rsidR="00B37CA0" w:rsidRPr="00A5012F">
              <w:rPr>
                <w:rFonts w:ascii="Times New Roman" w:hAnsi="Times New Roman" w:cs="Times New Roman"/>
                <w:sz w:val="24"/>
                <w:szCs w:val="24"/>
                <w:lang w:val="ro-RO"/>
              </w:rPr>
              <w:t>mentare în bază de necesități</w:t>
            </w:r>
            <w:r w:rsidR="00857B93" w:rsidRPr="00A5012F">
              <w:rPr>
                <w:rFonts w:ascii="Times New Roman" w:hAnsi="Times New Roman" w:cs="Times New Roman"/>
                <w:sz w:val="24"/>
                <w:szCs w:val="24"/>
                <w:lang w:val="ro-RO"/>
              </w:rPr>
              <w:t>.</w:t>
            </w:r>
          </w:p>
          <w:p w:rsidR="004B60B0" w:rsidRPr="00A5012F" w:rsidRDefault="00284C08" w:rsidP="00A5012F">
            <w:pPr>
              <w:pBdr>
                <w:top w:val="none" w:sz="0" w:space="0" w:color="000000"/>
                <w:left w:val="none" w:sz="0" w:space="0" w:color="000000"/>
                <w:bottom w:val="none" w:sz="0" w:space="0" w:color="000000"/>
                <w:right w:val="none" w:sz="0" w:space="0" w:color="000000"/>
              </w:pBdr>
              <w:tabs>
                <w:tab w:val="left" w:pos="884"/>
                <w:tab w:val="left" w:pos="1196"/>
              </w:tabs>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lastRenderedPageBreak/>
              <w:t>Prin prezentele modificări urmează a fi asigurată o previzibilitate mai bună pentru federațiile sportive care au demonstrat rezultate pe parcursul anului precedent, precum și urmează a fi alocate mijloace financiare garantate pentru a asigura continuita</w:t>
            </w:r>
            <w:r w:rsidR="00857B93" w:rsidRPr="00A5012F">
              <w:rPr>
                <w:rFonts w:ascii="Times New Roman" w:hAnsi="Times New Roman" w:cs="Times New Roman"/>
                <w:sz w:val="24"/>
                <w:szCs w:val="24"/>
                <w:lang w:val="ro-RO"/>
              </w:rPr>
              <w:t>tea proceselor în desfășurare.</w:t>
            </w:r>
          </w:p>
          <w:p w:rsidR="004B60B0" w:rsidRPr="00A5012F" w:rsidRDefault="00284C08" w:rsidP="00A5012F">
            <w:pPr>
              <w:pBdr>
                <w:top w:val="none" w:sz="0" w:space="0" w:color="000000"/>
                <w:left w:val="none" w:sz="0" w:space="0" w:color="000000"/>
                <w:bottom w:val="none" w:sz="0" w:space="0" w:color="000000"/>
                <w:right w:val="none" w:sz="0" w:space="0" w:color="000000"/>
              </w:pBdr>
              <w:tabs>
                <w:tab w:val="left" w:pos="884"/>
                <w:tab w:val="left" w:pos="1196"/>
              </w:tabs>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Modificarea Hotărârii Guvernului nr.22/2023 va oferi garanții federațiilor s</w:t>
            </w:r>
            <w:r w:rsidR="00022107" w:rsidRPr="00A5012F">
              <w:rPr>
                <w:rFonts w:ascii="Times New Roman" w:hAnsi="Times New Roman" w:cs="Times New Roman"/>
                <w:sz w:val="24"/>
                <w:szCs w:val="24"/>
                <w:lang w:val="ro-RO"/>
              </w:rPr>
              <w:t>portive</w:t>
            </w:r>
            <w:r w:rsidRPr="00A5012F">
              <w:rPr>
                <w:rFonts w:ascii="Times New Roman" w:hAnsi="Times New Roman" w:cs="Times New Roman"/>
                <w:sz w:val="24"/>
                <w:szCs w:val="24"/>
                <w:lang w:val="ro-RO"/>
              </w:rPr>
              <w:t>, ca finanțare mai mare din bugetul de stat, conform punctajului acumulat.</w:t>
            </w:r>
          </w:p>
          <w:p w:rsidR="004B60B0" w:rsidRPr="00A5012F" w:rsidRDefault="00284C08" w:rsidP="00A5012F">
            <w:pPr>
              <w:pBdr>
                <w:top w:val="none" w:sz="0" w:space="0" w:color="000000"/>
                <w:left w:val="none" w:sz="0" w:space="0" w:color="000000"/>
                <w:bottom w:val="none" w:sz="0" w:space="0" w:color="000000"/>
                <w:right w:val="none" w:sz="0" w:space="0" w:color="000000"/>
              </w:pBdr>
              <w:tabs>
                <w:tab w:val="left" w:pos="884"/>
                <w:tab w:val="left" w:pos="1196"/>
              </w:tabs>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Oferirea garanțiilor va stimula federațiile sportive spre obținerea rezultatelor mai mari și va ridica interesul sportivilor de performanță să participe la competiții sportive, turnee de calificare la Jocurile Olimpice/Paralimpice și Jocurile Mondiale.</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i/>
                <w:sz w:val="24"/>
                <w:szCs w:val="24"/>
                <w:lang w:val="ro-RO"/>
              </w:rPr>
            </w:pPr>
            <w:r w:rsidRPr="00A5012F">
              <w:rPr>
                <w:rFonts w:ascii="Times New Roman" w:hAnsi="Times New Roman" w:cs="Times New Roman"/>
                <w:i/>
                <w:sz w:val="24"/>
                <w:szCs w:val="24"/>
                <w:lang w:val="ro-RO"/>
              </w:rPr>
              <w:lastRenderedPageBreak/>
              <w:t>4.2. Impactul financiar și argumentarea costurilor estimative</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Implementarea proiectului Hotărârii Guvernului nu va crea cheltuieli suplimentare din bugetul de stat. Finanțarea federațiilor sportive se realizează din bugetul alocat Ministerului Educației și Cercetării (din contul alocațiilor 0812 ,,Servicii de sport și cultură fizică”).</w:t>
            </w:r>
          </w:p>
          <w:p w:rsidR="00FD3E81" w:rsidRPr="00A5012F" w:rsidRDefault="006640BA" w:rsidP="00A5012F">
            <w:pPr>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Conform Legii</w:t>
            </w:r>
            <w:r w:rsidR="00681C34" w:rsidRPr="00A5012F">
              <w:rPr>
                <w:rFonts w:ascii="Times New Roman" w:hAnsi="Times New Roman" w:cs="Times New Roman"/>
                <w:sz w:val="24"/>
                <w:szCs w:val="24"/>
                <w:lang w:val="ro-RO"/>
              </w:rPr>
              <w:t xml:space="preserve"> bugetului de</w:t>
            </w:r>
            <w:r w:rsidRPr="00A5012F">
              <w:rPr>
                <w:rFonts w:ascii="Times New Roman" w:hAnsi="Times New Roman" w:cs="Times New Roman"/>
                <w:sz w:val="24"/>
                <w:szCs w:val="24"/>
                <w:lang w:val="ro-RO"/>
              </w:rPr>
              <w:t xml:space="preserve"> stat pentru anul 2025, au fost alocate Ministerului Educației și Cercetării</w:t>
            </w:r>
            <w:r w:rsidR="00303033" w:rsidRPr="00A5012F">
              <w:rPr>
                <w:rFonts w:ascii="Times New Roman" w:hAnsi="Times New Roman" w:cs="Times New Roman"/>
                <w:sz w:val="24"/>
                <w:szCs w:val="24"/>
                <w:lang w:val="ro-RO"/>
              </w:rPr>
              <w:t>,</w:t>
            </w:r>
            <w:r w:rsidR="00983746" w:rsidRPr="00A5012F">
              <w:rPr>
                <w:rFonts w:ascii="Times New Roman" w:hAnsi="Times New Roman" w:cs="Times New Roman"/>
                <w:sz w:val="24"/>
                <w:szCs w:val="24"/>
                <w:lang w:val="ro-RO"/>
              </w:rPr>
              <w:t xml:space="preserve"> 8</w:t>
            </w:r>
            <w:r w:rsidR="00FD3E81" w:rsidRPr="00A5012F">
              <w:rPr>
                <w:rFonts w:ascii="Times New Roman" w:hAnsi="Times New Roman" w:cs="Times New Roman"/>
                <w:sz w:val="24"/>
                <w:szCs w:val="24"/>
                <w:lang w:val="ro-RO"/>
              </w:rPr>
              <w:t xml:space="preserve">7 000 </w:t>
            </w:r>
            <w:r w:rsidR="00681C34" w:rsidRPr="00A5012F">
              <w:rPr>
                <w:rFonts w:ascii="Times New Roman" w:hAnsi="Times New Roman" w:cs="Times New Roman"/>
                <w:sz w:val="24"/>
                <w:szCs w:val="24"/>
                <w:lang w:val="ro-RO"/>
              </w:rPr>
              <w:t>000 lei pentru finanțarea federațiilor sportive</w:t>
            </w:r>
            <w:r w:rsidR="00983746" w:rsidRPr="00A5012F">
              <w:rPr>
                <w:rFonts w:ascii="Times New Roman" w:hAnsi="Times New Roman" w:cs="Times New Roman"/>
                <w:sz w:val="24"/>
                <w:szCs w:val="24"/>
                <w:lang w:val="ro-RO"/>
              </w:rPr>
              <w:t xml:space="preserve"> naționale</w:t>
            </w:r>
            <w:r w:rsidR="00A92858" w:rsidRPr="00A5012F">
              <w:rPr>
                <w:rFonts w:ascii="Times New Roman" w:hAnsi="Times New Roman" w:cs="Times New Roman"/>
                <w:sz w:val="24"/>
                <w:szCs w:val="24"/>
                <w:lang w:val="ro-RO"/>
              </w:rPr>
              <w:t>, iar rezerva reprezintă</w:t>
            </w:r>
            <w:r w:rsidR="00B90ED9" w:rsidRPr="00A5012F">
              <w:rPr>
                <w:rFonts w:ascii="Times New Roman" w:hAnsi="Times New Roman" w:cs="Times New Roman"/>
                <w:sz w:val="24"/>
                <w:szCs w:val="24"/>
                <w:lang w:val="ro-RO"/>
              </w:rPr>
              <w:t xml:space="preserve"> 20% ori</w:t>
            </w:r>
            <w:r w:rsidR="00A92858" w:rsidRPr="00A5012F">
              <w:rPr>
                <w:rFonts w:ascii="Times New Roman" w:hAnsi="Times New Roman" w:cs="Times New Roman"/>
                <w:sz w:val="24"/>
                <w:szCs w:val="24"/>
                <w:lang w:val="ro-RO"/>
              </w:rPr>
              <w:t xml:space="preserve"> 17 400 000 lei din suma respectivă.</w:t>
            </w:r>
          </w:p>
          <w:p w:rsidR="00FD3E81" w:rsidRPr="00A5012F" w:rsidRDefault="00F37534" w:rsidP="00A5012F">
            <w:pPr>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Astfel, scopul proiectului este ca suma</w:t>
            </w:r>
            <w:r w:rsidR="001E4964" w:rsidRPr="00A5012F">
              <w:rPr>
                <w:rFonts w:ascii="Times New Roman" w:hAnsi="Times New Roman" w:cs="Times New Roman"/>
                <w:sz w:val="24"/>
                <w:szCs w:val="24"/>
                <w:lang w:val="ro-RO"/>
              </w:rPr>
              <w:t xml:space="preserve"> </w:t>
            </w:r>
            <w:r w:rsidR="00FD3E81" w:rsidRPr="00A5012F">
              <w:rPr>
                <w:rFonts w:ascii="Times New Roman" w:hAnsi="Times New Roman" w:cs="Times New Roman"/>
                <w:sz w:val="24"/>
                <w:szCs w:val="24"/>
                <w:lang w:val="ro-RO"/>
              </w:rPr>
              <w:t>respectivă</w:t>
            </w:r>
            <w:r w:rsidRPr="00A5012F">
              <w:rPr>
                <w:rFonts w:ascii="Times New Roman" w:hAnsi="Times New Roman" w:cs="Times New Roman"/>
                <w:sz w:val="24"/>
                <w:szCs w:val="24"/>
                <w:lang w:val="ro-RO"/>
              </w:rPr>
              <w:t xml:space="preserve"> să fie administrată de autoritatea centrală </w:t>
            </w:r>
            <w:r w:rsidR="006640BA" w:rsidRPr="00A5012F">
              <w:rPr>
                <w:rFonts w:ascii="Times New Roman" w:hAnsi="Times New Roman" w:cs="Times New Roman"/>
                <w:sz w:val="24"/>
                <w:szCs w:val="24"/>
                <w:lang w:val="ro-RO"/>
              </w:rPr>
              <w:t>de specialitate în mod liber</w:t>
            </w:r>
            <w:r w:rsidR="001E4964" w:rsidRPr="00A5012F">
              <w:rPr>
                <w:rFonts w:ascii="Times New Roman" w:hAnsi="Times New Roman" w:cs="Times New Roman"/>
                <w:sz w:val="24"/>
                <w:szCs w:val="24"/>
                <w:lang w:val="ro-RO"/>
              </w:rPr>
              <w:t>, corect</w:t>
            </w:r>
            <w:r w:rsidR="00B90ED9" w:rsidRPr="00A5012F">
              <w:rPr>
                <w:rFonts w:ascii="Times New Roman" w:hAnsi="Times New Roman" w:cs="Times New Roman"/>
                <w:sz w:val="24"/>
                <w:szCs w:val="24"/>
                <w:lang w:val="ro-RO"/>
              </w:rPr>
              <w:t>, fără existență lacunilor</w:t>
            </w:r>
            <w:r w:rsidR="00FD3E81" w:rsidRPr="00A5012F">
              <w:rPr>
                <w:rFonts w:ascii="Times New Roman" w:hAnsi="Times New Roman" w:cs="Times New Roman"/>
                <w:sz w:val="24"/>
                <w:szCs w:val="24"/>
                <w:lang w:val="ro-RO"/>
              </w:rPr>
              <w:t xml:space="preserve"> și</w:t>
            </w:r>
            <w:r w:rsidR="006640BA" w:rsidRPr="00A5012F">
              <w:rPr>
                <w:rFonts w:ascii="Times New Roman" w:hAnsi="Times New Roman" w:cs="Times New Roman"/>
                <w:sz w:val="24"/>
                <w:szCs w:val="24"/>
                <w:lang w:val="ro-RO"/>
              </w:rPr>
              <w:t xml:space="preserve"> fără </w:t>
            </w:r>
            <w:r w:rsidR="00FD3E81" w:rsidRPr="00A5012F">
              <w:rPr>
                <w:rFonts w:ascii="Times New Roman" w:hAnsi="Times New Roman" w:cs="Times New Roman"/>
                <w:sz w:val="24"/>
                <w:szCs w:val="24"/>
                <w:lang w:val="ro-RO"/>
              </w:rPr>
              <w:t>existența barierilor juridice ș</w:t>
            </w:r>
            <w:r w:rsidR="006640BA" w:rsidRPr="00A5012F">
              <w:rPr>
                <w:rFonts w:ascii="Times New Roman" w:hAnsi="Times New Roman" w:cs="Times New Roman"/>
                <w:sz w:val="24"/>
                <w:szCs w:val="24"/>
                <w:lang w:val="ro-RO"/>
              </w:rPr>
              <w:t>i normative, care ar limita finanțarea unor federații sportive.</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i/>
                <w:sz w:val="24"/>
                <w:szCs w:val="24"/>
                <w:lang w:val="ro-RO"/>
              </w:rPr>
            </w:pPr>
            <w:r w:rsidRPr="00A5012F">
              <w:rPr>
                <w:rFonts w:ascii="Times New Roman" w:hAnsi="Times New Roman" w:cs="Times New Roman"/>
                <w:i/>
                <w:sz w:val="24"/>
                <w:szCs w:val="24"/>
                <w:lang w:val="ro-RO"/>
              </w:rPr>
              <w:t>4.3. Impactul asupra sectorului privat</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589"/>
              <w:rPr>
                <w:rFonts w:ascii="Times New Roman" w:hAnsi="Times New Roman" w:cs="Times New Roman"/>
                <w:sz w:val="24"/>
                <w:szCs w:val="24"/>
                <w:lang w:val="ro-RO"/>
              </w:rPr>
            </w:pPr>
            <w:r w:rsidRPr="00A5012F">
              <w:rPr>
                <w:rFonts w:ascii="Times New Roman" w:hAnsi="Times New Roman" w:cs="Times New Roman"/>
                <w:b/>
                <w:sz w:val="24"/>
                <w:szCs w:val="24"/>
                <w:lang w:val="ro-RO"/>
              </w:rPr>
              <w:t>Nu este aplicabil.</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i/>
                <w:sz w:val="24"/>
                <w:szCs w:val="24"/>
                <w:lang w:val="ro-RO"/>
              </w:rPr>
            </w:pPr>
            <w:r w:rsidRPr="00A5012F">
              <w:rPr>
                <w:rFonts w:ascii="Times New Roman" w:hAnsi="Times New Roman" w:cs="Times New Roman"/>
                <w:i/>
                <w:sz w:val="24"/>
                <w:szCs w:val="24"/>
                <w:lang w:val="ro-RO"/>
              </w:rPr>
              <w:t>4.4. Impactul social</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 xml:space="preserve">Prezentul proiect va avea un impact pozitiv, oferind garanții </w:t>
            </w:r>
            <w:r w:rsidR="006640BA" w:rsidRPr="00A5012F">
              <w:rPr>
                <w:rFonts w:ascii="Times New Roman" w:hAnsi="Times New Roman" w:cs="Times New Roman"/>
                <w:sz w:val="24"/>
                <w:szCs w:val="24"/>
                <w:lang w:val="ro-RO"/>
              </w:rPr>
              <w:t xml:space="preserve">mai mari </w:t>
            </w:r>
            <w:r w:rsidRPr="00A5012F">
              <w:rPr>
                <w:rFonts w:ascii="Times New Roman" w:hAnsi="Times New Roman" w:cs="Times New Roman"/>
                <w:sz w:val="24"/>
                <w:szCs w:val="24"/>
                <w:lang w:val="ro-RO"/>
              </w:rPr>
              <w:t xml:space="preserve">federațiilor sportive care au obținut rezultate înalte, și s-au calificat la cele mai prestigioase competiții sportive, ridicând nivelului sportului de performanță în societate. </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i/>
                <w:sz w:val="24"/>
                <w:szCs w:val="24"/>
                <w:lang w:val="ro-RO"/>
              </w:rPr>
            </w:pPr>
            <w:r w:rsidRPr="00A5012F">
              <w:rPr>
                <w:rFonts w:ascii="Times New Roman" w:hAnsi="Times New Roman" w:cs="Times New Roman"/>
                <w:i/>
                <w:sz w:val="24"/>
                <w:szCs w:val="24"/>
                <w:lang w:val="ro-RO"/>
              </w:rPr>
              <w:t>4.4.1. Impactul asupra datelor cu caracter personal</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589"/>
              <w:rPr>
                <w:rFonts w:ascii="Times New Roman" w:hAnsi="Times New Roman" w:cs="Times New Roman"/>
                <w:sz w:val="24"/>
                <w:szCs w:val="24"/>
                <w:lang w:val="ro-RO"/>
              </w:rPr>
            </w:pPr>
            <w:r w:rsidRPr="00A5012F">
              <w:rPr>
                <w:rFonts w:ascii="Times New Roman" w:hAnsi="Times New Roman" w:cs="Times New Roman"/>
                <w:b/>
                <w:sz w:val="24"/>
                <w:szCs w:val="24"/>
                <w:lang w:val="ro-RO"/>
              </w:rPr>
              <w:t>Nu este aplicabil.</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i/>
                <w:sz w:val="24"/>
                <w:szCs w:val="24"/>
                <w:lang w:val="ro-RO"/>
              </w:rPr>
            </w:pPr>
            <w:r w:rsidRPr="00A5012F">
              <w:rPr>
                <w:rFonts w:ascii="Times New Roman" w:hAnsi="Times New Roman" w:cs="Times New Roman"/>
                <w:i/>
                <w:sz w:val="24"/>
                <w:szCs w:val="24"/>
                <w:lang w:val="ro-RO"/>
              </w:rPr>
              <w:t>4.4.2. Impactul asupra echității și egalității de gen</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589"/>
              <w:rPr>
                <w:rFonts w:ascii="Times New Roman" w:hAnsi="Times New Roman" w:cs="Times New Roman"/>
                <w:sz w:val="24"/>
                <w:szCs w:val="24"/>
                <w:lang w:val="ro-RO"/>
              </w:rPr>
            </w:pPr>
            <w:r w:rsidRPr="00A5012F">
              <w:rPr>
                <w:rFonts w:ascii="Times New Roman" w:hAnsi="Times New Roman" w:cs="Times New Roman"/>
                <w:b/>
                <w:sz w:val="24"/>
                <w:szCs w:val="24"/>
                <w:lang w:val="ro-RO"/>
              </w:rPr>
              <w:t>Nu este aplicabil.</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i/>
                <w:sz w:val="24"/>
                <w:szCs w:val="24"/>
                <w:lang w:val="ro-RO"/>
              </w:rPr>
            </w:pPr>
            <w:r w:rsidRPr="00A5012F">
              <w:rPr>
                <w:rFonts w:ascii="Times New Roman" w:hAnsi="Times New Roman" w:cs="Times New Roman"/>
                <w:i/>
                <w:sz w:val="24"/>
                <w:szCs w:val="24"/>
                <w:lang w:val="ro-RO"/>
              </w:rPr>
              <w:t>4.5. Impactul asupra mediului</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589"/>
              <w:rPr>
                <w:rFonts w:ascii="Times New Roman" w:hAnsi="Times New Roman" w:cs="Times New Roman"/>
                <w:sz w:val="24"/>
                <w:szCs w:val="24"/>
                <w:lang w:val="ro-RO"/>
              </w:rPr>
            </w:pPr>
            <w:r w:rsidRPr="00A5012F">
              <w:rPr>
                <w:rFonts w:ascii="Times New Roman" w:hAnsi="Times New Roman" w:cs="Times New Roman"/>
                <w:b/>
                <w:sz w:val="24"/>
                <w:szCs w:val="24"/>
                <w:lang w:val="ro-RO"/>
              </w:rPr>
              <w:t>Nu este aplicabil.</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i/>
                <w:sz w:val="24"/>
                <w:szCs w:val="24"/>
                <w:lang w:val="ro-RO"/>
              </w:rPr>
            </w:pPr>
            <w:r w:rsidRPr="00A5012F">
              <w:rPr>
                <w:rFonts w:ascii="Times New Roman" w:hAnsi="Times New Roman" w:cs="Times New Roman"/>
                <w:i/>
                <w:sz w:val="24"/>
                <w:szCs w:val="24"/>
                <w:lang w:val="ro-RO"/>
              </w:rPr>
              <w:t>4.6. Alte impacturi și informații relevante</w:t>
            </w:r>
          </w:p>
        </w:tc>
      </w:tr>
      <w:tr w:rsidR="004B60B0" w:rsidRPr="00A5012F" w:rsidTr="0020430B">
        <w:tc>
          <w:tcPr>
            <w:tcW w:w="111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60B0" w:rsidRPr="00A5012F" w:rsidRDefault="00284C08" w:rsidP="00A5012F">
            <w:pPr>
              <w:spacing w:line="276" w:lineRule="auto"/>
              <w:ind w:firstLine="589"/>
              <w:rPr>
                <w:rFonts w:ascii="Times New Roman" w:hAnsi="Times New Roman" w:cs="Times New Roman"/>
                <w:sz w:val="24"/>
                <w:szCs w:val="24"/>
                <w:lang w:val="ro-RO"/>
              </w:rPr>
            </w:pPr>
            <w:r w:rsidRPr="00A5012F">
              <w:rPr>
                <w:rFonts w:ascii="Times New Roman" w:hAnsi="Times New Roman" w:cs="Times New Roman"/>
                <w:b/>
                <w:sz w:val="24"/>
                <w:szCs w:val="24"/>
                <w:lang w:val="ro-RO"/>
              </w:rPr>
              <w:t>Nu este aplicabil.</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b/>
                <w:sz w:val="24"/>
                <w:szCs w:val="24"/>
                <w:lang w:val="ro-RO"/>
              </w:rPr>
            </w:pPr>
            <w:r w:rsidRPr="00A5012F">
              <w:rPr>
                <w:rFonts w:ascii="Times New Roman" w:hAnsi="Times New Roman" w:cs="Times New Roman"/>
                <w:b/>
                <w:sz w:val="24"/>
                <w:szCs w:val="24"/>
                <w:lang w:val="ro-RO"/>
              </w:rPr>
              <w:t xml:space="preserve">5. Compatibilitatea proiectului actului normativ cu legislația UE </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i/>
                <w:sz w:val="24"/>
                <w:szCs w:val="24"/>
                <w:lang w:val="ro-RO"/>
              </w:rPr>
            </w:pPr>
            <w:r w:rsidRPr="00A5012F">
              <w:rPr>
                <w:rFonts w:ascii="Times New Roman" w:hAnsi="Times New Roman" w:cs="Times New Roman"/>
                <w:i/>
                <w:sz w:val="24"/>
                <w:szCs w:val="24"/>
                <w:lang w:val="ro-RO"/>
              </w:rPr>
              <w:t>5.1. Măsuri normative necesare pentru transpunerea actelor juridice ale UE în legislația națională</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A5012F" w:rsidRDefault="00284C08" w:rsidP="00A5012F">
            <w:pPr>
              <w:spacing w:line="276" w:lineRule="auto"/>
              <w:ind w:firstLine="589"/>
              <w:rPr>
                <w:rFonts w:ascii="Times New Roman" w:hAnsi="Times New Roman" w:cs="Times New Roman"/>
                <w:sz w:val="24"/>
                <w:szCs w:val="24"/>
                <w:lang w:val="ro-RO"/>
              </w:rPr>
            </w:pPr>
            <w:r w:rsidRPr="00A5012F">
              <w:rPr>
                <w:rFonts w:ascii="Times New Roman" w:hAnsi="Times New Roman" w:cs="Times New Roman"/>
                <w:b/>
                <w:sz w:val="24"/>
                <w:szCs w:val="24"/>
                <w:lang w:val="ro-RO"/>
              </w:rPr>
              <w:t>Nu este aplicabil.</w:t>
            </w:r>
          </w:p>
        </w:tc>
      </w:tr>
      <w:tr w:rsidR="004B60B0" w:rsidRPr="00A5012F" w:rsidTr="003352F8">
        <w:trPr>
          <w:trHeight w:val="239"/>
        </w:trPr>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352F8" w:rsidRPr="00A5012F" w:rsidRDefault="00284C08" w:rsidP="00A5012F">
            <w:pPr>
              <w:spacing w:line="276" w:lineRule="auto"/>
              <w:ind w:firstLine="0"/>
              <w:rPr>
                <w:rFonts w:ascii="Times New Roman" w:hAnsi="Times New Roman" w:cs="Times New Roman"/>
                <w:i/>
                <w:sz w:val="24"/>
                <w:szCs w:val="24"/>
                <w:lang w:val="ro-RO"/>
              </w:rPr>
            </w:pPr>
            <w:r w:rsidRPr="00A5012F">
              <w:rPr>
                <w:rFonts w:ascii="Times New Roman" w:hAnsi="Times New Roman" w:cs="Times New Roman"/>
                <w:i/>
                <w:sz w:val="24"/>
                <w:szCs w:val="24"/>
                <w:lang w:val="ro-RO"/>
              </w:rPr>
              <w:t>5.2. Măsuri normative care urmăresc crearea cadrului juridic intern necesar pentru implementarea legislației UE</w:t>
            </w:r>
            <w:r w:rsidR="003352F8" w:rsidRPr="00A5012F">
              <w:rPr>
                <w:rFonts w:ascii="Times New Roman" w:hAnsi="Times New Roman" w:cs="Times New Roman"/>
                <w:b/>
                <w:sz w:val="24"/>
                <w:szCs w:val="24"/>
                <w:lang w:val="ro-RO"/>
              </w:rPr>
              <w:t>.</w:t>
            </w:r>
          </w:p>
        </w:tc>
      </w:tr>
      <w:tr w:rsidR="004B60B0" w:rsidRPr="00A5012F" w:rsidTr="0020430B">
        <w:tc>
          <w:tcPr>
            <w:tcW w:w="111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60B0" w:rsidRPr="00A5012F" w:rsidRDefault="00284C08" w:rsidP="00A5012F">
            <w:pPr>
              <w:spacing w:line="276" w:lineRule="auto"/>
              <w:ind w:firstLine="589"/>
              <w:rPr>
                <w:rFonts w:ascii="Times New Roman" w:hAnsi="Times New Roman" w:cs="Times New Roman"/>
                <w:sz w:val="24"/>
                <w:szCs w:val="24"/>
                <w:lang w:val="ro-RO"/>
              </w:rPr>
            </w:pPr>
            <w:r w:rsidRPr="00A5012F">
              <w:rPr>
                <w:rFonts w:ascii="Times New Roman" w:hAnsi="Times New Roman" w:cs="Times New Roman"/>
                <w:b/>
                <w:sz w:val="24"/>
                <w:szCs w:val="24"/>
                <w:lang w:val="ro-RO"/>
              </w:rPr>
              <w:t>Nu este aplicabil.</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b/>
                <w:sz w:val="24"/>
                <w:szCs w:val="24"/>
                <w:lang w:val="ro-RO"/>
              </w:rPr>
            </w:pPr>
            <w:r w:rsidRPr="00A5012F">
              <w:rPr>
                <w:rFonts w:ascii="Times New Roman" w:hAnsi="Times New Roman" w:cs="Times New Roman"/>
                <w:b/>
                <w:sz w:val="24"/>
                <w:szCs w:val="24"/>
                <w:lang w:val="ro-RO"/>
              </w:rPr>
              <w:t>6. Avizarea și consultarea publică a proiectului actului normativ</w:t>
            </w:r>
          </w:p>
        </w:tc>
      </w:tr>
      <w:tr w:rsidR="004B60B0" w:rsidRPr="00A5012F" w:rsidTr="0020430B">
        <w:tc>
          <w:tcPr>
            <w:tcW w:w="111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60B0" w:rsidRPr="00A5012F" w:rsidRDefault="00284C08" w:rsidP="00A5012F">
            <w:pPr>
              <w:pBdr>
                <w:top w:val="none" w:sz="0" w:space="0" w:color="000000"/>
                <w:left w:val="none" w:sz="0" w:space="0" w:color="000000"/>
                <w:bottom w:val="none" w:sz="0" w:space="0" w:color="000000"/>
                <w:right w:val="none" w:sz="0" w:space="0" w:color="000000"/>
              </w:pBdr>
              <w:tabs>
                <w:tab w:val="left" w:pos="884"/>
                <w:tab w:val="left" w:pos="1196"/>
              </w:tabs>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 xml:space="preserve">În scopul respectării Legii nr.239/2008 privind transparența în procesul decizional, a fost plasat anunțul privind inițierea procesului de elaborare al proiectului Hotărârii Guvernului nr.22/2023, pe pagina web </w:t>
            </w:r>
            <w:hyperlink r:id="rId8">
              <w:r w:rsidRPr="00A5012F">
                <w:rPr>
                  <w:rFonts w:ascii="Times New Roman" w:hAnsi="Times New Roman" w:cs="Times New Roman"/>
                  <w:sz w:val="24"/>
                  <w:szCs w:val="24"/>
                  <w:u w:val="single"/>
                  <w:lang w:val="ro-RO"/>
                </w:rPr>
                <w:t>www.mec.gov.md</w:t>
              </w:r>
            </w:hyperlink>
            <w:r w:rsidRPr="00A5012F">
              <w:rPr>
                <w:rFonts w:ascii="Times New Roman" w:hAnsi="Times New Roman" w:cs="Times New Roman"/>
                <w:sz w:val="24"/>
                <w:szCs w:val="24"/>
                <w:lang w:val="ro-RO"/>
              </w:rPr>
              <w:t xml:space="preserve"> la secțiunea Transparența și pe portalul guvernamental </w:t>
            </w:r>
            <w:hyperlink r:id="rId9">
              <w:r w:rsidRPr="00A5012F">
                <w:rPr>
                  <w:rFonts w:ascii="Times New Roman" w:hAnsi="Times New Roman" w:cs="Times New Roman"/>
                  <w:sz w:val="24"/>
                  <w:szCs w:val="24"/>
                  <w:u w:val="single"/>
                  <w:lang w:val="ro-RO"/>
                </w:rPr>
                <w:t>www.particip.gov.md</w:t>
              </w:r>
            </w:hyperlink>
            <w:r w:rsidRPr="00A5012F">
              <w:rPr>
                <w:rFonts w:ascii="Times New Roman" w:hAnsi="Times New Roman" w:cs="Times New Roman"/>
                <w:sz w:val="24"/>
                <w:szCs w:val="24"/>
                <w:lang w:val="ro-RO"/>
              </w:rPr>
              <w:t>, fiind accesibil:</w:t>
            </w:r>
          </w:p>
          <w:p w:rsidR="004B60B0" w:rsidRPr="00A5012F" w:rsidRDefault="00F115F8" w:rsidP="00A5012F">
            <w:pPr>
              <w:pBdr>
                <w:top w:val="none" w:sz="0" w:space="0" w:color="000000"/>
                <w:left w:val="none" w:sz="0" w:space="0" w:color="000000"/>
                <w:bottom w:val="none" w:sz="0" w:space="0" w:color="000000"/>
                <w:right w:val="none" w:sz="0" w:space="0" w:color="000000"/>
              </w:pBdr>
              <w:tabs>
                <w:tab w:val="left" w:pos="884"/>
                <w:tab w:val="left" w:pos="1196"/>
              </w:tabs>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Anunț de inițiere:</w:t>
            </w:r>
          </w:p>
          <w:p w:rsidR="004B60B0" w:rsidRPr="00A5012F" w:rsidRDefault="00284C08" w:rsidP="00A5012F">
            <w:pPr>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Proi</w:t>
            </w:r>
            <w:r w:rsidR="003352F8" w:rsidRPr="00A5012F">
              <w:rPr>
                <w:rFonts w:ascii="Times New Roman" w:hAnsi="Times New Roman" w:cs="Times New Roman"/>
                <w:sz w:val="24"/>
                <w:szCs w:val="24"/>
                <w:lang w:val="ro-RO"/>
              </w:rPr>
              <w:t>ectul Hotărârii Guvernului va fi</w:t>
            </w:r>
            <w:r w:rsidRPr="00A5012F">
              <w:rPr>
                <w:rFonts w:ascii="Times New Roman" w:hAnsi="Times New Roman" w:cs="Times New Roman"/>
                <w:sz w:val="24"/>
                <w:szCs w:val="24"/>
                <w:lang w:val="ro-RO"/>
              </w:rPr>
              <w:t xml:space="preserve"> supus procedurii de avizar</w:t>
            </w:r>
            <w:r w:rsidR="0035529C" w:rsidRPr="00A5012F">
              <w:rPr>
                <w:rFonts w:ascii="Times New Roman" w:hAnsi="Times New Roman" w:cs="Times New Roman"/>
                <w:sz w:val="24"/>
                <w:szCs w:val="24"/>
                <w:lang w:val="ro-RO"/>
              </w:rPr>
              <w:t>e în conformitate cu Legea</w:t>
            </w:r>
            <w:r w:rsidRPr="00A5012F">
              <w:rPr>
                <w:rFonts w:ascii="Times New Roman" w:hAnsi="Times New Roman" w:cs="Times New Roman"/>
                <w:sz w:val="24"/>
                <w:szCs w:val="24"/>
                <w:lang w:val="ro-RO"/>
              </w:rPr>
              <w:t xml:space="preserve"> nr.1</w:t>
            </w:r>
            <w:r w:rsidR="0035529C" w:rsidRPr="00A5012F">
              <w:rPr>
                <w:rFonts w:ascii="Times New Roman" w:hAnsi="Times New Roman" w:cs="Times New Roman"/>
                <w:sz w:val="24"/>
                <w:szCs w:val="24"/>
                <w:lang w:val="ro-RO"/>
              </w:rPr>
              <w:t>00/2017</w:t>
            </w:r>
            <w:r w:rsidRPr="00A5012F">
              <w:rPr>
                <w:rFonts w:ascii="Times New Roman" w:hAnsi="Times New Roman" w:cs="Times New Roman"/>
                <w:sz w:val="24"/>
                <w:szCs w:val="24"/>
                <w:lang w:val="ro-RO"/>
              </w:rPr>
              <w:t>.</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b/>
                <w:sz w:val="24"/>
                <w:szCs w:val="24"/>
                <w:lang w:val="ro-RO"/>
              </w:rPr>
            </w:pPr>
            <w:r w:rsidRPr="00A5012F">
              <w:rPr>
                <w:rFonts w:ascii="Times New Roman" w:hAnsi="Times New Roman" w:cs="Times New Roman"/>
                <w:b/>
                <w:sz w:val="24"/>
                <w:szCs w:val="24"/>
                <w:lang w:val="ro-RO"/>
              </w:rPr>
              <w:t>7. Concluziile expertizelor</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7879" w:rsidRPr="00A5012F" w:rsidRDefault="00B87879" w:rsidP="00A5012F">
            <w:pPr>
              <w:tabs>
                <w:tab w:val="left" w:pos="1080"/>
              </w:tabs>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 xml:space="preserve">Proiectul Hotărârii </w:t>
            </w:r>
            <w:r w:rsidR="003352F8" w:rsidRPr="00A5012F">
              <w:rPr>
                <w:rFonts w:ascii="Times New Roman" w:hAnsi="Times New Roman" w:cs="Times New Roman"/>
                <w:sz w:val="24"/>
                <w:szCs w:val="24"/>
                <w:lang w:val="ro-RO"/>
              </w:rPr>
              <w:t>Guvernului va fi</w:t>
            </w:r>
            <w:r w:rsidR="00284C08" w:rsidRPr="00A5012F">
              <w:rPr>
                <w:rFonts w:ascii="Times New Roman" w:hAnsi="Times New Roman" w:cs="Times New Roman"/>
                <w:sz w:val="24"/>
                <w:szCs w:val="24"/>
                <w:lang w:val="ro-RO"/>
              </w:rPr>
              <w:t xml:space="preserve"> supus expertizei juridice și exper</w:t>
            </w:r>
            <w:r w:rsidR="002D0F43" w:rsidRPr="00A5012F">
              <w:rPr>
                <w:rFonts w:ascii="Times New Roman" w:hAnsi="Times New Roman" w:cs="Times New Roman"/>
                <w:sz w:val="24"/>
                <w:szCs w:val="24"/>
                <w:lang w:val="ro-RO"/>
              </w:rPr>
              <w:t>tizei anticorupție</w:t>
            </w:r>
            <w:r w:rsidR="00284C08" w:rsidRPr="00A5012F">
              <w:rPr>
                <w:rFonts w:ascii="Times New Roman" w:hAnsi="Times New Roman" w:cs="Times New Roman"/>
                <w:sz w:val="24"/>
                <w:szCs w:val="24"/>
                <w:lang w:val="ro-RO"/>
              </w:rPr>
              <w:t>, urmare a procesului de avizare inițială.</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b/>
                <w:sz w:val="24"/>
                <w:szCs w:val="24"/>
                <w:lang w:val="ro-RO"/>
              </w:rPr>
            </w:pPr>
            <w:r w:rsidRPr="00A5012F">
              <w:rPr>
                <w:rFonts w:ascii="Times New Roman" w:hAnsi="Times New Roman" w:cs="Times New Roman"/>
                <w:b/>
                <w:sz w:val="24"/>
                <w:szCs w:val="24"/>
                <w:lang w:val="ro-RO"/>
              </w:rPr>
              <w:t>8. Modul de încorporare a actului în cadrul normativ existent</w:t>
            </w:r>
            <w:r w:rsidR="00F115F8" w:rsidRPr="00A5012F">
              <w:rPr>
                <w:rFonts w:ascii="Times New Roman" w:hAnsi="Times New Roman" w:cs="Times New Roman"/>
                <w:b/>
                <w:sz w:val="24"/>
                <w:szCs w:val="24"/>
                <w:lang w:val="ro-RO"/>
              </w:rPr>
              <w:t>.</w:t>
            </w:r>
          </w:p>
        </w:tc>
      </w:tr>
      <w:tr w:rsidR="004B60B0" w:rsidRPr="00A5012F" w:rsidTr="0020430B">
        <w:tc>
          <w:tcPr>
            <w:tcW w:w="111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Pentru implementarea proiectului Hotărârii Guvernului nu este necesară modificarea actelor normative.</w:t>
            </w:r>
          </w:p>
        </w:tc>
      </w:tr>
      <w:tr w:rsidR="004B60B0" w:rsidRPr="00A5012F" w:rsidTr="0020430B">
        <w:tc>
          <w:tcPr>
            <w:tcW w:w="1119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b/>
                <w:sz w:val="24"/>
                <w:szCs w:val="24"/>
                <w:lang w:val="ro-RO"/>
              </w:rPr>
            </w:pPr>
            <w:r w:rsidRPr="00A5012F">
              <w:rPr>
                <w:rFonts w:ascii="Times New Roman" w:hAnsi="Times New Roman" w:cs="Times New Roman"/>
                <w:b/>
                <w:sz w:val="24"/>
                <w:szCs w:val="24"/>
                <w:lang w:val="ro-RO"/>
              </w:rPr>
              <w:lastRenderedPageBreak/>
              <w:t>9. Măsurile necesare pentru implementarea prevederilor proiectului actului normativ.</w:t>
            </w:r>
          </w:p>
        </w:tc>
      </w:tr>
      <w:tr w:rsidR="004B60B0" w:rsidRPr="00A5012F" w:rsidTr="0020430B">
        <w:tc>
          <w:tcPr>
            <w:tcW w:w="111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60B0" w:rsidRPr="00A5012F" w:rsidRDefault="00284C08" w:rsidP="00A5012F">
            <w:pPr>
              <w:spacing w:line="276" w:lineRule="auto"/>
              <w:ind w:firstLine="0"/>
              <w:rPr>
                <w:rFonts w:ascii="Times New Roman" w:hAnsi="Times New Roman" w:cs="Times New Roman"/>
                <w:sz w:val="24"/>
                <w:szCs w:val="24"/>
                <w:lang w:val="ro-RO"/>
              </w:rPr>
            </w:pPr>
            <w:r w:rsidRPr="00A5012F">
              <w:rPr>
                <w:rFonts w:ascii="Times New Roman" w:hAnsi="Times New Roman" w:cs="Times New Roman"/>
                <w:sz w:val="24"/>
                <w:szCs w:val="24"/>
                <w:lang w:val="ro-RO"/>
              </w:rPr>
              <w:t>Implementarea Hotărârii de Guvern, urmează a fi realizate de către Ministerul Educației și Cercetării în urma repartizării punctajului, conform rezultatelor sportive obținute de federați</w:t>
            </w:r>
            <w:r w:rsidR="003352F8" w:rsidRPr="00A5012F">
              <w:rPr>
                <w:rFonts w:ascii="Times New Roman" w:hAnsi="Times New Roman" w:cs="Times New Roman"/>
                <w:sz w:val="24"/>
                <w:szCs w:val="24"/>
                <w:lang w:val="ro-RO"/>
              </w:rPr>
              <w:t>ile sportive</w:t>
            </w:r>
            <w:r w:rsidRPr="00A5012F">
              <w:rPr>
                <w:rFonts w:ascii="Times New Roman" w:hAnsi="Times New Roman" w:cs="Times New Roman"/>
                <w:sz w:val="24"/>
                <w:szCs w:val="24"/>
                <w:lang w:val="ro-RO"/>
              </w:rPr>
              <w:t>.</w:t>
            </w:r>
          </w:p>
        </w:tc>
      </w:tr>
    </w:tbl>
    <w:p w:rsidR="004B60B0" w:rsidRPr="00A5012F" w:rsidRDefault="004B60B0" w:rsidP="00A5012F">
      <w:pPr>
        <w:pBdr>
          <w:top w:val="none" w:sz="0" w:space="0" w:color="000000"/>
          <w:left w:val="none" w:sz="0" w:space="0" w:color="000000"/>
          <w:bottom w:val="none" w:sz="0" w:space="0" w:color="000000"/>
          <w:right w:val="none" w:sz="0" w:space="0" w:color="000000"/>
        </w:pBdr>
        <w:tabs>
          <w:tab w:val="left" w:pos="884"/>
          <w:tab w:val="left" w:pos="1196"/>
        </w:tabs>
        <w:spacing w:line="276" w:lineRule="auto"/>
        <w:ind w:firstLine="0"/>
        <w:rPr>
          <w:sz w:val="24"/>
          <w:szCs w:val="24"/>
          <w:lang w:val="ro-RO"/>
        </w:rPr>
      </w:pPr>
    </w:p>
    <w:p w:rsidR="00F115F8" w:rsidRPr="00A5012F" w:rsidRDefault="00F115F8" w:rsidP="00A5012F">
      <w:pPr>
        <w:pBdr>
          <w:top w:val="none" w:sz="0" w:space="0" w:color="000000"/>
          <w:left w:val="none" w:sz="0" w:space="0" w:color="000000"/>
          <w:bottom w:val="none" w:sz="0" w:space="0" w:color="000000"/>
          <w:right w:val="none" w:sz="0" w:space="0" w:color="000000"/>
        </w:pBdr>
        <w:tabs>
          <w:tab w:val="left" w:pos="884"/>
          <w:tab w:val="left" w:pos="1196"/>
        </w:tabs>
        <w:spacing w:line="276" w:lineRule="auto"/>
        <w:ind w:firstLine="0"/>
        <w:rPr>
          <w:sz w:val="24"/>
          <w:szCs w:val="24"/>
          <w:lang w:val="ro-RO"/>
        </w:rPr>
      </w:pPr>
    </w:p>
    <w:p w:rsidR="004B60B0" w:rsidRPr="00A5012F" w:rsidRDefault="00284C08" w:rsidP="00A5012F">
      <w:pPr>
        <w:pBdr>
          <w:top w:val="none" w:sz="0" w:space="0" w:color="000000"/>
          <w:left w:val="none" w:sz="0" w:space="0" w:color="000000"/>
          <w:bottom w:val="none" w:sz="0" w:space="0" w:color="000000"/>
          <w:right w:val="none" w:sz="0" w:space="0" w:color="000000"/>
        </w:pBdr>
        <w:tabs>
          <w:tab w:val="left" w:pos="0"/>
        </w:tabs>
        <w:spacing w:line="276" w:lineRule="auto"/>
        <w:ind w:firstLine="0"/>
        <w:jc w:val="center"/>
        <w:rPr>
          <w:b/>
          <w:sz w:val="24"/>
          <w:szCs w:val="24"/>
          <w:lang w:val="ro-RO"/>
        </w:rPr>
      </w:pPr>
      <w:bookmarkStart w:id="0" w:name="_GoBack"/>
      <w:bookmarkEnd w:id="0"/>
      <w:r w:rsidRPr="00A5012F">
        <w:rPr>
          <w:b/>
          <w:sz w:val="24"/>
          <w:szCs w:val="24"/>
          <w:lang w:val="ro-RO"/>
        </w:rPr>
        <w:t xml:space="preserve">Ministru            </w:t>
      </w:r>
      <w:r w:rsidR="00A0633C" w:rsidRPr="00A5012F">
        <w:rPr>
          <w:b/>
          <w:sz w:val="24"/>
          <w:szCs w:val="24"/>
          <w:lang w:val="ro-RO"/>
        </w:rPr>
        <w:t xml:space="preserve">   </w:t>
      </w:r>
      <w:r w:rsidRPr="00A5012F">
        <w:rPr>
          <w:b/>
          <w:sz w:val="24"/>
          <w:szCs w:val="24"/>
          <w:lang w:val="ro-RO"/>
        </w:rPr>
        <w:t xml:space="preserve">                       Dan Perciun</w:t>
      </w:r>
    </w:p>
    <w:sectPr w:rsidR="004B60B0" w:rsidRPr="00A5012F" w:rsidSect="00F115F8">
      <w:headerReference w:type="default" r:id="rId10"/>
      <w:pgSz w:w="11907" w:h="16840"/>
      <w:pgMar w:top="284" w:right="567" w:bottom="426" w:left="993" w:header="284"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828" w:rsidRDefault="008A5828">
      <w:r>
        <w:separator/>
      </w:r>
    </w:p>
  </w:endnote>
  <w:endnote w:type="continuationSeparator" w:id="0">
    <w:p w:rsidR="008A5828" w:rsidRDefault="008A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828" w:rsidRDefault="008A5828">
      <w:r>
        <w:separator/>
      </w:r>
    </w:p>
  </w:footnote>
  <w:footnote w:type="continuationSeparator" w:id="0">
    <w:p w:rsidR="008A5828" w:rsidRDefault="008A5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0B0" w:rsidRDefault="004B60B0">
    <w:pPr>
      <w:pBdr>
        <w:top w:val="nil"/>
        <w:left w:val="nil"/>
        <w:bottom w:val="nil"/>
        <w:right w:val="nil"/>
        <w:between w:val="nil"/>
      </w:pBdr>
      <w:tabs>
        <w:tab w:val="center" w:pos="4677"/>
        <w:tab w:val="right" w:pos="9355"/>
      </w:tabs>
      <w:ind w:firstLine="0"/>
      <w:jc w:val="center"/>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0972FA"/>
    <w:multiLevelType w:val="multilevel"/>
    <w:tmpl w:val="6AF22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B0"/>
    <w:rsid w:val="00022107"/>
    <w:rsid w:val="00050573"/>
    <w:rsid w:val="00076384"/>
    <w:rsid w:val="00091DC4"/>
    <w:rsid w:val="000A79EA"/>
    <w:rsid w:val="00123D08"/>
    <w:rsid w:val="001613E2"/>
    <w:rsid w:val="00184D1B"/>
    <w:rsid w:val="001E4964"/>
    <w:rsid w:val="001E7B18"/>
    <w:rsid w:val="0020430B"/>
    <w:rsid w:val="00217E5E"/>
    <w:rsid w:val="00257C1F"/>
    <w:rsid w:val="00284C08"/>
    <w:rsid w:val="002C1048"/>
    <w:rsid w:val="002D0F43"/>
    <w:rsid w:val="002E439E"/>
    <w:rsid w:val="002E5FFF"/>
    <w:rsid w:val="00303033"/>
    <w:rsid w:val="003352F8"/>
    <w:rsid w:val="00354A30"/>
    <w:rsid w:val="0035529C"/>
    <w:rsid w:val="003702BB"/>
    <w:rsid w:val="00455BD0"/>
    <w:rsid w:val="004925B6"/>
    <w:rsid w:val="004B60B0"/>
    <w:rsid w:val="004D20BB"/>
    <w:rsid w:val="004F7B95"/>
    <w:rsid w:val="005B6600"/>
    <w:rsid w:val="005C1925"/>
    <w:rsid w:val="00640221"/>
    <w:rsid w:val="006640BA"/>
    <w:rsid w:val="00681C34"/>
    <w:rsid w:val="006D4064"/>
    <w:rsid w:val="006F4FEE"/>
    <w:rsid w:val="0074277D"/>
    <w:rsid w:val="007665BA"/>
    <w:rsid w:val="0078568C"/>
    <w:rsid w:val="007874C2"/>
    <w:rsid w:val="007A7F68"/>
    <w:rsid w:val="007C315E"/>
    <w:rsid w:val="007C3B6C"/>
    <w:rsid w:val="007E10BC"/>
    <w:rsid w:val="008129FF"/>
    <w:rsid w:val="00831FE9"/>
    <w:rsid w:val="00857B93"/>
    <w:rsid w:val="008860FF"/>
    <w:rsid w:val="008A5828"/>
    <w:rsid w:val="008B38A9"/>
    <w:rsid w:val="008B61FF"/>
    <w:rsid w:val="00966FA6"/>
    <w:rsid w:val="00973879"/>
    <w:rsid w:val="00975590"/>
    <w:rsid w:val="00983746"/>
    <w:rsid w:val="009A21CF"/>
    <w:rsid w:val="00A0633C"/>
    <w:rsid w:val="00A15D9F"/>
    <w:rsid w:val="00A17538"/>
    <w:rsid w:val="00A32854"/>
    <w:rsid w:val="00A36EC2"/>
    <w:rsid w:val="00A45C6D"/>
    <w:rsid w:val="00A5012F"/>
    <w:rsid w:val="00A638C1"/>
    <w:rsid w:val="00A75825"/>
    <w:rsid w:val="00A92858"/>
    <w:rsid w:val="00B03D5F"/>
    <w:rsid w:val="00B1296C"/>
    <w:rsid w:val="00B2718C"/>
    <w:rsid w:val="00B37CA0"/>
    <w:rsid w:val="00B87879"/>
    <w:rsid w:val="00B90ED9"/>
    <w:rsid w:val="00BC1F5D"/>
    <w:rsid w:val="00C07456"/>
    <w:rsid w:val="00C16B96"/>
    <w:rsid w:val="00CA2A17"/>
    <w:rsid w:val="00CA43A0"/>
    <w:rsid w:val="00CB1161"/>
    <w:rsid w:val="00CF5B9F"/>
    <w:rsid w:val="00DB2898"/>
    <w:rsid w:val="00DB42D5"/>
    <w:rsid w:val="00DD5F19"/>
    <w:rsid w:val="00E31C5A"/>
    <w:rsid w:val="00EA1D30"/>
    <w:rsid w:val="00F036A4"/>
    <w:rsid w:val="00F115F8"/>
    <w:rsid w:val="00F23238"/>
    <w:rsid w:val="00F37534"/>
    <w:rsid w:val="00F5631F"/>
    <w:rsid w:val="00F62C0F"/>
    <w:rsid w:val="00F67826"/>
    <w:rsid w:val="00FD3E81"/>
    <w:rsid w:val="00FF59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8A1525-F106-4633-A42C-0C27E566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MD" w:eastAsia="ro-RO"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49A"/>
    <w:rPr>
      <w:lang w:val="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5F1DB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rsid w:val="00EB049A"/>
    <w:pPr>
      <w:tabs>
        <w:tab w:val="center" w:pos="4677"/>
        <w:tab w:val="right" w:pos="9355"/>
      </w:tabs>
    </w:pPr>
  </w:style>
  <w:style w:type="character" w:customStyle="1" w:styleId="a5">
    <w:name w:val="Верхний колонтитул Знак"/>
    <w:basedOn w:val="a0"/>
    <w:link w:val="a4"/>
    <w:rsid w:val="00EB049A"/>
    <w:rPr>
      <w:rFonts w:ascii="Times New Roman" w:eastAsia="Times New Roman" w:hAnsi="Times New Roman" w:cs="Times New Roman"/>
      <w:sz w:val="20"/>
      <w:szCs w:val="20"/>
      <w:lang w:val="en-US"/>
    </w:rPr>
  </w:style>
  <w:style w:type="table" w:styleId="a6">
    <w:name w:val="Table Grid"/>
    <w:basedOn w:val="a1"/>
    <w:uiPriority w:val="39"/>
    <w:rsid w:val="00EB049A"/>
    <w:rPr>
      <w:rFonts w:ascii="Calibri" w:eastAsia="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EB049A"/>
    <w:pPr>
      <w:ind w:left="720"/>
      <w:contextualSpacing/>
    </w:pPr>
  </w:style>
  <w:style w:type="character" w:styleId="a8">
    <w:name w:val="Hyperlink"/>
    <w:basedOn w:val="a0"/>
    <w:uiPriority w:val="99"/>
    <w:rsid w:val="00EB049A"/>
    <w:rPr>
      <w:color w:val="0000FF"/>
      <w:u w:val="single"/>
    </w:rPr>
  </w:style>
  <w:style w:type="paragraph" w:styleId="a9">
    <w:name w:val="Balloon Text"/>
    <w:basedOn w:val="a"/>
    <w:link w:val="aa"/>
    <w:uiPriority w:val="99"/>
    <w:semiHidden/>
    <w:unhideWhenUsed/>
    <w:rsid w:val="00782F5A"/>
    <w:rPr>
      <w:rFonts w:ascii="Segoe UI" w:hAnsi="Segoe UI" w:cs="Segoe UI"/>
      <w:sz w:val="18"/>
      <w:szCs w:val="18"/>
    </w:rPr>
  </w:style>
  <w:style w:type="character" w:customStyle="1" w:styleId="aa">
    <w:name w:val="Текст выноски Знак"/>
    <w:basedOn w:val="a0"/>
    <w:link w:val="a9"/>
    <w:uiPriority w:val="99"/>
    <w:semiHidden/>
    <w:rsid w:val="00782F5A"/>
    <w:rPr>
      <w:rFonts w:ascii="Segoe UI" w:eastAsia="Times New Roman" w:hAnsi="Segoe UI" w:cs="Segoe UI"/>
      <w:sz w:val="18"/>
      <w:szCs w:val="18"/>
      <w:lang w:val="en-US"/>
    </w:rPr>
  </w:style>
  <w:style w:type="character" w:customStyle="1" w:styleId="40">
    <w:name w:val="Заголовок 4 Знак"/>
    <w:basedOn w:val="a0"/>
    <w:link w:val="4"/>
    <w:uiPriority w:val="9"/>
    <w:semiHidden/>
    <w:rsid w:val="005F1DB3"/>
    <w:rPr>
      <w:rFonts w:asciiTheme="majorHAnsi" w:eastAsiaTheme="majorEastAsia" w:hAnsiTheme="majorHAnsi" w:cstheme="majorBidi"/>
      <w:i/>
      <w:iCs/>
      <w:color w:val="2E74B5" w:themeColor="accent1" w:themeShade="BF"/>
      <w:sz w:val="20"/>
      <w:szCs w:val="20"/>
      <w:lang w:val="en-US"/>
    </w:rPr>
  </w:style>
  <w:style w:type="character" w:styleId="ab">
    <w:name w:val="Intense Emphasis"/>
    <w:basedOn w:val="a0"/>
    <w:uiPriority w:val="21"/>
    <w:qFormat/>
    <w:rsid w:val="000146D4"/>
    <w:rPr>
      <w:i/>
      <w:iCs/>
      <w:color w:val="5B9BD5" w:themeColor="accent1"/>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paragraph" w:styleId="ae">
    <w:name w:val="footer"/>
    <w:basedOn w:val="a"/>
    <w:link w:val="af"/>
    <w:uiPriority w:val="99"/>
    <w:unhideWhenUsed/>
    <w:rsid w:val="00E31C5A"/>
    <w:pPr>
      <w:tabs>
        <w:tab w:val="center" w:pos="4536"/>
        <w:tab w:val="right" w:pos="9072"/>
      </w:tabs>
    </w:pPr>
  </w:style>
  <w:style w:type="character" w:customStyle="1" w:styleId="af">
    <w:name w:val="Нижний колонтитул Знак"/>
    <w:basedOn w:val="a0"/>
    <w:link w:val="ae"/>
    <w:uiPriority w:val="99"/>
    <w:rsid w:val="00E31C5A"/>
    <w:rPr>
      <w:lang w:val="en-US"/>
    </w:rPr>
  </w:style>
  <w:style w:type="paragraph" w:styleId="af0">
    <w:name w:val="Normal (Web)"/>
    <w:basedOn w:val="a"/>
    <w:uiPriority w:val="99"/>
    <w:unhideWhenUsed/>
    <w:rsid w:val="002E439E"/>
    <w:pPr>
      <w:spacing w:before="100" w:beforeAutospacing="1" w:after="100" w:afterAutospacing="1"/>
      <w:ind w:firstLine="0"/>
      <w:jc w:val="left"/>
    </w:pPr>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57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2aFiDRIX8Gg2nMdN14YMxfiUg==">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Pages>
  <Words>1846</Words>
  <Characters>10526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MECC</cp:lastModifiedBy>
  <cp:revision>53</cp:revision>
  <cp:lastPrinted>2025-02-19T12:47:00Z</cp:lastPrinted>
  <dcterms:created xsi:type="dcterms:W3CDTF">2024-08-12T05:26:00Z</dcterms:created>
  <dcterms:modified xsi:type="dcterms:W3CDTF">2025-02-19T12:47:00Z</dcterms:modified>
</cp:coreProperties>
</file>