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3FB0" w:rsidRPr="00314112" w:rsidRDefault="00C25DBE">
      <w:pPr>
        <w:spacing w:after="0" w:line="240" w:lineRule="auto"/>
        <w:jc w:val="center"/>
        <w:rPr>
          <w:rFonts w:ascii="Times New Roman" w:eastAsia="Times New Roman" w:hAnsi="Times New Roman" w:cs="Times New Roman"/>
          <w:b/>
          <w:sz w:val="24"/>
          <w:szCs w:val="24"/>
        </w:rPr>
      </w:pPr>
      <w:r w:rsidRPr="00314112">
        <w:rPr>
          <w:rFonts w:ascii="Times New Roman" w:eastAsia="Times New Roman" w:hAnsi="Times New Roman" w:cs="Times New Roman"/>
          <w:b/>
          <w:sz w:val="24"/>
          <w:szCs w:val="24"/>
        </w:rPr>
        <w:t>Tabel comparativ la proiectul</w:t>
      </w:r>
    </w:p>
    <w:p w:rsidR="00363FB0" w:rsidRPr="00314112" w:rsidRDefault="00C25DBE">
      <w:pPr>
        <w:spacing w:after="0" w:line="240" w:lineRule="auto"/>
        <w:jc w:val="center"/>
        <w:rPr>
          <w:rFonts w:ascii="Times New Roman" w:eastAsia="Times New Roman" w:hAnsi="Times New Roman" w:cs="Times New Roman"/>
          <w:b/>
          <w:sz w:val="24"/>
          <w:szCs w:val="24"/>
        </w:rPr>
      </w:pPr>
      <w:r w:rsidRPr="00314112">
        <w:rPr>
          <w:rFonts w:ascii="Times New Roman" w:eastAsia="Times New Roman" w:hAnsi="Times New Roman" w:cs="Times New Roman"/>
          <w:b/>
          <w:sz w:val="24"/>
          <w:szCs w:val="24"/>
        </w:rPr>
        <w:t>Hotărârii Guvernului pentru modificarea Regulamentului cu privire la mecanismul de finanțare a sportului de performanță conform criteriilor distincte, aprobat prin Hotărârea Guvernului nr.22/2023</w:t>
      </w:r>
    </w:p>
    <w:tbl>
      <w:tblPr>
        <w:tblStyle w:val="ad"/>
        <w:tblW w:w="1601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4"/>
        <w:gridCol w:w="4819"/>
        <w:gridCol w:w="6095"/>
      </w:tblGrid>
      <w:tr w:rsidR="00363FB0" w:rsidRPr="00314112" w:rsidTr="0076274F">
        <w:trPr>
          <w:trHeight w:val="294"/>
        </w:trPr>
        <w:tc>
          <w:tcPr>
            <w:tcW w:w="5104" w:type="dxa"/>
            <w:tcBorders>
              <w:top w:val="single" w:sz="4" w:space="0" w:color="000000"/>
              <w:left w:val="single" w:sz="4" w:space="0" w:color="000000"/>
              <w:bottom w:val="single" w:sz="4" w:space="0" w:color="000000"/>
              <w:right w:val="single" w:sz="4" w:space="0" w:color="000000"/>
            </w:tcBorders>
          </w:tcPr>
          <w:p w:rsidR="00363FB0" w:rsidRPr="00314112" w:rsidRDefault="00C25DBE">
            <w:pPr>
              <w:tabs>
                <w:tab w:val="center" w:pos="3507"/>
                <w:tab w:val="left" w:pos="5235"/>
              </w:tabs>
              <w:jc w:val="center"/>
              <w:rPr>
                <w:rFonts w:ascii="Times New Roman" w:eastAsia="Times New Roman" w:hAnsi="Times New Roman" w:cs="Times New Roman"/>
                <w:b/>
                <w:sz w:val="24"/>
                <w:szCs w:val="24"/>
              </w:rPr>
            </w:pPr>
            <w:r w:rsidRPr="00314112">
              <w:rPr>
                <w:rFonts w:ascii="Times New Roman" w:eastAsia="Times New Roman" w:hAnsi="Times New Roman" w:cs="Times New Roman"/>
                <w:b/>
                <w:sz w:val="24"/>
                <w:szCs w:val="24"/>
              </w:rPr>
              <w:t>Conținutul normei în vigoare</w:t>
            </w:r>
          </w:p>
        </w:tc>
        <w:tc>
          <w:tcPr>
            <w:tcW w:w="4819" w:type="dxa"/>
            <w:tcBorders>
              <w:top w:val="single" w:sz="4" w:space="0" w:color="000000"/>
              <w:left w:val="single" w:sz="4" w:space="0" w:color="000000"/>
              <w:bottom w:val="single" w:sz="4" w:space="0" w:color="000000"/>
              <w:right w:val="single" w:sz="4" w:space="0" w:color="000000"/>
            </w:tcBorders>
          </w:tcPr>
          <w:p w:rsidR="00363FB0" w:rsidRPr="00314112" w:rsidRDefault="00C25DBE">
            <w:pPr>
              <w:jc w:val="center"/>
              <w:rPr>
                <w:rFonts w:ascii="Times New Roman" w:eastAsia="Times New Roman" w:hAnsi="Times New Roman" w:cs="Times New Roman"/>
                <w:b/>
                <w:sz w:val="24"/>
                <w:szCs w:val="24"/>
              </w:rPr>
            </w:pPr>
            <w:r w:rsidRPr="00314112">
              <w:rPr>
                <w:rFonts w:ascii="Times New Roman" w:eastAsia="Times New Roman" w:hAnsi="Times New Roman" w:cs="Times New Roman"/>
                <w:b/>
                <w:sz w:val="24"/>
                <w:szCs w:val="24"/>
              </w:rPr>
              <w:t>Modificarea propusă</w:t>
            </w:r>
          </w:p>
        </w:tc>
        <w:tc>
          <w:tcPr>
            <w:tcW w:w="6095" w:type="dxa"/>
            <w:tcBorders>
              <w:top w:val="single" w:sz="4" w:space="0" w:color="000000"/>
              <w:left w:val="single" w:sz="4" w:space="0" w:color="000000"/>
              <w:bottom w:val="single" w:sz="4" w:space="0" w:color="000000"/>
              <w:right w:val="single" w:sz="4" w:space="0" w:color="000000"/>
            </w:tcBorders>
          </w:tcPr>
          <w:p w:rsidR="00363FB0" w:rsidRPr="00314112" w:rsidRDefault="00C25DBE">
            <w:pPr>
              <w:jc w:val="center"/>
              <w:rPr>
                <w:rFonts w:ascii="Times New Roman" w:eastAsia="Times New Roman" w:hAnsi="Times New Roman" w:cs="Times New Roman"/>
                <w:b/>
                <w:sz w:val="24"/>
                <w:szCs w:val="24"/>
              </w:rPr>
            </w:pPr>
            <w:r w:rsidRPr="00314112">
              <w:rPr>
                <w:rFonts w:ascii="Times New Roman" w:eastAsia="Times New Roman" w:hAnsi="Times New Roman" w:cs="Times New Roman"/>
                <w:b/>
                <w:sz w:val="24"/>
                <w:szCs w:val="24"/>
              </w:rPr>
              <w:t>Conținutul normei după modificare</w:t>
            </w:r>
          </w:p>
        </w:tc>
      </w:tr>
      <w:tr w:rsidR="008B6B34" w:rsidRPr="00314112" w:rsidTr="000B2233">
        <w:tc>
          <w:tcPr>
            <w:tcW w:w="16018" w:type="dxa"/>
            <w:gridSpan w:val="3"/>
            <w:tcBorders>
              <w:top w:val="single" w:sz="4" w:space="0" w:color="000000"/>
              <w:left w:val="single" w:sz="4" w:space="0" w:color="000000"/>
              <w:bottom w:val="single" w:sz="4" w:space="0" w:color="000000"/>
              <w:right w:val="single" w:sz="4" w:space="0" w:color="000000"/>
            </w:tcBorders>
          </w:tcPr>
          <w:p w:rsidR="008B6B34" w:rsidRPr="00A7006D" w:rsidRDefault="008B6B34">
            <w:pPr>
              <w:jc w:val="center"/>
              <w:rPr>
                <w:rFonts w:ascii="Times New Roman" w:eastAsia="Times New Roman" w:hAnsi="Times New Roman" w:cs="Times New Roman"/>
                <w:b/>
                <w:sz w:val="24"/>
                <w:szCs w:val="24"/>
              </w:rPr>
            </w:pPr>
            <w:r w:rsidRPr="00A7006D">
              <w:rPr>
                <w:rFonts w:ascii="Times New Roman" w:eastAsia="Times New Roman" w:hAnsi="Times New Roman" w:cs="Times New Roman"/>
                <w:color w:val="000000"/>
                <w:sz w:val="24"/>
                <w:szCs w:val="24"/>
              </w:rPr>
              <w:t>Anexa nr.1 din Regulament</w:t>
            </w:r>
          </w:p>
        </w:tc>
      </w:tr>
      <w:tr w:rsidR="00510754" w:rsidRPr="00314112" w:rsidTr="0076274F">
        <w:trPr>
          <w:trHeight w:val="1409"/>
        </w:trPr>
        <w:tc>
          <w:tcPr>
            <w:tcW w:w="5104" w:type="dxa"/>
            <w:tcBorders>
              <w:top w:val="single" w:sz="4" w:space="0" w:color="000000"/>
              <w:left w:val="single" w:sz="4" w:space="0" w:color="000000"/>
              <w:right w:val="single" w:sz="4" w:space="0" w:color="000000"/>
            </w:tcBorders>
          </w:tcPr>
          <w:tbl>
            <w:tblPr>
              <w:tblW w:w="5000" w:type="pct"/>
              <w:tblLayout w:type="fixed"/>
              <w:tblLook w:val="0400" w:firstRow="0" w:lastRow="0" w:firstColumn="0" w:lastColumn="0" w:noHBand="0" w:noVBand="1"/>
            </w:tblPr>
            <w:tblGrid>
              <w:gridCol w:w="417"/>
              <w:gridCol w:w="2012"/>
              <w:gridCol w:w="576"/>
              <w:gridCol w:w="567"/>
              <w:gridCol w:w="1306"/>
            </w:tblGrid>
            <w:tr w:rsidR="00510754" w:rsidRPr="0058553C" w:rsidTr="00697901">
              <w:trPr>
                <w:trHeight w:val="545"/>
              </w:trPr>
              <w:tc>
                <w:tcPr>
                  <w:tcW w:w="42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0754" w:rsidRPr="00A7006D" w:rsidRDefault="00697901" w:rsidP="00A7006D">
                  <w:pPr>
                    <w:rPr>
                      <w:rFonts w:ascii="Times New Roman" w:hAnsi="Times New Roman" w:cs="Times New Roman"/>
                    </w:rPr>
                  </w:pPr>
                  <w:r>
                    <w:rPr>
                      <w:rFonts w:ascii="Times New Roman" w:hAnsi="Times New Roman" w:cs="Times New Roman"/>
                    </w:rPr>
                    <w:t>8</w:t>
                  </w:r>
                  <w:bookmarkStart w:id="0" w:name="_GoBack"/>
                  <w:bookmarkEnd w:id="0"/>
                </w:p>
              </w:tc>
              <w:tc>
                <w:tcPr>
                  <w:tcW w:w="206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0754" w:rsidRPr="00A7006D" w:rsidRDefault="00510754" w:rsidP="00A40393">
                  <w:pPr>
                    <w:spacing w:line="240" w:lineRule="auto"/>
                    <w:jc w:val="center"/>
                    <w:rPr>
                      <w:rFonts w:ascii="Times New Roman" w:hAnsi="Times New Roman" w:cs="Times New Roman"/>
                    </w:rPr>
                  </w:pPr>
                  <w:r w:rsidRPr="00A7006D">
                    <w:rPr>
                      <w:rFonts w:ascii="Times New Roman" w:hAnsi="Times New Roman" w:cs="Times New Roman"/>
                    </w:rPr>
                    <w:t>Campionatul Republicii Moldova</w:t>
                  </w:r>
                </w:p>
              </w:tc>
              <w:tc>
                <w:tcPr>
                  <w:tcW w:w="5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0754" w:rsidRPr="00A7006D" w:rsidRDefault="00510754" w:rsidP="00A7006D">
                  <w:pPr>
                    <w:jc w:val="center"/>
                    <w:rPr>
                      <w:rFonts w:ascii="Times New Roman" w:hAnsi="Times New Roman" w:cs="Times New Roman"/>
                    </w:rPr>
                  </w:pPr>
                  <w:r w:rsidRPr="00A7006D">
                    <w:rPr>
                      <w:rFonts w:ascii="Times New Roman" w:hAnsi="Times New Roman" w:cs="Times New Roman"/>
                    </w:rPr>
                    <w:t>7</w:t>
                  </w:r>
                </w:p>
              </w:tc>
              <w:tc>
                <w:tcPr>
                  <w:tcW w:w="5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0754" w:rsidRPr="00A7006D" w:rsidRDefault="00510754" w:rsidP="00A7006D"/>
              </w:tc>
              <w:tc>
                <w:tcPr>
                  <w:tcW w:w="13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0754" w:rsidRPr="00A7006D" w:rsidRDefault="00510754" w:rsidP="00A7006D">
                  <w:pPr>
                    <w:jc w:val="center"/>
                    <w:rPr>
                      <w:rFonts w:ascii="Times New Roman" w:hAnsi="Times New Roman" w:cs="Times New Roman"/>
                    </w:rPr>
                  </w:pPr>
                  <w:r w:rsidRPr="00A7006D">
                    <w:rPr>
                      <w:rFonts w:ascii="Times New Roman" w:hAnsi="Times New Roman" w:cs="Times New Roman"/>
                    </w:rPr>
                    <w:t>Obligatoriu</w:t>
                  </w:r>
                </w:p>
              </w:tc>
            </w:tr>
          </w:tbl>
          <w:p w:rsidR="00510754" w:rsidRPr="00314112" w:rsidRDefault="00510754" w:rsidP="00A7006D">
            <w:pPr>
              <w:tabs>
                <w:tab w:val="center" w:pos="3507"/>
                <w:tab w:val="left" w:pos="5235"/>
              </w:tabs>
              <w:jc w:val="both"/>
              <w:rPr>
                <w:rFonts w:ascii="Times New Roman" w:eastAsia="Times New Roman" w:hAnsi="Times New Roman" w:cs="Times New Roman"/>
                <w:b/>
                <w:sz w:val="24"/>
                <w:szCs w:val="24"/>
              </w:rPr>
            </w:pPr>
          </w:p>
        </w:tc>
        <w:tc>
          <w:tcPr>
            <w:tcW w:w="4819" w:type="dxa"/>
            <w:tcBorders>
              <w:top w:val="single" w:sz="4" w:space="0" w:color="000000"/>
              <w:left w:val="single" w:sz="4" w:space="0" w:color="000000"/>
              <w:right w:val="single" w:sz="4" w:space="0" w:color="000000"/>
            </w:tcBorders>
          </w:tcPr>
          <w:tbl>
            <w:tblPr>
              <w:tblW w:w="4709" w:type="dxa"/>
              <w:tblLayout w:type="fixed"/>
              <w:tblLook w:val="0400" w:firstRow="0" w:lastRow="0" w:firstColumn="0" w:lastColumn="0" w:noHBand="0" w:noVBand="1"/>
            </w:tblPr>
            <w:tblGrid>
              <w:gridCol w:w="314"/>
              <w:gridCol w:w="2366"/>
              <w:gridCol w:w="471"/>
              <w:gridCol w:w="283"/>
              <w:gridCol w:w="1275"/>
            </w:tblGrid>
            <w:tr w:rsidR="0076274F" w:rsidRPr="00A7006D" w:rsidTr="00697901">
              <w:trPr>
                <w:trHeight w:val="970"/>
              </w:trPr>
              <w:tc>
                <w:tcPr>
                  <w:tcW w:w="33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0754" w:rsidRPr="00A7006D" w:rsidRDefault="0076274F" w:rsidP="00A7006D">
                  <w:pPr>
                    <w:rPr>
                      <w:rFonts w:ascii="Times New Roman" w:hAnsi="Times New Roman" w:cs="Times New Roman"/>
                    </w:rPr>
                  </w:pPr>
                  <w:r>
                    <w:rPr>
                      <w:rFonts w:ascii="Times New Roman" w:hAnsi="Times New Roman" w:cs="Times New Roman"/>
                    </w:rPr>
                    <w:t>8</w:t>
                  </w:r>
                </w:p>
              </w:tc>
              <w:tc>
                <w:tcPr>
                  <w:tcW w:w="25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0754" w:rsidRPr="00510754" w:rsidRDefault="00510754" w:rsidP="00A40393">
                  <w:pPr>
                    <w:spacing w:line="240" w:lineRule="auto"/>
                    <w:jc w:val="center"/>
                    <w:rPr>
                      <w:rFonts w:ascii="Times New Roman" w:hAnsi="Times New Roman" w:cs="Times New Roman"/>
                    </w:rPr>
                  </w:pPr>
                  <w:r w:rsidRPr="00510754">
                    <w:rPr>
                      <w:rFonts w:ascii="Times New Roman" w:eastAsia="Times New Roman" w:hAnsi="Times New Roman" w:cs="Times New Roman"/>
                      <w:lang w:eastAsia="en-US"/>
                    </w:rPr>
                    <w:t>Cam</w:t>
                  </w:r>
                  <w:r w:rsidR="0076274F">
                    <w:rPr>
                      <w:rFonts w:ascii="Times New Roman" w:eastAsia="Times New Roman" w:hAnsi="Times New Roman" w:cs="Times New Roman"/>
                      <w:lang w:eastAsia="en-US"/>
                    </w:rPr>
                    <w:t>pionat</w:t>
                  </w:r>
                  <w:r w:rsidR="00697901">
                    <w:rPr>
                      <w:rFonts w:ascii="Times New Roman" w:eastAsia="Times New Roman" w:hAnsi="Times New Roman" w:cs="Times New Roman"/>
                      <w:lang w:eastAsia="en-US"/>
                    </w:rPr>
                    <w:t>ul Republicii Moldova la</w:t>
                  </w:r>
                  <w:r w:rsidR="0076274F">
                    <w:rPr>
                      <w:rFonts w:ascii="Times New Roman" w:eastAsia="Times New Roman" w:hAnsi="Times New Roman" w:cs="Times New Roman"/>
                      <w:lang w:eastAsia="en-US"/>
                    </w:rPr>
                    <w:t xml:space="preserve"> categorie de vârstă</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0754" w:rsidRPr="00A7006D" w:rsidRDefault="0076274F" w:rsidP="00A7006D">
                  <w:pPr>
                    <w:jc w:val="center"/>
                    <w:rPr>
                      <w:rFonts w:ascii="Times New Roman" w:hAnsi="Times New Roman" w:cs="Times New Roman"/>
                    </w:rPr>
                  </w:pPr>
                  <w:r>
                    <w:rPr>
                      <w:rFonts w:ascii="Times New Roman" w:hAnsi="Times New Roman" w:cs="Times New Roman"/>
                    </w:rPr>
                    <w:t>2</w:t>
                  </w:r>
                </w:p>
              </w:tc>
              <w:tc>
                <w:tcPr>
                  <w:tcW w:w="3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0754" w:rsidRPr="00A7006D" w:rsidRDefault="00510754" w:rsidP="00A7006D"/>
              </w:tc>
              <w:tc>
                <w:tcPr>
                  <w:tcW w:w="13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0754" w:rsidRPr="00A7006D" w:rsidRDefault="00510754" w:rsidP="00A7006D">
                  <w:pPr>
                    <w:jc w:val="center"/>
                    <w:rPr>
                      <w:rFonts w:ascii="Times New Roman" w:hAnsi="Times New Roman" w:cs="Times New Roman"/>
                    </w:rPr>
                  </w:pPr>
                  <w:r w:rsidRPr="00A7006D">
                    <w:rPr>
                      <w:rFonts w:ascii="Times New Roman" w:hAnsi="Times New Roman" w:cs="Times New Roman"/>
                    </w:rPr>
                    <w:t>Obligatoriu</w:t>
                  </w:r>
                </w:p>
              </w:tc>
            </w:tr>
          </w:tbl>
          <w:p w:rsidR="00510754" w:rsidRPr="00314112" w:rsidRDefault="00510754">
            <w:pPr>
              <w:jc w:val="center"/>
              <w:rPr>
                <w:rFonts w:ascii="Times New Roman" w:eastAsia="Times New Roman" w:hAnsi="Times New Roman" w:cs="Times New Roman"/>
                <w:b/>
                <w:sz w:val="24"/>
                <w:szCs w:val="24"/>
              </w:rPr>
            </w:pPr>
          </w:p>
        </w:tc>
        <w:tc>
          <w:tcPr>
            <w:tcW w:w="6095" w:type="dxa"/>
            <w:tcBorders>
              <w:top w:val="single" w:sz="4" w:space="0" w:color="000000"/>
              <w:left w:val="single" w:sz="4" w:space="0" w:color="000000"/>
              <w:right w:val="single" w:sz="4" w:space="0" w:color="000000"/>
            </w:tcBorders>
          </w:tcPr>
          <w:tbl>
            <w:tblPr>
              <w:tblW w:w="5000" w:type="pct"/>
              <w:tblLayout w:type="fixed"/>
              <w:tblLook w:val="0400" w:firstRow="0" w:lastRow="0" w:firstColumn="0" w:lastColumn="0" w:noHBand="0" w:noVBand="1"/>
            </w:tblPr>
            <w:tblGrid>
              <w:gridCol w:w="319"/>
              <w:gridCol w:w="2605"/>
              <w:gridCol w:w="656"/>
              <w:gridCol w:w="842"/>
              <w:gridCol w:w="1447"/>
            </w:tblGrid>
            <w:tr w:rsidR="00510754" w:rsidRPr="00A7006D" w:rsidTr="00697901">
              <w:tc>
                <w:tcPr>
                  <w:tcW w:w="27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0754" w:rsidRPr="00A7006D" w:rsidRDefault="00697901" w:rsidP="00510754">
                  <w:pPr>
                    <w:rPr>
                      <w:rFonts w:ascii="Times New Roman" w:hAnsi="Times New Roman" w:cs="Times New Roman"/>
                    </w:rPr>
                  </w:pPr>
                  <w:r>
                    <w:rPr>
                      <w:rFonts w:ascii="Times New Roman" w:hAnsi="Times New Roman" w:cs="Times New Roman"/>
                    </w:rPr>
                    <w:t>8</w:t>
                  </w:r>
                </w:p>
              </w:tc>
              <w:tc>
                <w:tcPr>
                  <w:tcW w:w="22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0754" w:rsidRPr="00510754" w:rsidRDefault="00A40393" w:rsidP="00510754">
                  <w:pPr>
                    <w:spacing w:line="240" w:lineRule="auto"/>
                    <w:jc w:val="center"/>
                    <w:rPr>
                      <w:rFonts w:ascii="Times New Roman" w:hAnsi="Times New Roman" w:cs="Times New Roman"/>
                    </w:rPr>
                  </w:pPr>
                  <w:r w:rsidRPr="00510754">
                    <w:rPr>
                      <w:rFonts w:ascii="Times New Roman" w:eastAsia="Times New Roman" w:hAnsi="Times New Roman" w:cs="Times New Roman"/>
                      <w:lang w:eastAsia="en-US"/>
                    </w:rPr>
                    <w:t>Cam</w:t>
                  </w:r>
                  <w:r w:rsidR="00697901">
                    <w:rPr>
                      <w:rFonts w:ascii="Times New Roman" w:eastAsia="Times New Roman" w:hAnsi="Times New Roman" w:cs="Times New Roman"/>
                      <w:lang w:eastAsia="en-US"/>
                    </w:rPr>
                    <w:t>pionatul Republicii Moldova la</w:t>
                  </w:r>
                  <w:r>
                    <w:rPr>
                      <w:rFonts w:ascii="Times New Roman" w:eastAsia="Times New Roman" w:hAnsi="Times New Roman" w:cs="Times New Roman"/>
                      <w:lang w:eastAsia="en-US"/>
                    </w:rPr>
                    <w:t xml:space="preserve"> categorie de vârstă</w:t>
                  </w:r>
                </w:p>
              </w:tc>
              <w:tc>
                <w:tcPr>
                  <w:tcW w:w="5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0754" w:rsidRPr="00A7006D" w:rsidRDefault="00A40393" w:rsidP="00510754">
                  <w:pPr>
                    <w:jc w:val="center"/>
                    <w:rPr>
                      <w:rFonts w:ascii="Times New Roman" w:hAnsi="Times New Roman" w:cs="Times New Roman"/>
                    </w:rPr>
                  </w:pPr>
                  <w:r>
                    <w:rPr>
                      <w:rFonts w:ascii="Times New Roman" w:hAnsi="Times New Roman" w:cs="Times New Roman"/>
                    </w:rPr>
                    <w:t>2</w:t>
                  </w:r>
                </w:p>
              </w:tc>
              <w:tc>
                <w:tcPr>
                  <w:tcW w:w="7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0754" w:rsidRPr="00A7006D" w:rsidRDefault="00510754" w:rsidP="00510754"/>
              </w:tc>
              <w:tc>
                <w:tcPr>
                  <w:tcW w:w="123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0754" w:rsidRPr="00A7006D" w:rsidRDefault="00510754" w:rsidP="00510754">
                  <w:pPr>
                    <w:jc w:val="center"/>
                    <w:rPr>
                      <w:rFonts w:ascii="Times New Roman" w:hAnsi="Times New Roman" w:cs="Times New Roman"/>
                    </w:rPr>
                  </w:pPr>
                  <w:r w:rsidRPr="00A7006D">
                    <w:rPr>
                      <w:rFonts w:ascii="Times New Roman" w:hAnsi="Times New Roman" w:cs="Times New Roman"/>
                    </w:rPr>
                    <w:t>Obligatoriu</w:t>
                  </w:r>
                </w:p>
              </w:tc>
            </w:tr>
          </w:tbl>
          <w:p w:rsidR="00510754" w:rsidRPr="00314112" w:rsidRDefault="00510754">
            <w:pPr>
              <w:jc w:val="center"/>
              <w:rPr>
                <w:rFonts w:ascii="Times New Roman" w:eastAsia="Times New Roman" w:hAnsi="Times New Roman" w:cs="Times New Roman"/>
                <w:b/>
                <w:sz w:val="24"/>
                <w:szCs w:val="24"/>
              </w:rPr>
            </w:pPr>
          </w:p>
        </w:tc>
      </w:tr>
      <w:tr w:rsidR="008B6B34" w:rsidRPr="00314112" w:rsidTr="003D4E99">
        <w:tc>
          <w:tcPr>
            <w:tcW w:w="16018" w:type="dxa"/>
            <w:gridSpan w:val="3"/>
            <w:tcBorders>
              <w:top w:val="single" w:sz="4" w:space="0" w:color="000000"/>
              <w:left w:val="single" w:sz="4" w:space="0" w:color="000000"/>
              <w:bottom w:val="single" w:sz="4" w:space="0" w:color="000000"/>
              <w:right w:val="single" w:sz="4" w:space="0" w:color="000000"/>
            </w:tcBorders>
          </w:tcPr>
          <w:p w:rsidR="008B6B34" w:rsidRDefault="008B6B34" w:rsidP="008B6B34">
            <w:pPr>
              <w:jc w:val="center"/>
              <w:rPr>
                <w:rFonts w:ascii="Times New Roman" w:eastAsia="Times New Roman" w:hAnsi="Times New Roman" w:cs="Times New Roman"/>
              </w:rPr>
            </w:pPr>
            <w:r>
              <w:rPr>
                <w:rFonts w:ascii="Times New Roman" w:eastAsia="Times New Roman" w:hAnsi="Times New Roman" w:cs="Times New Roman"/>
                <w:color w:val="000000"/>
              </w:rPr>
              <w:t>Anexa nr.2</w:t>
            </w:r>
            <w:r w:rsidR="00A40C8C">
              <w:rPr>
                <w:rFonts w:ascii="Times New Roman" w:eastAsia="Times New Roman" w:hAnsi="Times New Roman" w:cs="Times New Roman"/>
                <w:color w:val="000000"/>
              </w:rPr>
              <w:t>, Tabelul nr.1</w:t>
            </w:r>
            <w:r>
              <w:rPr>
                <w:rFonts w:ascii="Times New Roman" w:eastAsia="Times New Roman" w:hAnsi="Times New Roman" w:cs="Times New Roman"/>
                <w:color w:val="000000"/>
              </w:rPr>
              <w:t xml:space="preserve"> din Regulament</w:t>
            </w:r>
          </w:p>
        </w:tc>
      </w:tr>
    </w:tbl>
    <w:tbl>
      <w:tblPr>
        <w:tblStyle w:val="a4"/>
        <w:tblW w:w="16045" w:type="dxa"/>
        <w:tblInd w:w="-719" w:type="dxa"/>
        <w:tblLook w:val="04A0" w:firstRow="1" w:lastRow="0" w:firstColumn="1" w:lastColumn="0" w:noHBand="0" w:noVBand="1"/>
      </w:tblPr>
      <w:tblGrid>
        <w:gridCol w:w="5130"/>
        <w:gridCol w:w="568"/>
        <w:gridCol w:w="3190"/>
        <w:gridCol w:w="490"/>
        <w:gridCol w:w="425"/>
        <w:gridCol w:w="566"/>
        <w:gridCol w:w="425"/>
        <w:gridCol w:w="426"/>
        <w:gridCol w:w="425"/>
        <w:gridCol w:w="425"/>
        <w:gridCol w:w="431"/>
        <w:gridCol w:w="567"/>
        <w:gridCol w:w="426"/>
        <w:gridCol w:w="425"/>
        <w:gridCol w:w="425"/>
        <w:gridCol w:w="425"/>
        <w:gridCol w:w="426"/>
        <w:gridCol w:w="425"/>
        <w:gridCol w:w="425"/>
      </w:tblGrid>
      <w:tr w:rsidR="0076274F" w:rsidTr="0076274F">
        <w:tc>
          <w:tcPr>
            <w:tcW w:w="5130" w:type="dxa"/>
            <w:tcBorders>
              <w:top w:val="nil"/>
              <w:bottom w:val="nil"/>
            </w:tcBorders>
            <w:shd w:val="clear" w:color="auto" w:fill="auto"/>
          </w:tcPr>
          <w:p w:rsidR="0076274F" w:rsidRDefault="0076274F" w:rsidP="0076274F">
            <w:pPr>
              <w:pStyle w:val="a5"/>
              <w:tabs>
                <w:tab w:val="left" w:pos="284"/>
              </w:tabs>
              <w:ind w:left="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w:t>
            </w:r>
          </w:p>
        </w:tc>
        <w:tc>
          <w:tcPr>
            <w:tcW w:w="568" w:type="dxa"/>
          </w:tcPr>
          <w:p w:rsidR="0076274F" w:rsidRDefault="0076274F" w:rsidP="0032613F">
            <w:pPr>
              <w:pStyle w:val="a5"/>
              <w:tabs>
                <w:tab w:val="left" w:pos="284"/>
              </w:tabs>
              <w:ind w:left="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11.</w:t>
            </w:r>
          </w:p>
        </w:tc>
        <w:tc>
          <w:tcPr>
            <w:tcW w:w="3190" w:type="dxa"/>
          </w:tcPr>
          <w:p w:rsidR="0076274F" w:rsidRDefault="0076274F" w:rsidP="0032613F">
            <w:pPr>
              <w:pStyle w:val="a5"/>
              <w:tabs>
                <w:tab w:val="left" w:pos="284"/>
              </w:tabs>
              <w:ind w:left="0"/>
              <w:jc w:val="both"/>
              <w:rPr>
                <w:rFonts w:ascii="Times New Roman" w:eastAsia="Times New Roman" w:hAnsi="Times New Roman" w:cs="Times New Roman"/>
                <w:sz w:val="28"/>
                <w:szCs w:val="28"/>
                <w:highlight w:val="white"/>
              </w:rPr>
            </w:pPr>
            <w:r w:rsidRPr="00C51E4C">
              <w:rPr>
                <w:rFonts w:ascii="Times New Roman" w:eastAsia="Times New Roman" w:hAnsi="Times New Roman" w:cs="Times New Roman"/>
                <w:sz w:val="20"/>
                <w:szCs w:val="20"/>
                <w:lang w:eastAsia="en-US"/>
              </w:rPr>
              <w:t xml:space="preserve">Competiții internaționale </w:t>
            </w:r>
            <w:r>
              <w:rPr>
                <w:rFonts w:ascii="Times New Roman" w:eastAsia="Times New Roman" w:hAnsi="Times New Roman" w:cs="Times New Roman"/>
                <w:sz w:val="20"/>
                <w:szCs w:val="20"/>
                <w:lang w:eastAsia="en-US"/>
              </w:rPr>
              <w:t>ce oferă rating în vederea calificării către Jocurile Olimpice/Paralimpice</w:t>
            </w:r>
            <w:r w:rsidRPr="00C51E4C">
              <w:rPr>
                <w:rFonts w:ascii="Times New Roman" w:eastAsia="Times New Roman" w:hAnsi="Times New Roman" w:cs="Times New Roman"/>
                <w:sz w:val="20"/>
                <w:szCs w:val="20"/>
                <w:lang w:eastAsia="en-US"/>
              </w:rPr>
              <w:t>, aprobate de Federația Sportivă Internațională</w:t>
            </w:r>
          </w:p>
        </w:tc>
        <w:tc>
          <w:tcPr>
            <w:tcW w:w="490" w:type="dxa"/>
            <w:tcBorders>
              <w:top w:val="single" w:sz="4" w:space="0" w:color="000000"/>
              <w:left w:val="single" w:sz="4" w:space="0" w:color="000000"/>
              <w:bottom w:val="single" w:sz="4" w:space="0" w:color="000000"/>
              <w:right w:val="single" w:sz="4" w:space="0" w:color="000000"/>
            </w:tcBorders>
          </w:tcPr>
          <w:p w:rsidR="0076274F" w:rsidRPr="00C51E4C" w:rsidRDefault="0076274F" w:rsidP="0032613F">
            <w:pPr>
              <w:jc w:val="center"/>
              <w:rPr>
                <w:rFonts w:ascii="Times New Roman" w:hAnsi="Times New Roman" w:cs="Times New Roman"/>
              </w:rPr>
            </w:pPr>
            <w:r w:rsidRPr="00C51E4C">
              <w:rPr>
                <w:rFonts w:ascii="Times New Roman" w:hAnsi="Times New Roman" w:cs="Times New Roman"/>
              </w:rPr>
              <w:t>8</w:t>
            </w:r>
          </w:p>
        </w:tc>
        <w:tc>
          <w:tcPr>
            <w:tcW w:w="425" w:type="dxa"/>
            <w:tcBorders>
              <w:top w:val="single" w:sz="4" w:space="0" w:color="000000"/>
              <w:left w:val="single" w:sz="4" w:space="0" w:color="000000"/>
              <w:bottom w:val="single" w:sz="4" w:space="0" w:color="000000"/>
              <w:right w:val="single" w:sz="4" w:space="0" w:color="000000"/>
            </w:tcBorders>
          </w:tcPr>
          <w:p w:rsidR="0076274F" w:rsidRPr="00C51E4C" w:rsidRDefault="0076274F" w:rsidP="0032613F">
            <w:pPr>
              <w:jc w:val="center"/>
              <w:rPr>
                <w:rFonts w:ascii="Times New Roman" w:hAnsi="Times New Roman" w:cs="Times New Roman"/>
              </w:rPr>
            </w:pPr>
            <w:r w:rsidRPr="00C51E4C">
              <w:rPr>
                <w:rFonts w:ascii="Times New Roman" w:hAnsi="Times New Roman" w:cs="Times New Roman"/>
              </w:rPr>
              <w:t>7</w:t>
            </w:r>
          </w:p>
        </w:tc>
        <w:tc>
          <w:tcPr>
            <w:tcW w:w="566" w:type="dxa"/>
            <w:tcBorders>
              <w:top w:val="single" w:sz="4" w:space="0" w:color="000000"/>
              <w:left w:val="single" w:sz="4" w:space="0" w:color="000000"/>
              <w:bottom w:val="single" w:sz="4" w:space="0" w:color="000000"/>
              <w:right w:val="single" w:sz="4" w:space="0" w:color="000000"/>
            </w:tcBorders>
          </w:tcPr>
          <w:p w:rsidR="0076274F" w:rsidRPr="00C51E4C" w:rsidRDefault="0076274F" w:rsidP="0032613F">
            <w:pPr>
              <w:jc w:val="center"/>
              <w:rPr>
                <w:rFonts w:ascii="Times New Roman" w:hAnsi="Times New Roman" w:cs="Times New Roman"/>
              </w:rPr>
            </w:pPr>
            <w:r w:rsidRPr="00C51E4C">
              <w:rPr>
                <w:rFonts w:ascii="Times New Roman" w:hAnsi="Times New Roman" w:cs="Times New Roman"/>
              </w:rPr>
              <w:t>6</w:t>
            </w:r>
          </w:p>
        </w:tc>
        <w:tc>
          <w:tcPr>
            <w:tcW w:w="425" w:type="dxa"/>
            <w:tcBorders>
              <w:top w:val="single" w:sz="4" w:space="0" w:color="000000"/>
              <w:left w:val="single" w:sz="4" w:space="0" w:color="000000"/>
              <w:bottom w:val="single" w:sz="4" w:space="0" w:color="000000"/>
              <w:right w:val="single" w:sz="4" w:space="0" w:color="000000"/>
            </w:tcBorders>
          </w:tcPr>
          <w:p w:rsidR="0076274F" w:rsidRPr="00C51E4C" w:rsidRDefault="0076274F" w:rsidP="0032613F">
            <w:pPr>
              <w:jc w:val="center"/>
              <w:rPr>
                <w:rFonts w:ascii="Times New Roman" w:hAnsi="Times New Roman" w:cs="Times New Roman"/>
              </w:rPr>
            </w:pPr>
            <w:r w:rsidRPr="00C51E4C">
              <w:rPr>
                <w:rFonts w:ascii="Times New Roman" w:hAnsi="Times New Roman" w:cs="Times New Roman"/>
              </w:rPr>
              <w:t>5</w:t>
            </w:r>
          </w:p>
        </w:tc>
        <w:tc>
          <w:tcPr>
            <w:tcW w:w="426" w:type="dxa"/>
            <w:tcBorders>
              <w:top w:val="single" w:sz="4" w:space="0" w:color="000000"/>
              <w:left w:val="single" w:sz="4" w:space="0" w:color="000000"/>
              <w:bottom w:val="single" w:sz="4" w:space="0" w:color="000000"/>
              <w:right w:val="single" w:sz="4" w:space="0" w:color="000000"/>
            </w:tcBorders>
          </w:tcPr>
          <w:p w:rsidR="0076274F" w:rsidRPr="00C51E4C" w:rsidRDefault="0076274F" w:rsidP="0032613F">
            <w:pPr>
              <w:jc w:val="center"/>
              <w:rPr>
                <w:rFonts w:ascii="Times New Roman" w:hAnsi="Times New Roman" w:cs="Times New Roman"/>
              </w:rPr>
            </w:pPr>
            <w:r w:rsidRPr="00C51E4C">
              <w:rPr>
                <w:rFonts w:ascii="Times New Roman" w:hAnsi="Times New Roman" w:cs="Times New Roman"/>
              </w:rPr>
              <w:t>4</w:t>
            </w:r>
          </w:p>
        </w:tc>
        <w:tc>
          <w:tcPr>
            <w:tcW w:w="425" w:type="dxa"/>
            <w:tcBorders>
              <w:top w:val="single" w:sz="4" w:space="0" w:color="000000"/>
              <w:left w:val="single" w:sz="4" w:space="0" w:color="000000"/>
              <w:bottom w:val="single" w:sz="4" w:space="0" w:color="000000"/>
              <w:right w:val="single" w:sz="4" w:space="0" w:color="000000"/>
            </w:tcBorders>
          </w:tcPr>
          <w:p w:rsidR="0076274F" w:rsidRPr="00C51E4C" w:rsidRDefault="0076274F" w:rsidP="0032613F">
            <w:pPr>
              <w:jc w:val="center"/>
              <w:rPr>
                <w:rFonts w:ascii="Times New Roman" w:hAnsi="Times New Roman" w:cs="Times New Roman"/>
              </w:rPr>
            </w:pPr>
            <w:r w:rsidRPr="00C51E4C">
              <w:rPr>
                <w:rFonts w:ascii="Times New Roman" w:hAnsi="Times New Roman" w:cs="Times New Roman"/>
              </w:rPr>
              <w:t>3</w:t>
            </w:r>
          </w:p>
        </w:tc>
        <w:tc>
          <w:tcPr>
            <w:tcW w:w="425" w:type="dxa"/>
            <w:tcBorders>
              <w:top w:val="single" w:sz="4" w:space="0" w:color="000000"/>
              <w:left w:val="single" w:sz="4" w:space="0" w:color="000000"/>
              <w:bottom w:val="single" w:sz="4" w:space="0" w:color="000000"/>
              <w:right w:val="single" w:sz="4" w:space="0" w:color="000000"/>
            </w:tcBorders>
          </w:tcPr>
          <w:p w:rsidR="0076274F" w:rsidRPr="00C51E4C" w:rsidRDefault="0076274F" w:rsidP="0032613F">
            <w:pPr>
              <w:jc w:val="center"/>
              <w:rPr>
                <w:rFonts w:ascii="Times New Roman" w:hAnsi="Times New Roman" w:cs="Times New Roman"/>
              </w:rPr>
            </w:pPr>
            <w:r w:rsidRPr="00C51E4C">
              <w:rPr>
                <w:rFonts w:ascii="Times New Roman" w:hAnsi="Times New Roman" w:cs="Times New Roman"/>
              </w:rPr>
              <w:t>2</w:t>
            </w:r>
          </w:p>
        </w:tc>
        <w:tc>
          <w:tcPr>
            <w:tcW w:w="431" w:type="dxa"/>
            <w:tcBorders>
              <w:top w:val="single" w:sz="4" w:space="0" w:color="000000"/>
              <w:left w:val="single" w:sz="4" w:space="0" w:color="000000"/>
              <w:bottom w:val="single" w:sz="4" w:space="0" w:color="000000"/>
              <w:right w:val="single" w:sz="4" w:space="0" w:color="000000"/>
            </w:tcBorders>
          </w:tcPr>
          <w:p w:rsidR="0076274F" w:rsidRPr="00C51E4C" w:rsidRDefault="0076274F" w:rsidP="0032613F">
            <w:pPr>
              <w:jc w:val="center"/>
              <w:rPr>
                <w:rFonts w:ascii="Times New Roman" w:hAnsi="Times New Roman" w:cs="Times New Roman"/>
              </w:rPr>
            </w:pPr>
            <w:r w:rsidRPr="00C51E4C">
              <w:rPr>
                <w:rFonts w:ascii="Times New Roman" w:hAnsi="Times New Roman" w:cs="Times New Roman"/>
              </w:rPr>
              <w:t>1</w:t>
            </w:r>
          </w:p>
        </w:tc>
        <w:tc>
          <w:tcPr>
            <w:tcW w:w="567" w:type="dxa"/>
            <w:tcBorders>
              <w:top w:val="single" w:sz="4" w:space="0" w:color="000000"/>
              <w:left w:val="single" w:sz="4" w:space="0" w:color="000000"/>
              <w:bottom w:val="single" w:sz="4" w:space="0" w:color="000000"/>
              <w:right w:val="single" w:sz="4" w:space="0" w:color="000000"/>
            </w:tcBorders>
          </w:tcPr>
          <w:p w:rsidR="0076274F" w:rsidRPr="00C51E4C" w:rsidRDefault="0076274F" w:rsidP="0032613F">
            <w:pPr>
              <w:jc w:val="center"/>
              <w:rPr>
                <w:rFonts w:ascii="Times New Roman" w:hAnsi="Times New Roman" w:cs="Times New Roman"/>
              </w:rPr>
            </w:pPr>
            <w:r w:rsidRPr="00C51E4C">
              <w:rPr>
                <w:rFonts w:ascii="Times New Roman" w:hAnsi="Times New Roman" w:cs="Times New Roman"/>
              </w:rPr>
              <w:t>0,5</w:t>
            </w:r>
          </w:p>
        </w:tc>
        <w:tc>
          <w:tcPr>
            <w:tcW w:w="426" w:type="dxa"/>
            <w:tcBorders>
              <w:top w:val="single" w:sz="4" w:space="0" w:color="000000"/>
              <w:left w:val="single" w:sz="4" w:space="0" w:color="000000"/>
              <w:bottom w:val="single" w:sz="4" w:space="0" w:color="000000"/>
              <w:right w:val="single" w:sz="4" w:space="0" w:color="000000"/>
            </w:tcBorders>
          </w:tcPr>
          <w:p w:rsidR="0076274F" w:rsidRPr="00C51E4C" w:rsidRDefault="0076274F" w:rsidP="0032613F">
            <w:pPr>
              <w:jc w:val="center"/>
              <w:rPr>
                <w:rFonts w:ascii="Times New Roman" w:hAnsi="Times New Roman" w:cs="Times New Roman"/>
              </w:rPr>
            </w:pPr>
            <w:r>
              <w:rPr>
                <w:rFonts w:ascii="Times New Roman" w:hAnsi="Times New Roman" w:cs="Times New Roman"/>
              </w:rPr>
              <w:t>-</w:t>
            </w:r>
          </w:p>
        </w:tc>
        <w:tc>
          <w:tcPr>
            <w:tcW w:w="425" w:type="dxa"/>
            <w:tcBorders>
              <w:top w:val="single" w:sz="4" w:space="0" w:color="000000"/>
              <w:left w:val="single" w:sz="4" w:space="0" w:color="000000"/>
              <w:bottom w:val="single" w:sz="4" w:space="0" w:color="000000"/>
              <w:right w:val="single" w:sz="4" w:space="0" w:color="000000"/>
            </w:tcBorders>
          </w:tcPr>
          <w:p w:rsidR="0076274F" w:rsidRPr="00C51E4C" w:rsidRDefault="0076274F" w:rsidP="0032613F">
            <w:pPr>
              <w:jc w:val="center"/>
              <w:rPr>
                <w:rFonts w:ascii="Times New Roman" w:hAnsi="Times New Roman" w:cs="Times New Roman"/>
              </w:rPr>
            </w:pPr>
            <w:r>
              <w:rPr>
                <w:rFonts w:ascii="Times New Roman" w:hAnsi="Times New Roman" w:cs="Times New Roman"/>
              </w:rPr>
              <w:t>-</w:t>
            </w:r>
          </w:p>
        </w:tc>
        <w:tc>
          <w:tcPr>
            <w:tcW w:w="425" w:type="dxa"/>
            <w:tcBorders>
              <w:top w:val="single" w:sz="4" w:space="0" w:color="000000"/>
              <w:left w:val="single" w:sz="4" w:space="0" w:color="000000"/>
              <w:bottom w:val="single" w:sz="4" w:space="0" w:color="000000"/>
              <w:right w:val="single" w:sz="4" w:space="0" w:color="000000"/>
            </w:tcBorders>
          </w:tcPr>
          <w:p w:rsidR="0076274F" w:rsidRPr="00C51E4C" w:rsidRDefault="0076274F" w:rsidP="0032613F">
            <w:pPr>
              <w:jc w:val="center"/>
              <w:rPr>
                <w:rFonts w:ascii="Times New Roman" w:hAnsi="Times New Roman" w:cs="Times New Roman"/>
              </w:rPr>
            </w:pPr>
            <w:r>
              <w:rPr>
                <w:rFonts w:ascii="Times New Roman" w:hAnsi="Times New Roman" w:cs="Times New Roman"/>
              </w:rPr>
              <w:t>-</w:t>
            </w:r>
          </w:p>
        </w:tc>
        <w:tc>
          <w:tcPr>
            <w:tcW w:w="425" w:type="dxa"/>
            <w:tcBorders>
              <w:top w:val="single" w:sz="4" w:space="0" w:color="000000"/>
              <w:left w:val="single" w:sz="4" w:space="0" w:color="000000"/>
              <w:bottom w:val="single" w:sz="4" w:space="0" w:color="000000"/>
              <w:right w:val="single" w:sz="4" w:space="0" w:color="000000"/>
            </w:tcBorders>
          </w:tcPr>
          <w:p w:rsidR="0076274F" w:rsidRPr="00C51E4C" w:rsidRDefault="0076274F" w:rsidP="0032613F">
            <w:pPr>
              <w:jc w:val="center"/>
              <w:rPr>
                <w:rFonts w:ascii="Times New Roman" w:hAnsi="Times New Roman" w:cs="Times New Roman"/>
              </w:rPr>
            </w:pPr>
            <w:r>
              <w:rPr>
                <w:rFonts w:ascii="Times New Roman" w:hAnsi="Times New Roman" w:cs="Times New Roman"/>
              </w:rPr>
              <w:t>-</w:t>
            </w:r>
          </w:p>
        </w:tc>
        <w:tc>
          <w:tcPr>
            <w:tcW w:w="426" w:type="dxa"/>
            <w:tcBorders>
              <w:top w:val="single" w:sz="4" w:space="0" w:color="000000"/>
              <w:left w:val="single" w:sz="4" w:space="0" w:color="000000"/>
              <w:bottom w:val="single" w:sz="4" w:space="0" w:color="000000"/>
              <w:right w:val="single" w:sz="4" w:space="0" w:color="000000"/>
            </w:tcBorders>
          </w:tcPr>
          <w:p w:rsidR="0076274F" w:rsidRPr="00C51E4C" w:rsidRDefault="0076274F" w:rsidP="0032613F">
            <w:pPr>
              <w:jc w:val="center"/>
              <w:rPr>
                <w:rFonts w:ascii="Times New Roman" w:hAnsi="Times New Roman" w:cs="Times New Roman"/>
              </w:rPr>
            </w:pPr>
            <w:r>
              <w:rPr>
                <w:rFonts w:ascii="Times New Roman" w:hAnsi="Times New Roman" w:cs="Times New Roman"/>
              </w:rPr>
              <w:t>-</w:t>
            </w:r>
          </w:p>
        </w:tc>
        <w:tc>
          <w:tcPr>
            <w:tcW w:w="425" w:type="dxa"/>
            <w:tcBorders>
              <w:top w:val="single" w:sz="4" w:space="0" w:color="000000"/>
              <w:left w:val="single" w:sz="4" w:space="0" w:color="000000"/>
              <w:bottom w:val="single" w:sz="4" w:space="0" w:color="000000"/>
              <w:right w:val="single" w:sz="4" w:space="0" w:color="000000"/>
            </w:tcBorders>
          </w:tcPr>
          <w:p w:rsidR="0076274F" w:rsidRPr="00C51E4C" w:rsidRDefault="0076274F" w:rsidP="0032613F">
            <w:pPr>
              <w:jc w:val="center"/>
              <w:rPr>
                <w:rFonts w:ascii="Times New Roman" w:hAnsi="Times New Roman" w:cs="Times New Roman"/>
              </w:rPr>
            </w:pPr>
            <w:r>
              <w:rPr>
                <w:rFonts w:ascii="Times New Roman" w:hAnsi="Times New Roman" w:cs="Times New Roman"/>
              </w:rPr>
              <w:t>-</w:t>
            </w:r>
          </w:p>
        </w:tc>
        <w:tc>
          <w:tcPr>
            <w:tcW w:w="425" w:type="dxa"/>
            <w:tcBorders>
              <w:top w:val="single" w:sz="4" w:space="0" w:color="000000"/>
              <w:left w:val="single" w:sz="4" w:space="0" w:color="000000"/>
              <w:bottom w:val="single" w:sz="4" w:space="0" w:color="000000"/>
              <w:right w:val="single" w:sz="4" w:space="0" w:color="000000"/>
            </w:tcBorders>
          </w:tcPr>
          <w:p w:rsidR="0076274F" w:rsidRDefault="0076274F" w:rsidP="0032613F">
            <w:pPr>
              <w:jc w:val="center"/>
              <w:rPr>
                <w:rFonts w:ascii="Times New Roman" w:hAnsi="Times New Roman" w:cs="Times New Roman"/>
              </w:rPr>
            </w:pPr>
            <w:r>
              <w:rPr>
                <w:rFonts w:ascii="Times New Roman" w:hAnsi="Times New Roman" w:cs="Times New Roman"/>
              </w:rPr>
              <w:t>-</w:t>
            </w:r>
          </w:p>
        </w:tc>
      </w:tr>
    </w:tbl>
    <w:tbl>
      <w:tblPr>
        <w:tblStyle w:val="ad"/>
        <w:tblW w:w="1601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4"/>
        <w:gridCol w:w="4819"/>
        <w:gridCol w:w="6095"/>
      </w:tblGrid>
      <w:tr w:rsidR="0076274F" w:rsidRPr="00314112" w:rsidTr="00607F06">
        <w:tc>
          <w:tcPr>
            <w:tcW w:w="16018" w:type="dxa"/>
            <w:gridSpan w:val="3"/>
            <w:tcBorders>
              <w:top w:val="single" w:sz="4" w:space="0" w:color="000000"/>
              <w:left w:val="single" w:sz="4" w:space="0" w:color="000000"/>
              <w:bottom w:val="single" w:sz="4" w:space="0" w:color="000000"/>
              <w:right w:val="single" w:sz="4" w:space="0" w:color="000000"/>
            </w:tcBorders>
          </w:tcPr>
          <w:p w:rsidR="0076274F" w:rsidRPr="00314112" w:rsidRDefault="0076274F" w:rsidP="008B6B34">
            <w:pPr>
              <w:jc w:val="center"/>
              <w:rPr>
                <w:rFonts w:ascii="Times New Roman" w:eastAsia="Times New Roman" w:hAnsi="Times New Roman" w:cs="Times New Roman"/>
                <w:b/>
                <w:sz w:val="24"/>
                <w:szCs w:val="24"/>
              </w:rPr>
            </w:pPr>
            <w:r>
              <w:rPr>
                <w:rFonts w:ascii="Times New Roman" w:eastAsia="Times New Roman" w:hAnsi="Times New Roman" w:cs="Times New Roman"/>
                <w:color w:val="000000"/>
              </w:rPr>
              <w:t>Anexa nr.2, Tabelul nr.3 din Regulament</w:t>
            </w:r>
          </w:p>
        </w:tc>
      </w:tr>
      <w:tr w:rsidR="0076274F" w:rsidRPr="00314112" w:rsidTr="00A3400D">
        <w:tc>
          <w:tcPr>
            <w:tcW w:w="5104" w:type="dxa"/>
            <w:tcBorders>
              <w:top w:val="single" w:sz="4" w:space="0" w:color="000000"/>
              <w:left w:val="single" w:sz="4" w:space="0" w:color="000000"/>
              <w:bottom w:val="single" w:sz="4" w:space="0" w:color="000000"/>
              <w:right w:val="single" w:sz="4" w:space="0" w:color="000000"/>
            </w:tcBorders>
          </w:tcPr>
          <w:p w:rsidR="0076274F" w:rsidRPr="00314112" w:rsidRDefault="00A40393" w:rsidP="008B6B34">
            <w:pPr>
              <w:tabs>
                <w:tab w:val="center" w:pos="3507"/>
                <w:tab w:val="left" w:pos="5235"/>
              </w:tabs>
              <w:jc w:val="center"/>
              <w:rPr>
                <w:rFonts w:ascii="Times New Roman" w:eastAsia="Times New Roman" w:hAnsi="Times New Roman" w:cs="Times New Roman"/>
                <w:b/>
                <w:sz w:val="24"/>
                <w:szCs w:val="24"/>
              </w:rPr>
            </w:pPr>
            <w:r>
              <w:rPr>
                <w:rFonts w:ascii="Times New Roman" w:eastAsia="Times New Roman" w:hAnsi="Times New Roman" w:cs="Times New Roman"/>
                <w:sz w:val="28"/>
                <w:szCs w:val="28"/>
                <w:highlight w:val="white"/>
              </w:rPr>
              <w:t>(...)</w:t>
            </w:r>
          </w:p>
        </w:tc>
        <w:tc>
          <w:tcPr>
            <w:tcW w:w="10914" w:type="dxa"/>
            <w:gridSpan w:val="2"/>
            <w:tcBorders>
              <w:top w:val="single" w:sz="4" w:space="0" w:color="000000"/>
              <w:left w:val="single" w:sz="4" w:space="0" w:color="000000"/>
              <w:bottom w:val="single" w:sz="4" w:space="0" w:color="000000"/>
              <w:right w:val="single" w:sz="4" w:space="0" w:color="000000"/>
            </w:tcBorders>
          </w:tcPr>
          <w:tbl>
            <w:tblPr>
              <w:tblStyle w:val="a4"/>
              <w:tblW w:w="16319" w:type="dxa"/>
              <w:tblLayout w:type="fixed"/>
              <w:tblLook w:val="04A0" w:firstRow="1" w:lastRow="0" w:firstColumn="1" w:lastColumn="0" w:noHBand="0" w:noVBand="1"/>
            </w:tblPr>
            <w:tblGrid>
              <w:gridCol w:w="598"/>
              <w:gridCol w:w="4925"/>
              <w:gridCol w:w="462"/>
              <w:gridCol w:w="567"/>
              <w:gridCol w:w="567"/>
              <w:gridCol w:w="567"/>
              <w:gridCol w:w="567"/>
              <w:gridCol w:w="283"/>
              <w:gridCol w:w="567"/>
              <w:gridCol w:w="709"/>
              <w:gridCol w:w="284"/>
              <w:gridCol w:w="283"/>
              <w:gridCol w:w="730"/>
              <w:gridCol w:w="833"/>
              <w:gridCol w:w="626"/>
              <w:gridCol w:w="625"/>
              <w:gridCol w:w="625"/>
              <w:gridCol w:w="625"/>
              <w:gridCol w:w="626"/>
              <w:gridCol w:w="625"/>
              <w:gridCol w:w="625"/>
            </w:tblGrid>
            <w:tr w:rsidR="00A40393" w:rsidTr="00A40393">
              <w:tc>
                <w:tcPr>
                  <w:tcW w:w="598" w:type="dxa"/>
                </w:tcPr>
                <w:p w:rsidR="00A40393" w:rsidRDefault="00A40393" w:rsidP="0076274F">
                  <w:pPr>
                    <w:pStyle w:val="a5"/>
                    <w:tabs>
                      <w:tab w:val="left" w:pos="284"/>
                    </w:tabs>
                    <w:ind w:left="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11.</w:t>
                  </w:r>
                </w:p>
              </w:tc>
              <w:tc>
                <w:tcPr>
                  <w:tcW w:w="4925" w:type="dxa"/>
                </w:tcPr>
                <w:p w:rsidR="00A40393" w:rsidRDefault="00A40393" w:rsidP="0076274F">
                  <w:pPr>
                    <w:pStyle w:val="a5"/>
                    <w:tabs>
                      <w:tab w:val="left" w:pos="284"/>
                    </w:tabs>
                    <w:ind w:left="0"/>
                    <w:jc w:val="both"/>
                    <w:rPr>
                      <w:rFonts w:ascii="Times New Roman" w:eastAsia="Times New Roman" w:hAnsi="Times New Roman" w:cs="Times New Roman"/>
                      <w:sz w:val="28"/>
                      <w:szCs w:val="28"/>
                      <w:highlight w:val="white"/>
                    </w:rPr>
                  </w:pPr>
                  <w:r w:rsidRPr="00C51E4C">
                    <w:rPr>
                      <w:rFonts w:ascii="Times New Roman" w:eastAsia="Times New Roman" w:hAnsi="Times New Roman" w:cs="Times New Roman"/>
                      <w:sz w:val="20"/>
                      <w:szCs w:val="20"/>
                      <w:lang w:eastAsia="en-US"/>
                    </w:rPr>
                    <w:t xml:space="preserve">Competiții internaționale </w:t>
                  </w:r>
                  <w:r>
                    <w:rPr>
                      <w:rFonts w:ascii="Times New Roman" w:eastAsia="Times New Roman" w:hAnsi="Times New Roman" w:cs="Times New Roman"/>
                      <w:sz w:val="20"/>
                      <w:szCs w:val="20"/>
                      <w:lang w:eastAsia="en-US"/>
                    </w:rPr>
                    <w:t>ce oferă rating în vederea calificării către Jocurile Olimpice/Paralimpice</w:t>
                  </w:r>
                  <w:r w:rsidRPr="00C51E4C">
                    <w:rPr>
                      <w:rFonts w:ascii="Times New Roman" w:eastAsia="Times New Roman" w:hAnsi="Times New Roman" w:cs="Times New Roman"/>
                      <w:sz w:val="20"/>
                      <w:szCs w:val="20"/>
                      <w:lang w:eastAsia="en-US"/>
                    </w:rPr>
                    <w:t>, aprobate de Federația Sportivă Internațională</w:t>
                  </w:r>
                </w:p>
              </w:tc>
              <w:tc>
                <w:tcPr>
                  <w:tcW w:w="462" w:type="dxa"/>
                  <w:tcBorders>
                    <w:top w:val="single" w:sz="4" w:space="0" w:color="000000"/>
                    <w:left w:val="single" w:sz="4" w:space="0" w:color="000000"/>
                    <w:bottom w:val="single" w:sz="4" w:space="0" w:color="000000"/>
                    <w:right w:val="single" w:sz="4" w:space="0" w:color="000000"/>
                  </w:tcBorders>
                </w:tcPr>
                <w:p w:rsidR="00A40393" w:rsidRPr="00C51E4C" w:rsidRDefault="00A40393" w:rsidP="0076274F">
                  <w:pPr>
                    <w:jc w:val="center"/>
                    <w:rPr>
                      <w:rFonts w:ascii="Times New Roman" w:hAnsi="Times New Roman" w:cs="Times New Roman"/>
                    </w:rPr>
                  </w:pPr>
                  <w:r>
                    <w:rPr>
                      <w:rFonts w:ascii="Times New Roman" w:hAnsi="Times New Roman" w:cs="Times New Roman"/>
                    </w:rPr>
                    <w:t>25</w:t>
                  </w:r>
                </w:p>
              </w:tc>
              <w:tc>
                <w:tcPr>
                  <w:tcW w:w="567" w:type="dxa"/>
                  <w:tcBorders>
                    <w:top w:val="single" w:sz="4" w:space="0" w:color="000000"/>
                    <w:left w:val="single" w:sz="4" w:space="0" w:color="000000"/>
                    <w:bottom w:val="single" w:sz="4" w:space="0" w:color="000000"/>
                    <w:right w:val="single" w:sz="4" w:space="0" w:color="000000"/>
                  </w:tcBorders>
                </w:tcPr>
                <w:p w:rsidR="00A40393" w:rsidRPr="00C51E4C" w:rsidRDefault="00A40393" w:rsidP="0076274F">
                  <w:pPr>
                    <w:jc w:val="center"/>
                    <w:rPr>
                      <w:rFonts w:ascii="Times New Roman" w:hAnsi="Times New Roman" w:cs="Times New Roman"/>
                    </w:rPr>
                  </w:pPr>
                  <w:r>
                    <w:rPr>
                      <w:rFonts w:ascii="Times New Roman" w:hAnsi="Times New Roman" w:cs="Times New Roman"/>
                    </w:rPr>
                    <w:t>20</w:t>
                  </w:r>
                </w:p>
              </w:tc>
              <w:tc>
                <w:tcPr>
                  <w:tcW w:w="567" w:type="dxa"/>
                  <w:tcBorders>
                    <w:top w:val="single" w:sz="4" w:space="0" w:color="000000"/>
                    <w:left w:val="single" w:sz="4" w:space="0" w:color="000000"/>
                    <w:bottom w:val="single" w:sz="4" w:space="0" w:color="000000"/>
                    <w:right w:val="single" w:sz="4" w:space="0" w:color="000000"/>
                  </w:tcBorders>
                </w:tcPr>
                <w:p w:rsidR="00A40393" w:rsidRPr="00C51E4C" w:rsidRDefault="00A40393" w:rsidP="0076274F">
                  <w:pPr>
                    <w:jc w:val="center"/>
                    <w:rPr>
                      <w:rFonts w:ascii="Times New Roman" w:hAnsi="Times New Roman" w:cs="Times New Roman"/>
                    </w:rPr>
                  </w:pPr>
                  <w:r>
                    <w:rPr>
                      <w:rFonts w:ascii="Times New Roman" w:hAnsi="Times New Roman" w:cs="Times New Roman"/>
                    </w:rPr>
                    <w:t>15</w:t>
                  </w:r>
                </w:p>
              </w:tc>
              <w:tc>
                <w:tcPr>
                  <w:tcW w:w="567" w:type="dxa"/>
                  <w:tcBorders>
                    <w:top w:val="single" w:sz="4" w:space="0" w:color="000000"/>
                    <w:left w:val="single" w:sz="4" w:space="0" w:color="000000"/>
                    <w:bottom w:val="single" w:sz="4" w:space="0" w:color="000000"/>
                    <w:right w:val="single" w:sz="4" w:space="0" w:color="000000"/>
                  </w:tcBorders>
                </w:tcPr>
                <w:p w:rsidR="00A40393" w:rsidRPr="00C51E4C" w:rsidRDefault="00A40393" w:rsidP="0076274F">
                  <w:pPr>
                    <w:jc w:val="center"/>
                    <w:rPr>
                      <w:rFonts w:ascii="Times New Roman" w:hAnsi="Times New Roman" w:cs="Times New Roman"/>
                    </w:rPr>
                  </w:pPr>
                  <w:r>
                    <w:rPr>
                      <w:rFonts w:ascii="Times New Roman" w:hAnsi="Times New Roman" w:cs="Times New Roman"/>
                    </w:rPr>
                    <w:t>10</w:t>
                  </w:r>
                </w:p>
              </w:tc>
              <w:tc>
                <w:tcPr>
                  <w:tcW w:w="567" w:type="dxa"/>
                  <w:tcBorders>
                    <w:top w:val="single" w:sz="4" w:space="0" w:color="000000"/>
                    <w:left w:val="single" w:sz="4" w:space="0" w:color="000000"/>
                    <w:bottom w:val="single" w:sz="4" w:space="0" w:color="000000"/>
                    <w:right w:val="single" w:sz="4" w:space="0" w:color="000000"/>
                  </w:tcBorders>
                </w:tcPr>
                <w:p w:rsidR="00A40393" w:rsidRPr="00C51E4C" w:rsidRDefault="00A40393" w:rsidP="0076274F">
                  <w:pPr>
                    <w:jc w:val="center"/>
                    <w:rPr>
                      <w:rFonts w:ascii="Times New Roman" w:hAnsi="Times New Roman" w:cs="Times New Roman"/>
                    </w:rPr>
                  </w:pPr>
                  <w:r>
                    <w:rPr>
                      <w:rFonts w:ascii="Times New Roman" w:hAnsi="Times New Roman" w:cs="Times New Roman"/>
                    </w:rPr>
                    <w:t>7,5</w:t>
                  </w:r>
                </w:p>
              </w:tc>
              <w:tc>
                <w:tcPr>
                  <w:tcW w:w="283" w:type="dxa"/>
                  <w:tcBorders>
                    <w:top w:val="single" w:sz="4" w:space="0" w:color="000000"/>
                    <w:left w:val="single" w:sz="4" w:space="0" w:color="000000"/>
                    <w:bottom w:val="single" w:sz="4" w:space="0" w:color="000000"/>
                    <w:right w:val="single" w:sz="4" w:space="0" w:color="000000"/>
                  </w:tcBorders>
                </w:tcPr>
                <w:p w:rsidR="00A40393" w:rsidRPr="00C51E4C" w:rsidRDefault="00A40393" w:rsidP="0076274F">
                  <w:pPr>
                    <w:jc w:val="center"/>
                    <w:rPr>
                      <w:rFonts w:ascii="Times New Roman" w:hAnsi="Times New Roman" w:cs="Times New Roman"/>
                    </w:rPr>
                  </w:pPr>
                  <w:r>
                    <w:rPr>
                      <w:rFonts w:ascii="Times New Roman" w:hAnsi="Times New Roman" w:cs="Times New Roman"/>
                    </w:rPr>
                    <w:t>5</w:t>
                  </w:r>
                </w:p>
              </w:tc>
              <w:tc>
                <w:tcPr>
                  <w:tcW w:w="567" w:type="dxa"/>
                  <w:tcBorders>
                    <w:top w:val="single" w:sz="4" w:space="0" w:color="000000"/>
                    <w:left w:val="single" w:sz="4" w:space="0" w:color="000000"/>
                    <w:bottom w:val="single" w:sz="4" w:space="0" w:color="000000"/>
                    <w:right w:val="single" w:sz="4" w:space="0" w:color="000000"/>
                  </w:tcBorders>
                </w:tcPr>
                <w:p w:rsidR="00A40393" w:rsidRPr="00C51E4C" w:rsidRDefault="00A40393" w:rsidP="0076274F">
                  <w:pPr>
                    <w:jc w:val="center"/>
                    <w:rPr>
                      <w:rFonts w:ascii="Times New Roman" w:hAnsi="Times New Roman" w:cs="Times New Roman"/>
                    </w:rPr>
                  </w:pPr>
                  <w:r>
                    <w:rPr>
                      <w:rFonts w:ascii="Times New Roman" w:hAnsi="Times New Roman" w:cs="Times New Roman"/>
                    </w:rPr>
                    <w:t>2,5</w:t>
                  </w:r>
                </w:p>
              </w:tc>
              <w:tc>
                <w:tcPr>
                  <w:tcW w:w="709" w:type="dxa"/>
                  <w:tcBorders>
                    <w:top w:val="single" w:sz="4" w:space="0" w:color="000000"/>
                    <w:left w:val="single" w:sz="4" w:space="0" w:color="000000"/>
                    <w:bottom w:val="single" w:sz="4" w:space="0" w:color="000000"/>
                    <w:right w:val="single" w:sz="4" w:space="0" w:color="auto"/>
                  </w:tcBorders>
                </w:tcPr>
                <w:p w:rsidR="00A40393" w:rsidRPr="00C51E4C" w:rsidRDefault="00A40393" w:rsidP="00A40393">
                  <w:pPr>
                    <w:jc w:val="center"/>
                    <w:rPr>
                      <w:rFonts w:ascii="Times New Roman" w:hAnsi="Times New Roman" w:cs="Times New Roman"/>
                    </w:rPr>
                  </w:pPr>
                  <w:r>
                    <w:rPr>
                      <w:rFonts w:ascii="Times New Roman" w:hAnsi="Times New Roman" w:cs="Times New Roman"/>
                    </w:rPr>
                    <w:t>1,25</w:t>
                  </w:r>
                </w:p>
              </w:tc>
              <w:tc>
                <w:tcPr>
                  <w:tcW w:w="284" w:type="dxa"/>
                  <w:tcBorders>
                    <w:top w:val="single" w:sz="4" w:space="0" w:color="000000"/>
                    <w:left w:val="single" w:sz="4" w:space="0" w:color="auto"/>
                    <w:bottom w:val="single" w:sz="4" w:space="0" w:color="000000"/>
                    <w:right w:val="single" w:sz="4" w:space="0" w:color="auto"/>
                  </w:tcBorders>
                </w:tcPr>
                <w:p w:rsidR="00A40393" w:rsidRPr="00C51E4C" w:rsidRDefault="00A40393" w:rsidP="00A40393">
                  <w:pPr>
                    <w:jc w:val="center"/>
                    <w:rPr>
                      <w:rFonts w:ascii="Times New Roman" w:hAnsi="Times New Roman" w:cs="Times New Roman"/>
                    </w:rPr>
                  </w:pPr>
                  <w:r>
                    <w:rPr>
                      <w:rFonts w:ascii="Times New Roman" w:hAnsi="Times New Roman" w:cs="Times New Roman"/>
                    </w:rPr>
                    <w:t>-</w:t>
                  </w:r>
                </w:p>
              </w:tc>
              <w:tc>
                <w:tcPr>
                  <w:tcW w:w="283" w:type="dxa"/>
                  <w:tcBorders>
                    <w:top w:val="single" w:sz="4" w:space="0" w:color="000000"/>
                    <w:left w:val="single" w:sz="4" w:space="0" w:color="auto"/>
                    <w:bottom w:val="single" w:sz="4" w:space="0" w:color="000000"/>
                    <w:right w:val="single" w:sz="4" w:space="0" w:color="auto"/>
                  </w:tcBorders>
                </w:tcPr>
                <w:p w:rsidR="00A40393" w:rsidRPr="00C51E4C" w:rsidRDefault="00A40393" w:rsidP="0076274F">
                  <w:pPr>
                    <w:jc w:val="center"/>
                    <w:rPr>
                      <w:rFonts w:ascii="Times New Roman" w:hAnsi="Times New Roman" w:cs="Times New Roman"/>
                    </w:rPr>
                  </w:pPr>
                  <w:r>
                    <w:rPr>
                      <w:rFonts w:ascii="Times New Roman" w:hAnsi="Times New Roman" w:cs="Times New Roman"/>
                    </w:rPr>
                    <w:t>-</w:t>
                  </w:r>
                </w:p>
              </w:tc>
              <w:tc>
                <w:tcPr>
                  <w:tcW w:w="730" w:type="dxa"/>
                  <w:tcBorders>
                    <w:top w:val="single" w:sz="4" w:space="0" w:color="000000"/>
                    <w:left w:val="single" w:sz="4" w:space="0" w:color="auto"/>
                    <w:bottom w:val="single" w:sz="4" w:space="0" w:color="000000"/>
                    <w:right w:val="single" w:sz="4" w:space="0" w:color="000000"/>
                  </w:tcBorders>
                </w:tcPr>
                <w:p w:rsidR="00A40393" w:rsidRPr="00C51E4C" w:rsidRDefault="00A40393" w:rsidP="00A40393">
                  <w:pPr>
                    <w:ind w:left="-100"/>
                    <w:jc w:val="center"/>
                    <w:rPr>
                      <w:rFonts w:ascii="Times New Roman" w:hAnsi="Times New Roman" w:cs="Times New Roman"/>
                    </w:rPr>
                  </w:pPr>
                </w:p>
              </w:tc>
              <w:tc>
                <w:tcPr>
                  <w:tcW w:w="833" w:type="dxa"/>
                  <w:tcBorders>
                    <w:top w:val="single" w:sz="4" w:space="0" w:color="000000"/>
                    <w:left w:val="single" w:sz="4" w:space="0" w:color="000000"/>
                    <w:bottom w:val="single" w:sz="4" w:space="0" w:color="000000"/>
                    <w:right w:val="single" w:sz="4" w:space="0" w:color="000000"/>
                  </w:tcBorders>
                </w:tcPr>
                <w:p w:rsidR="00A40393" w:rsidRPr="00C51E4C" w:rsidRDefault="00A40393" w:rsidP="0076274F">
                  <w:pPr>
                    <w:jc w:val="center"/>
                    <w:rPr>
                      <w:rFonts w:ascii="Times New Roman" w:hAnsi="Times New Roman" w:cs="Times New Roman"/>
                    </w:rPr>
                  </w:pPr>
                  <w:r w:rsidRPr="00C51E4C">
                    <w:rPr>
                      <w:rFonts w:ascii="Times New Roman" w:hAnsi="Times New Roman" w:cs="Times New Roman"/>
                    </w:rPr>
                    <w:t>0,5</w:t>
                  </w:r>
                </w:p>
              </w:tc>
              <w:tc>
                <w:tcPr>
                  <w:tcW w:w="626" w:type="dxa"/>
                  <w:tcBorders>
                    <w:top w:val="single" w:sz="4" w:space="0" w:color="000000"/>
                    <w:left w:val="single" w:sz="4" w:space="0" w:color="000000"/>
                    <w:bottom w:val="single" w:sz="4" w:space="0" w:color="000000"/>
                    <w:right w:val="single" w:sz="4" w:space="0" w:color="000000"/>
                  </w:tcBorders>
                </w:tcPr>
                <w:p w:rsidR="00A40393" w:rsidRPr="00C51E4C" w:rsidRDefault="00A40393" w:rsidP="0076274F">
                  <w:pPr>
                    <w:jc w:val="center"/>
                    <w:rPr>
                      <w:rFonts w:ascii="Times New Roman" w:hAnsi="Times New Roman" w:cs="Times New Roman"/>
                    </w:rPr>
                  </w:pPr>
                  <w:r>
                    <w:rPr>
                      <w:rFonts w:ascii="Times New Roman" w:hAnsi="Times New Roman" w:cs="Times New Roman"/>
                    </w:rPr>
                    <w:t>-</w:t>
                  </w:r>
                </w:p>
              </w:tc>
              <w:tc>
                <w:tcPr>
                  <w:tcW w:w="625" w:type="dxa"/>
                  <w:tcBorders>
                    <w:top w:val="single" w:sz="4" w:space="0" w:color="000000"/>
                    <w:left w:val="single" w:sz="4" w:space="0" w:color="000000"/>
                    <w:bottom w:val="single" w:sz="4" w:space="0" w:color="000000"/>
                    <w:right w:val="single" w:sz="4" w:space="0" w:color="000000"/>
                  </w:tcBorders>
                </w:tcPr>
                <w:p w:rsidR="00A40393" w:rsidRPr="00C51E4C" w:rsidRDefault="00A40393" w:rsidP="0076274F">
                  <w:pPr>
                    <w:jc w:val="center"/>
                    <w:rPr>
                      <w:rFonts w:ascii="Times New Roman" w:hAnsi="Times New Roman" w:cs="Times New Roman"/>
                    </w:rPr>
                  </w:pPr>
                  <w:r>
                    <w:rPr>
                      <w:rFonts w:ascii="Times New Roman" w:hAnsi="Times New Roman" w:cs="Times New Roman"/>
                    </w:rPr>
                    <w:t>-</w:t>
                  </w:r>
                </w:p>
              </w:tc>
              <w:tc>
                <w:tcPr>
                  <w:tcW w:w="625" w:type="dxa"/>
                  <w:tcBorders>
                    <w:top w:val="single" w:sz="4" w:space="0" w:color="000000"/>
                    <w:left w:val="single" w:sz="4" w:space="0" w:color="000000"/>
                    <w:bottom w:val="single" w:sz="4" w:space="0" w:color="000000"/>
                    <w:right w:val="single" w:sz="4" w:space="0" w:color="000000"/>
                  </w:tcBorders>
                </w:tcPr>
                <w:p w:rsidR="00A40393" w:rsidRPr="00C51E4C" w:rsidRDefault="00A40393" w:rsidP="0076274F">
                  <w:pPr>
                    <w:jc w:val="center"/>
                    <w:rPr>
                      <w:rFonts w:ascii="Times New Roman" w:hAnsi="Times New Roman" w:cs="Times New Roman"/>
                    </w:rPr>
                  </w:pPr>
                  <w:r>
                    <w:rPr>
                      <w:rFonts w:ascii="Times New Roman" w:hAnsi="Times New Roman" w:cs="Times New Roman"/>
                    </w:rPr>
                    <w:t>-</w:t>
                  </w:r>
                </w:p>
              </w:tc>
              <w:tc>
                <w:tcPr>
                  <w:tcW w:w="625" w:type="dxa"/>
                  <w:tcBorders>
                    <w:top w:val="single" w:sz="4" w:space="0" w:color="000000"/>
                    <w:left w:val="single" w:sz="4" w:space="0" w:color="000000"/>
                    <w:bottom w:val="single" w:sz="4" w:space="0" w:color="000000"/>
                    <w:right w:val="single" w:sz="4" w:space="0" w:color="000000"/>
                  </w:tcBorders>
                </w:tcPr>
                <w:p w:rsidR="00A40393" w:rsidRPr="00C51E4C" w:rsidRDefault="00A40393" w:rsidP="0076274F">
                  <w:pPr>
                    <w:jc w:val="center"/>
                    <w:rPr>
                      <w:rFonts w:ascii="Times New Roman" w:hAnsi="Times New Roman" w:cs="Times New Roman"/>
                    </w:rPr>
                  </w:pPr>
                  <w:r>
                    <w:rPr>
                      <w:rFonts w:ascii="Times New Roman" w:hAnsi="Times New Roman" w:cs="Times New Roman"/>
                    </w:rPr>
                    <w:t>-</w:t>
                  </w:r>
                </w:p>
              </w:tc>
              <w:tc>
                <w:tcPr>
                  <w:tcW w:w="626" w:type="dxa"/>
                  <w:tcBorders>
                    <w:top w:val="single" w:sz="4" w:space="0" w:color="000000"/>
                    <w:left w:val="single" w:sz="4" w:space="0" w:color="000000"/>
                    <w:bottom w:val="single" w:sz="4" w:space="0" w:color="000000"/>
                    <w:right w:val="single" w:sz="4" w:space="0" w:color="000000"/>
                  </w:tcBorders>
                </w:tcPr>
                <w:p w:rsidR="00A40393" w:rsidRPr="00C51E4C" w:rsidRDefault="00A40393" w:rsidP="0076274F">
                  <w:pPr>
                    <w:jc w:val="center"/>
                    <w:rPr>
                      <w:rFonts w:ascii="Times New Roman" w:hAnsi="Times New Roman" w:cs="Times New Roman"/>
                    </w:rPr>
                  </w:pPr>
                  <w:r>
                    <w:rPr>
                      <w:rFonts w:ascii="Times New Roman" w:hAnsi="Times New Roman" w:cs="Times New Roman"/>
                    </w:rPr>
                    <w:t>-</w:t>
                  </w:r>
                </w:p>
              </w:tc>
              <w:tc>
                <w:tcPr>
                  <w:tcW w:w="625" w:type="dxa"/>
                  <w:tcBorders>
                    <w:top w:val="single" w:sz="4" w:space="0" w:color="000000"/>
                    <w:left w:val="single" w:sz="4" w:space="0" w:color="000000"/>
                    <w:bottom w:val="single" w:sz="4" w:space="0" w:color="000000"/>
                    <w:right w:val="single" w:sz="4" w:space="0" w:color="000000"/>
                  </w:tcBorders>
                </w:tcPr>
                <w:p w:rsidR="00A40393" w:rsidRPr="00C51E4C" w:rsidRDefault="00A40393" w:rsidP="0076274F">
                  <w:pPr>
                    <w:jc w:val="center"/>
                    <w:rPr>
                      <w:rFonts w:ascii="Times New Roman" w:hAnsi="Times New Roman" w:cs="Times New Roman"/>
                    </w:rPr>
                  </w:pPr>
                  <w:r>
                    <w:rPr>
                      <w:rFonts w:ascii="Times New Roman" w:hAnsi="Times New Roman" w:cs="Times New Roman"/>
                    </w:rPr>
                    <w:t>-</w:t>
                  </w:r>
                </w:p>
              </w:tc>
              <w:tc>
                <w:tcPr>
                  <w:tcW w:w="625" w:type="dxa"/>
                  <w:tcBorders>
                    <w:top w:val="single" w:sz="4" w:space="0" w:color="000000"/>
                    <w:left w:val="single" w:sz="4" w:space="0" w:color="000000"/>
                    <w:bottom w:val="single" w:sz="4" w:space="0" w:color="000000"/>
                    <w:right w:val="single" w:sz="4" w:space="0" w:color="000000"/>
                  </w:tcBorders>
                </w:tcPr>
                <w:p w:rsidR="00A40393" w:rsidRDefault="00A40393" w:rsidP="0076274F">
                  <w:pPr>
                    <w:jc w:val="center"/>
                    <w:rPr>
                      <w:rFonts w:ascii="Times New Roman" w:hAnsi="Times New Roman" w:cs="Times New Roman"/>
                    </w:rPr>
                  </w:pPr>
                  <w:r>
                    <w:rPr>
                      <w:rFonts w:ascii="Times New Roman" w:hAnsi="Times New Roman" w:cs="Times New Roman"/>
                    </w:rPr>
                    <w:t>-</w:t>
                  </w:r>
                </w:p>
              </w:tc>
            </w:tr>
          </w:tbl>
          <w:p w:rsidR="0076274F" w:rsidRPr="00314112" w:rsidRDefault="0076274F" w:rsidP="008B6B34">
            <w:pPr>
              <w:jc w:val="center"/>
              <w:rPr>
                <w:rFonts w:ascii="Times New Roman" w:eastAsia="Times New Roman" w:hAnsi="Times New Roman" w:cs="Times New Roman"/>
                <w:b/>
                <w:sz w:val="24"/>
                <w:szCs w:val="24"/>
              </w:rPr>
            </w:pPr>
          </w:p>
        </w:tc>
      </w:tr>
      <w:tr w:rsidR="008B6B34" w:rsidRPr="00314112" w:rsidTr="008438A6">
        <w:tc>
          <w:tcPr>
            <w:tcW w:w="16018" w:type="dxa"/>
            <w:gridSpan w:val="3"/>
            <w:tcBorders>
              <w:top w:val="single" w:sz="4" w:space="0" w:color="000000"/>
              <w:left w:val="single" w:sz="4" w:space="0" w:color="000000"/>
              <w:bottom w:val="single" w:sz="4" w:space="0" w:color="000000"/>
              <w:right w:val="single" w:sz="4" w:space="0" w:color="000000"/>
            </w:tcBorders>
          </w:tcPr>
          <w:p w:rsidR="008B6B34" w:rsidRPr="00314112" w:rsidRDefault="008B6B34" w:rsidP="008B6B3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Anexa nr.</w:t>
            </w:r>
            <w:r w:rsidRPr="00314112">
              <w:rPr>
                <w:rFonts w:ascii="Times New Roman" w:eastAsia="Times New Roman" w:hAnsi="Times New Roman" w:cs="Times New Roman"/>
                <w:sz w:val="24"/>
                <w:szCs w:val="24"/>
              </w:rPr>
              <w:t>3 din Regulamentul cu privire la mecanismul de finanțare a sportului de performanță conform criteriilor distincte</w:t>
            </w:r>
          </w:p>
        </w:tc>
      </w:tr>
      <w:tr w:rsidR="008B6B34" w:rsidRPr="00314112" w:rsidTr="0076274F">
        <w:tc>
          <w:tcPr>
            <w:tcW w:w="5104" w:type="dxa"/>
            <w:tcBorders>
              <w:top w:val="single" w:sz="4" w:space="0" w:color="000000"/>
              <w:left w:val="single" w:sz="4" w:space="0" w:color="000000"/>
              <w:bottom w:val="single" w:sz="4" w:space="0" w:color="000000"/>
              <w:right w:val="single" w:sz="4" w:space="0" w:color="000000"/>
            </w:tcBorders>
          </w:tcPr>
          <w:p w:rsidR="008B6B34" w:rsidRPr="00314112" w:rsidRDefault="008B6B34" w:rsidP="008B6B34">
            <w:pPr>
              <w:pStyle w:val="ab"/>
              <w:shd w:val="clear" w:color="auto" w:fill="FFFFFF"/>
              <w:spacing w:before="0" w:beforeAutospacing="0" w:after="0" w:afterAutospacing="0"/>
              <w:jc w:val="center"/>
              <w:rPr>
                <w:color w:val="333333"/>
              </w:rPr>
            </w:pPr>
            <w:r w:rsidRPr="00314112">
              <w:rPr>
                <w:rStyle w:val="ac"/>
                <w:color w:val="333333"/>
              </w:rPr>
              <w:t>Mijloace financiare</w:t>
            </w:r>
          </w:p>
          <w:p w:rsidR="008B6B34" w:rsidRPr="00314112" w:rsidRDefault="008B6B34" w:rsidP="008B6B34">
            <w:pPr>
              <w:pStyle w:val="ab"/>
              <w:shd w:val="clear" w:color="auto" w:fill="FFFFFF"/>
              <w:spacing w:before="0" w:beforeAutospacing="0" w:after="0" w:afterAutospacing="0"/>
              <w:jc w:val="center"/>
              <w:rPr>
                <w:color w:val="333333"/>
              </w:rPr>
            </w:pPr>
            <w:r w:rsidRPr="00314112">
              <w:rPr>
                <w:rStyle w:val="ac"/>
                <w:color w:val="333333"/>
              </w:rPr>
              <w:t>de rezervă ale autorității publice centrale</w:t>
            </w:r>
          </w:p>
          <w:p w:rsidR="008B6B34" w:rsidRPr="00314112" w:rsidRDefault="008B6B34" w:rsidP="008B6B34">
            <w:pPr>
              <w:pStyle w:val="ab"/>
              <w:shd w:val="clear" w:color="auto" w:fill="FFFFFF"/>
              <w:spacing w:before="0" w:beforeAutospacing="0" w:after="0" w:afterAutospacing="0"/>
              <w:jc w:val="center"/>
              <w:rPr>
                <w:color w:val="333333"/>
              </w:rPr>
            </w:pPr>
            <w:r w:rsidRPr="00314112">
              <w:rPr>
                <w:rStyle w:val="ac"/>
                <w:color w:val="333333"/>
              </w:rPr>
              <w:t>de specialitate în domeniul culturii fizice și sportului</w:t>
            </w:r>
          </w:p>
          <w:p w:rsidR="008B6B34" w:rsidRPr="00314112" w:rsidRDefault="008B6B34" w:rsidP="008B6B34">
            <w:pPr>
              <w:pStyle w:val="ab"/>
              <w:shd w:val="clear" w:color="auto" w:fill="FFFFFF"/>
              <w:spacing w:before="0" w:beforeAutospacing="0" w:after="0" w:afterAutospacing="0"/>
              <w:jc w:val="both"/>
              <w:rPr>
                <w:color w:val="333333"/>
                <w:sz w:val="22"/>
                <w:szCs w:val="22"/>
              </w:rPr>
            </w:pPr>
            <w:r w:rsidRPr="00314112">
              <w:rPr>
                <w:rStyle w:val="ac"/>
                <w:color w:val="333333"/>
              </w:rPr>
              <w:t>1</w:t>
            </w:r>
            <w:r w:rsidRPr="00314112">
              <w:rPr>
                <w:color w:val="333333"/>
              </w:rPr>
              <w:t xml:space="preserve">. </w:t>
            </w:r>
            <w:r w:rsidRPr="00314112">
              <w:rPr>
                <w:color w:val="333333"/>
                <w:sz w:val="22"/>
                <w:szCs w:val="22"/>
              </w:rPr>
              <w:t>Mijloacele financiare de rezervă sunt planificate de către autoritatea publică centrală de specialitate în domeniul culturii fizice și sportului, în limitele alocațiilor bugetare, și sunt destinate exclusiv pentru acoperirea cheltuielilor cu caracter excepțional și imprevizibil, apărute în domeniul sportului.</w:t>
            </w:r>
          </w:p>
          <w:p w:rsidR="008B6B34" w:rsidRPr="00314112" w:rsidRDefault="008B6B34" w:rsidP="008B6B34">
            <w:pPr>
              <w:pStyle w:val="ab"/>
              <w:shd w:val="clear" w:color="auto" w:fill="FFFFFF"/>
              <w:spacing w:before="0" w:beforeAutospacing="0" w:after="0" w:afterAutospacing="0"/>
              <w:jc w:val="both"/>
              <w:rPr>
                <w:color w:val="333333"/>
                <w:sz w:val="22"/>
                <w:szCs w:val="22"/>
              </w:rPr>
            </w:pPr>
            <w:r w:rsidRPr="00314112">
              <w:rPr>
                <w:rStyle w:val="ac"/>
                <w:color w:val="333333"/>
                <w:sz w:val="22"/>
                <w:szCs w:val="22"/>
              </w:rPr>
              <w:t>2</w:t>
            </w:r>
            <w:r w:rsidRPr="00314112">
              <w:rPr>
                <w:color w:val="333333"/>
                <w:sz w:val="22"/>
                <w:szCs w:val="22"/>
              </w:rPr>
              <w:t>. Mijloacele financiare de rezervă pot fi utilizate pentru:</w:t>
            </w:r>
          </w:p>
          <w:p w:rsidR="008B6B34" w:rsidRPr="00314112" w:rsidRDefault="008B6B34" w:rsidP="008B6B34">
            <w:pPr>
              <w:pStyle w:val="ab"/>
              <w:shd w:val="clear" w:color="auto" w:fill="FFFFFF"/>
              <w:spacing w:before="0" w:beforeAutospacing="0" w:after="0" w:afterAutospacing="0"/>
              <w:jc w:val="both"/>
              <w:rPr>
                <w:color w:val="333333"/>
                <w:sz w:val="22"/>
                <w:szCs w:val="22"/>
              </w:rPr>
            </w:pPr>
            <w:r w:rsidRPr="00314112">
              <w:rPr>
                <w:color w:val="333333"/>
                <w:sz w:val="22"/>
                <w:szCs w:val="22"/>
              </w:rPr>
              <w:t>1) acordarea sprijinului financiar pentru acoperirea cheltuielilor de organizare a competițiilor internaționale de anvergură, desfășurate pe teritoriul Republicii Moldova, după cum urmează: </w:t>
            </w:r>
          </w:p>
          <w:p w:rsidR="008B6B34" w:rsidRPr="00314112" w:rsidRDefault="008B6B34" w:rsidP="008B6B34">
            <w:pPr>
              <w:pStyle w:val="ab"/>
              <w:shd w:val="clear" w:color="auto" w:fill="FFFFFF"/>
              <w:spacing w:before="0" w:beforeAutospacing="0" w:after="0" w:afterAutospacing="0"/>
              <w:jc w:val="both"/>
              <w:rPr>
                <w:color w:val="333333"/>
                <w:sz w:val="22"/>
                <w:szCs w:val="22"/>
              </w:rPr>
            </w:pPr>
            <w:r w:rsidRPr="00314112">
              <w:rPr>
                <w:color w:val="333333"/>
                <w:sz w:val="22"/>
                <w:szCs w:val="22"/>
              </w:rPr>
              <w:t>a) campionatul mondial pentru toate categoriile de vârstă;</w:t>
            </w:r>
          </w:p>
          <w:p w:rsidR="008B6B34" w:rsidRPr="00314112" w:rsidRDefault="008B6B34" w:rsidP="008B6B34">
            <w:pPr>
              <w:pStyle w:val="ab"/>
              <w:shd w:val="clear" w:color="auto" w:fill="FFFFFF"/>
              <w:spacing w:before="0" w:beforeAutospacing="0" w:after="0" w:afterAutospacing="0"/>
              <w:jc w:val="both"/>
              <w:rPr>
                <w:color w:val="333333"/>
                <w:sz w:val="22"/>
                <w:szCs w:val="22"/>
              </w:rPr>
            </w:pPr>
            <w:r w:rsidRPr="00314112">
              <w:rPr>
                <w:color w:val="333333"/>
                <w:sz w:val="22"/>
                <w:szCs w:val="22"/>
              </w:rPr>
              <w:t>b) campionatul european pentru toate categoriile de vârstă;</w:t>
            </w:r>
          </w:p>
          <w:p w:rsidR="008B6B34" w:rsidRPr="00314112" w:rsidRDefault="008B6B34" w:rsidP="008B6B34">
            <w:pPr>
              <w:pStyle w:val="ab"/>
              <w:shd w:val="clear" w:color="auto" w:fill="FFFFFF"/>
              <w:spacing w:before="0" w:beforeAutospacing="0" w:after="0" w:afterAutospacing="0"/>
              <w:jc w:val="both"/>
              <w:rPr>
                <w:color w:val="333333"/>
                <w:sz w:val="22"/>
                <w:szCs w:val="22"/>
              </w:rPr>
            </w:pPr>
            <w:r w:rsidRPr="00314112">
              <w:rPr>
                <w:color w:val="333333"/>
                <w:sz w:val="22"/>
                <w:szCs w:val="22"/>
              </w:rPr>
              <w:t>c) campionatul mondial universitar;</w:t>
            </w:r>
          </w:p>
          <w:p w:rsidR="008B6B34" w:rsidRPr="00314112" w:rsidRDefault="008B6B34" w:rsidP="008B6B34">
            <w:pPr>
              <w:pStyle w:val="ab"/>
              <w:shd w:val="clear" w:color="auto" w:fill="FFFFFF"/>
              <w:spacing w:before="0" w:beforeAutospacing="0" w:after="0" w:afterAutospacing="0"/>
              <w:jc w:val="both"/>
              <w:rPr>
                <w:color w:val="333333"/>
                <w:sz w:val="22"/>
                <w:szCs w:val="22"/>
              </w:rPr>
            </w:pPr>
            <w:r w:rsidRPr="00314112">
              <w:rPr>
                <w:color w:val="333333"/>
                <w:sz w:val="22"/>
                <w:szCs w:val="22"/>
              </w:rPr>
              <w:lastRenderedPageBreak/>
              <w:t>d) competiții internaționale care oferă rating european/mondial, aprobate de către federația sportivă internațională;</w:t>
            </w:r>
          </w:p>
          <w:p w:rsidR="008B6B34" w:rsidRPr="00314112" w:rsidRDefault="008B6B34" w:rsidP="008B6B34">
            <w:pPr>
              <w:pStyle w:val="ab"/>
              <w:shd w:val="clear" w:color="auto" w:fill="FFFFFF"/>
              <w:spacing w:before="0" w:beforeAutospacing="0" w:after="0" w:afterAutospacing="0"/>
              <w:jc w:val="both"/>
              <w:rPr>
                <w:color w:val="333333"/>
                <w:sz w:val="22"/>
                <w:szCs w:val="22"/>
              </w:rPr>
            </w:pPr>
            <w:r w:rsidRPr="00314112">
              <w:rPr>
                <w:color w:val="333333"/>
                <w:sz w:val="22"/>
                <w:szCs w:val="22"/>
              </w:rPr>
              <w:t>e) turnee internaționale organizate sub egida federației sportive internaționale, cu participarea a cel puțin 6 țări (pentru ramurile de sport individuale) și 6 țări (pentru jocurile sportive);</w:t>
            </w:r>
          </w:p>
          <w:p w:rsidR="008B6B34" w:rsidRPr="00314112" w:rsidRDefault="008B6B34" w:rsidP="008B6B34">
            <w:pPr>
              <w:pStyle w:val="ab"/>
              <w:shd w:val="clear" w:color="auto" w:fill="FFFFFF"/>
              <w:spacing w:before="0" w:beforeAutospacing="0" w:after="0" w:afterAutospacing="0"/>
              <w:jc w:val="both"/>
              <w:rPr>
                <w:color w:val="333333"/>
                <w:sz w:val="22"/>
                <w:szCs w:val="22"/>
              </w:rPr>
            </w:pPr>
            <w:r w:rsidRPr="00314112">
              <w:rPr>
                <w:color w:val="333333"/>
                <w:sz w:val="22"/>
                <w:szCs w:val="22"/>
              </w:rPr>
              <w:t>2) acordarea suportului financiar pentru pregătirea și reabilitarea sportivilor/sportivelor de performanță, membri/membre ai/ale lotului național, potențiali/potențiale candidați/candidate să reprezinte Republica Moldova la Jocurile Olimpice/Paralimpice sau care au reprezentat Republica Moldova la Jocurile Olimpice/Paralimpice;</w:t>
            </w:r>
          </w:p>
          <w:p w:rsidR="008B6B34" w:rsidRPr="00314112" w:rsidRDefault="008B6B34" w:rsidP="008B6B34">
            <w:pPr>
              <w:pStyle w:val="ab"/>
              <w:shd w:val="clear" w:color="auto" w:fill="FFFFFF"/>
              <w:spacing w:before="0" w:beforeAutospacing="0" w:after="0" w:afterAutospacing="0"/>
              <w:jc w:val="both"/>
              <w:rPr>
                <w:color w:val="333333"/>
                <w:sz w:val="22"/>
                <w:szCs w:val="22"/>
              </w:rPr>
            </w:pPr>
            <w:r w:rsidRPr="00314112">
              <w:rPr>
                <w:color w:val="333333"/>
                <w:sz w:val="22"/>
                <w:szCs w:val="22"/>
              </w:rPr>
              <w:t>3) finanțarea federațiilor sportive tradiționale de oină și de trântă, a federației sportului pentru toți, a federației sportului școlar și a federației sportului universitar;</w:t>
            </w:r>
          </w:p>
          <w:p w:rsidR="008B6B34" w:rsidRPr="00314112" w:rsidRDefault="008B6B34" w:rsidP="008B6B34">
            <w:pPr>
              <w:pStyle w:val="ab"/>
              <w:shd w:val="clear" w:color="auto" w:fill="FFFFFF"/>
              <w:spacing w:before="0" w:beforeAutospacing="0" w:after="0" w:afterAutospacing="0"/>
              <w:jc w:val="both"/>
              <w:rPr>
                <w:color w:val="333333"/>
                <w:sz w:val="22"/>
                <w:szCs w:val="22"/>
              </w:rPr>
            </w:pPr>
            <w:r w:rsidRPr="00314112">
              <w:rPr>
                <w:color w:val="333333"/>
                <w:sz w:val="22"/>
                <w:szCs w:val="22"/>
              </w:rPr>
              <w:t>4) acordarea suportului financiar pentru achiziționarea echipamentului și a inventarului sportiv;</w:t>
            </w:r>
          </w:p>
          <w:p w:rsidR="008B6B34" w:rsidRPr="00314112" w:rsidRDefault="008B6B34" w:rsidP="008B6B34">
            <w:pPr>
              <w:pStyle w:val="ab"/>
              <w:shd w:val="clear" w:color="auto" w:fill="FFFFFF"/>
              <w:spacing w:before="0" w:beforeAutospacing="0" w:after="0" w:afterAutospacing="0"/>
              <w:jc w:val="both"/>
              <w:rPr>
                <w:color w:val="333333"/>
                <w:sz w:val="22"/>
                <w:szCs w:val="22"/>
              </w:rPr>
            </w:pPr>
            <w:r w:rsidRPr="00314112">
              <w:rPr>
                <w:color w:val="333333"/>
                <w:sz w:val="22"/>
                <w:szCs w:val="22"/>
              </w:rPr>
              <w:t>5) acordarea suportului financiar pentru acțiuni sportive specifice, desfășurate de către Comitetul Național Olimpic și Sportiv, Comitetul Paralimpic din Republica Moldova și Comitetul Deaflympic din Moldova, în conformitate cu programele de activitate ale acestora;</w:t>
            </w:r>
          </w:p>
          <w:p w:rsidR="008B6B34" w:rsidRPr="00314112" w:rsidRDefault="008B6B34" w:rsidP="008B6B34">
            <w:pPr>
              <w:pStyle w:val="ab"/>
              <w:shd w:val="clear" w:color="auto" w:fill="FFFFFF"/>
              <w:spacing w:before="0" w:beforeAutospacing="0" w:after="0" w:afterAutospacing="0"/>
              <w:jc w:val="both"/>
              <w:rPr>
                <w:color w:val="333333"/>
                <w:sz w:val="22"/>
                <w:szCs w:val="22"/>
              </w:rPr>
            </w:pPr>
            <w:r w:rsidRPr="00314112">
              <w:rPr>
                <w:color w:val="333333"/>
                <w:sz w:val="22"/>
                <w:szCs w:val="22"/>
              </w:rPr>
              <w:t>6) acoperirea altor cheltuieli cu caracter imprevizibil și de urgență, care, conform legislației, țin de competența autorităților publice centrale de specialitate.</w:t>
            </w:r>
          </w:p>
          <w:p w:rsidR="008B6B34" w:rsidRPr="00314112" w:rsidRDefault="008B6B34" w:rsidP="008B6B34">
            <w:pPr>
              <w:pStyle w:val="ab"/>
              <w:shd w:val="clear" w:color="auto" w:fill="FFFFFF"/>
              <w:spacing w:before="0" w:beforeAutospacing="0" w:after="0" w:afterAutospacing="0"/>
              <w:jc w:val="both"/>
              <w:rPr>
                <w:color w:val="333333"/>
                <w:sz w:val="22"/>
                <w:szCs w:val="22"/>
              </w:rPr>
            </w:pPr>
            <w:r w:rsidRPr="00314112">
              <w:rPr>
                <w:color w:val="333333"/>
                <w:sz w:val="22"/>
                <w:szCs w:val="22"/>
              </w:rPr>
              <w:t>3. Suma alocată din mijloacele financiare de rezervă unei federații naționale, pentru acțiunile prevăzute la pct. 2, nu poate depăși 50% din suma totală acordată unei federații sportive după aplicarea sistemului de repartizare a alocațiilor conform criteriilor distincte.</w:t>
            </w:r>
          </w:p>
          <w:p w:rsidR="008B6B34" w:rsidRPr="00314112" w:rsidRDefault="008B6B34" w:rsidP="008B6B34">
            <w:pPr>
              <w:pStyle w:val="ab"/>
              <w:shd w:val="clear" w:color="auto" w:fill="FFFFFF"/>
              <w:spacing w:before="0" w:beforeAutospacing="0" w:after="0" w:afterAutospacing="0"/>
              <w:jc w:val="both"/>
              <w:rPr>
                <w:color w:val="333333"/>
              </w:rPr>
            </w:pPr>
            <w:r w:rsidRPr="00314112">
              <w:rPr>
                <w:b/>
                <w:color w:val="333333"/>
                <w:sz w:val="22"/>
                <w:szCs w:val="22"/>
              </w:rPr>
              <w:t>4.</w:t>
            </w:r>
            <w:r w:rsidRPr="00314112">
              <w:rPr>
                <w:color w:val="333333"/>
                <w:sz w:val="22"/>
                <w:szCs w:val="22"/>
              </w:rPr>
              <w:t xml:space="preserve"> Modul de repartizare a mijloacelor financiare de rezervă se stabilește printr-un regulament aprobat de către autoritatea publică centrală de specialitate</w:t>
            </w:r>
            <w:r w:rsidRPr="00314112">
              <w:rPr>
                <w:color w:val="333333"/>
              </w:rPr>
              <w:t>.</w:t>
            </w:r>
          </w:p>
        </w:tc>
        <w:tc>
          <w:tcPr>
            <w:tcW w:w="4819" w:type="dxa"/>
            <w:tcBorders>
              <w:top w:val="single" w:sz="4" w:space="0" w:color="000000"/>
              <w:left w:val="single" w:sz="4" w:space="0" w:color="000000"/>
              <w:bottom w:val="single" w:sz="4" w:space="0" w:color="000000"/>
              <w:right w:val="single" w:sz="4" w:space="0" w:color="000000"/>
            </w:tcBorders>
          </w:tcPr>
          <w:p w:rsidR="008B6B34" w:rsidRPr="00314112" w:rsidRDefault="008B6B34" w:rsidP="008B6B34">
            <w:pPr>
              <w:jc w:val="center"/>
              <w:rPr>
                <w:rFonts w:ascii="Times New Roman" w:eastAsia="Times New Roman" w:hAnsi="Times New Roman" w:cs="Times New Roman"/>
                <w:highlight w:val="white"/>
              </w:rPr>
            </w:pPr>
            <w:r w:rsidRPr="00314112">
              <w:rPr>
                <w:rFonts w:ascii="Times New Roman" w:eastAsia="Times New Roman" w:hAnsi="Times New Roman" w:cs="Times New Roman"/>
                <w:b/>
                <w:bCs/>
                <w:highlight w:val="white"/>
              </w:rPr>
              <w:lastRenderedPageBreak/>
              <w:t>Mijloace financiare</w:t>
            </w:r>
          </w:p>
          <w:p w:rsidR="008B6B34" w:rsidRPr="00314112" w:rsidRDefault="008B6B34" w:rsidP="008B6B34">
            <w:pPr>
              <w:jc w:val="center"/>
              <w:rPr>
                <w:rFonts w:ascii="Times New Roman" w:eastAsia="Times New Roman" w:hAnsi="Times New Roman" w:cs="Times New Roman"/>
                <w:highlight w:val="white"/>
              </w:rPr>
            </w:pPr>
            <w:r w:rsidRPr="00314112">
              <w:rPr>
                <w:rFonts w:ascii="Times New Roman" w:eastAsia="Times New Roman" w:hAnsi="Times New Roman" w:cs="Times New Roman"/>
                <w:b/>
                <w:bCs/>
                <w:highlight w:val="white"/>
              </w:rPr>
              <w:t>de rezervă ale autorității publice centrale</w:t>
            </w:r>
          </w:p>
          <w:p w:rsidR="008B6B34" w:rsidRPr="00314112" w:rsidRDefault="008B6B34" w:rsidP="008B6B34">
            <w:pPr>
              <w:jc w:val="center"/>
              <w:rPr>
                <w:rFonts w:ascii="Times New Roman" w:eastAsia="Times New Roman" w:hAnsi="Times New Roman" w:cs="Times New Roman"/>
                <w:highlight w:val="white"/>
              </w:rPr>
            </w:pPr>
            <w:r w:rsidRPr="00314112">
              <w:rPr>
                <w:rFonts w:ascii="Times New Roman" w:eastAsia="Times New Roman" w:hAnsi="Times New Roman" w:cs="Times New Roman"/>
                <w:b/>
                <w:bCs/>
                <w:highlight w:val="white"/>
              </w:rPr>
              <w:t>de specialitate în domeniul culturii fizice și sportului</w:t>
            </w:r>
          </w:p>
          <w:p w:rsidR="008B6B34" w:rsidRPr="00314112" w:rsidRDefault="008B6B34" w:rsidP="008B6B34">
            <w:pPr>
              <w:jc w:val="both"/>
              <w:rPr>
                <w:rFonts w:ascii="Times New Roman" w:eastAsia="Times New Roman" w:hAnsi="Times New Roman" w:cs="Times New Roman"/>
                <w:highlight w:val="white"/>
              </w:rPr>
            </w:pPr>
            <w:r w:rsidRPr="00314112">
              <w:rPr>
                <w:rFonts w:ascii="Times New Roman" w:eastAsia="Times New Roman" w:hAnsi="Times New Roman" w:cs="Times New Roman"/>
                <w:b/>
                <w:bCs/>
                <w:highlight w:val="white"/>
              </w:rPr>
              <w:t>1</w:t>
            </w:r>
            <w:r w:rsidRPr="00314112">
              <w:rPr>
                <w:rFonts w:ascii="Times New Roman" w:eastAsia="Times New Roman" w:hAnsi="Times New Roman" w:cs="Times New Roman"/>
                <w:highlight w:val="white"/>
              </w:rPr>
              <w:t>. Mijloacele financiare de rezervă sunt planificate de către autoritatea publică centrală de specialitate în domeniul culturii fizice și sportului, în limitele alocațiilor bugetare, și sunt destinate exclusiv pentru acoperirea cheltuielilor cu caracter excepțional și imprevizibil, apărute în domeniul sportului.</w:t>
            </w:r>
          </w:p>
          <w:p w:rsidR="008B6B34" w:rsidRPr="00314112" w:rsidRDefault="008B6B34" w:rsidP="008B6B34">
            <w:pPr>
              <w:jc w:val="both"/>
              <w:rPr>
                <w:rFonts w:ascii="Times New Roman" w:eastAsia="Times New Roman" w:hAnsi="Times New Roman" w:cs="Times New Roman"/>
                <w:highlight w:val="white"/>
              </w:rPr>
            </w:pPr>
            <w:r w:rsidRPr="00314112">
              <w:rPr>
                <w:rFonts w:ascii="Times New Roman" w:eastAsia="Times New Roman" w:hAnsi="Times New Roman" w:cs="Times New Roman"/>
                <w:b/>
                <w:bCs/>
                <w:highlight w:val="white"/>
              </w:rPr>
              <w:t>2</w:t>
            </w:r>
            <w:r w:rsidRPr="00314112">
              <w:rPr>
                <w:rFonts w:ascii="Times New Roman" w:eastAsia="Times New Roman" w:hAnsi="Times New Roman" w:cs="Times New Roman"/>
                <w:highlight w:val="white"/>
              </w:rPr>
              <w:t>. Mijloacele financiare de rezervă pot fi utilizate pentru:</w:t>
            </w:r>
          </w:p>
          <w:p w:rsidR="008B6B34" w:rsidRPr="00314112" w:rsidRDefault="008B6B34" w:rsidP="008B6B34">
            <w:pPr>
              <w:jc w:val="both"/>
              <w:rPr>
                <w:rFonts w:ascii="Times New Roman" w:eastAsia="Times New Roman" w:hAnsi="Times New Roman" w:cs="Times New Roman"/>
                <w:highlight w:val="white"/>
              </w:rPr>
            </w:pPr>
            <w:r w:rsidRPr="00314112">
              <w:rPr>
                <w:rFonts w:ascii="Times New Roman" w:eastAsia="Times New Roman" w:hAnsi="Times New Roman" w:cs="Times New Roman"/>
                <w:highlight w:val="white"/>
              </w:rPr>
              <w:t>1) acordarea sprijinului financiar pentru acoperirea cheltuielilor de organizare a competițiilor internaționale de anvergură, desfășurate pe teritoriul Republicii Moldova, după cum urmează: </w:t>
            </w:r>
          </w:p>
          <w:p w:rsidR="008B6B34" w:rsidRPr="00314112" w:rsidRDefault="008B6B34" w:rsidP="008B6B34">
            <w:pPr>
              <w:jc w:val="both"/>
              <w:rPr>
                <w:rFonts w:ascii="Times New Roman" w:eastAsia="Times New Roman" w:hAnsi="Times New Roman" w:cs="Times New Roman"/>
                <w:highlight w:val="white"/>
              </w:rPr>
            </w:pPr>
            <w:r w:rsidRPr="00314112">
              <w:rPr>
                <w:rFonts w:ascii="Times New Roman" w:eastAsia="Times New Roman" w:hAnsi="Times New Roman" w:cs="Times New Roman"/>
                <w:highlight w:val="white"/>
              </w:rPr>
              <w:t>a) campionatul mondial pentru toate categoriile de vârstă;</w:t>
            </w:r>
          </w:p>
          <w:p w:rsidR="008B6B34" w:rsidRPr="00314112" w:rsidRDefault="008B6B34" w:rsidP="008B6B34">
            <w:pPr>
              <w:jc w:val="both"/>
              <w:rPr>
                <w:rFonts w:ascii="Times New Roman" w:eastAsia="Times New Roman" w:hAnsi="Times New Roman" w:cs="Times New Roman"/>
                <w:highlight w:val="white"/>
              </w:rPr>
            </w:pPr>
            <w:r w:rsidRPr="00314112">
              <w:rPr>
                <w:rFonts w:ascii="Times New Roman" w:eastAsia="Times New Roman" w:hAnsi="Times New Roman" w:cs="Times New Roman"/>
                <w:highlight w:val="white"/>
              </w:rPr>
              <w:t>b) campionatul european pentru toate categoriile de vârstă;</w:t>
            </w:r>
          </w:p>
          <w:p w:rsidR="008B6B34" w:rsidRPr="00314112" w:rsidRDefault="008B6B34" w:rsidP="008B6B34">
            <w:pPr>
              <w:jc w:val="both"/>
              <w:rPr>
                <w:rFonts w:ascii="Times New Roman" w:eastAsia="Times New Roman" w:hAnsi="Times New Roman" w:cs="Times New Roman"/>
                <w:highlight w:val="white"/>
              </w:rPr>
            </w:pPr>
            <w:r w:rsidRPr="00314112">
              <w:rPr>
                <w:rFonts w:ascii="Times New Roman" w:eastAsia="Times New Roman" w:hAnsi="Times New Roman" w:cs="Times New Roman"/>
                <w:highlight w:val="white"/>
              </w:rPr>
              <w:t>c) campionatul mondial universitar;</w:t>
            </w:r>
          </w:p>
          <w:p w:rsidR="008B6B34" w:rsidRPr="00314112" w:rsidRDefault="008B6B34" w:rsidP="008B6B34">
            <w:pPr>
              <w:jc w:val="both"/>
              <w:rPr>
                <w:rFonts w:ascii="Times New Roman" w:eastAsia="Times New Roman" w:hAnsi="Times New Roman" w:cs="Times New Roman"/>
                <w:highlight w:val="white"/>
              </w:rPr>
            </w:pPr>
            <w:r w:rsidRPr="00314112">
              <w:rPr>
                <w:rFonts w:ascii="Times New Roman" w:eastAsia="Times New Roman" w:hAnsi="Times New Roman" w:cs="Times New Roman"/>
                <w:highlight w:val="white"/>
              </w:rPr>
              <w:lastRenderedPageBreak/>
              <w:t>d) competiții internaționale care oferă rating european/mondial, aprobate de către federația sportivă internațională;</w:t>
            </w:r>
          </w:p>
          <w:p w:rsidR="008B6B34" w:rsidRPr="00314112" w:rsidRDefault="008B6B34" w:rsidP="008B6B34">
            <w:pPr>
              <w:jc w:val="both"/>
              <w:rPr>
                <w:rFonts w:ascii="Times New Roman" w:eastAsia="Times New Roman" w:hAnsi="Times New Roman" w:cs="Times New Roman"/>
                <w:highlight w:val="white"/>
              </w:rPr>
            </w:pPr>
            <w:r w:rsidRPr="00314112">
              <w:rPr>
                <w:rFonts w:ascii="Times New Roman" w:eastAsia="Times New Roman" w:hAnsi="Times New Roman" w:cs="Times New Roman"/>
                <w:highlight w:val="white"/>
              </w:rPr>
              <w:t>e) turnee internaționale organizate sub egida federației sportive internaționale, cu participarea a cel puțin 6 țări (pentru ramurile de sport individuale) și 6 țări (pentru jocurile sportive);</w:t>
            </w:r>
          </w:p>
          <w:p w:rsidR="008B6B34" w:rsidRPr="00314112" w:rsidRDefault="008B6B34" w:rsidP="008B6B34">
            <w:pPr>
              <w:jc w:val="both"/>
              <w:rPr>
                <w:rFonts w:ascii="Times New Roman" w:eastAsia="Times New Roman" w:hAnsi="Times New Roman" w:cs="Times New Roman"/>
                <w:highlight w:val="white"/>
              </w:rPr>
            </w:pPr>
            <w:r w:rsidRPr="00314112">
              <w:rPr>
                <w:rFonts w:ascii="Times New Roman" w:eastAsia="Times New Roman" w:hAnsi="Times New Roman" w:cs="Times New Roman"/>
                <w:highlight w:val="white"/>
              </w:rPr>
              <w:t>2) acordarea suportului financiar pentru pregătirea și reabilitarea sportivilor/sportivelor de performanță, membri/membre ai/ale lotului național, potențiali/potențiale candidați/candidate să reprezinte Republica Moldova la Jocurile Olimpice/Paralimpice sau care au reprezentat Republica Moldova la Jocurile Olimpice/Paralimpice;</w:t>
            </w:r>
          </w:p>
          <w:p w:rsidR="008B6B34" w:rsidRPr="00314112" w:rsidRDefault="008B6B34" w:rsidP="008B6B34">
            <w:pPr>
              <w:jc w:val="both"/>
              <w:rPr>
                <w:rFonts w:ascii="Times New Roman" w:eastAsia="Times New Roman" w:hAnsi="Times New Roman" w:cs="Times New Roman"/>
                <w:highlight w:val="white"/>
              </w:rPr>
            </w:pPr>
            <w:r w:rsidRPr="00314112">
              <w:rPr>
                <w:rFonts w:ascii="Times New Roman" w:eastAsia="Times New Roman" w:hAnsi="Times New Roman" w:cs="Times New Roman"/>
                <w:highlight w:val="white"/>
              </w:rPr>
              <w:t>3) finanțarea federațiilor sportive tradiționale de oină și de trântă, a federației sportului pentru toți, a federației sportului școlar și a federației sportului universitar;</w:t>
            </w:r>
          </w:p>
          <w:p w:rsidR="008B6B34" w:rsidRPr="00314112" w:rsidRDefault="008B6B34" w:rsidP="008B6B34">
            <w:pPr>
              <w:jc w:val="both"/>
              <w:rPr>
                <w:rFonts w:ascii="Times New Roman" w:eastAsia="Times New Roman" w:hAnsi="Times New Roman" w:cs="Times New Roman"/>
                <w:highlight w:val="white"/>
              </w:rPr>
            </w:pPr>
            <w:r w:rsidRPr="00314112">
              <w:rPr>
                <w:rFonts w:ascii="Times New Roman" w:eastAsia="Times New Roman" w:hAnsi="Times New Roman" w:cs="Times New Roman"/>
                <w:highlight w:val="white"/>
              </w:rPr>
              <w:t>4) acordarea suportului financiar pentru achiziționarea echipamentului și a inventarului sportiv;</w:t>
            </w:r>
          </w:p>
          <w:p w:rsidR="008B6B34" w:rsidRPr="00314112" w:rsidRDefault="008B6B34" w:rsidP="008B6B34">
            <w:pPr>
              <w:jc w:val="both"/>
              <w:rPr>
                <w:rFonts w:ascii="Times New Roman" w:eastAsia="Times New Roman" w:hAnsi="Times New Roman" w:cs="Times New Roman"/>
                <w:highlight w:val="white"/>
              </w:rPr>
            </w:pPr>
            <w:r w:rsidRPr="00314112">
              <w:rPr>
                <w:rFonts w:ascii="Times New Roman" w:eastAsia="Times New Roman" w:hAnsi="Times New Roman" w:cs="Times New Roman"/>
                <w:highlight w:val="white"/>
              </w:rPr>
              <w:t>5) acordarea suportului financiar pentru acțiuni sportive specifice, desfășurate de către Comitetul Național Olimpic și Sportiv, Comitetul Paralimpic din Republica Moldova și Comitetul Deaflympic din Moldova, în conformitate cu programele de activitate ale acestora;</w:t>
            </w:r>
          </w:p>
          <w:p w:rsidR="008B6B34" w:rsidRPr="00314112" w:rsidRDefault="008B6B34" w:rsidP="008B6B34">
            <w:pPr>
              <w:jc w:val="both"/>
              <w:rPr>
                <w:rFonts w:ascii="Times New Roman" w:eastAsia="Times New Roman" w:hAnsi="Times New Roman" w:cs="Times New Roman"/>
                <w:highlight w:val="white"/>
              </w:rPr>
            </w:pPr>
            <w:r w:rsidRPr="00314112">
              <w:rPr>
                <w:rFonts w:ascii="Times New Roman" w:eastAsia="Times New Roman" w:hAnsi="Times New Roman" w:cs="Times New Roman"/>
                <w:highlight w:val="white"/>
              </w:rPr>
              <w:t>6) acoperirea altor cheltuieli cu caracter imprevizibil și de urgență, care, conform legislației, țin de competența autorităților publice centrale de specialitate.</w:t>
            </w:r>
          </w:p>
          <w:p w:rsidR="008B6B34" w:rsidRPr="00314112" w:rsidRDefault="008B6B34" w:rsidP="008B6B34">
            <w:pPr>
              <w:jc w:val="both"/>
              <w:rPr>
                <w:rFonts w:ascii="Times New Roman" w:eastAsia="Times New Roman" w:hAnsi="Times New Roman" w:cs="Times New Roman"/>
                <w:highlight w:val="white"/>
              </w:rPr>
            </w:pPr>
            <w:r w:rsidRPr="00314112">
              <w:rPr>
                <w:rFonts w:ascii="Times New Roman" w:eastAsia="Times New Roman" w:hAnsi="Times New Roman" w:cs="Times New Roman"/>
                <w:b/>
                <w:highlight w:val="white"/>
              </w:rPr>
              <w:t>4.</w:t>
            </w:r>
            <w:r w:rsidRPr="00314112">
              <w:rPr>
                <w:rFonts w:ascii="Times New Roman" w:eastAsia="Times New Roman" w:hAnsi="Times New Roman" w:cs="Times New Roman"/>
                <w:highlight w:val="white"/>
              </w:rPr>
              <w:t xml:space="preserve"> Modul de repartizare a mijloacelor financiare de rezervă se stabilește printr-un regulament aprobat de către autoritatea publică centrală de specialitate.</w:t>
            </w:r>
          </w:p>
        </w:tc>
        <w:tc>
          <w:tcPr>
            <w:tcW w:w="6095" w:type="dxa"/>
            <w:tcBorders>
              <w:top w:val="single" w:sz="4" w:space="0" w:color="000000"/>
              <w:left w:val="single" w:sz="4" w:space="0" w:color="000000"/>
              <w:bottom w:val="single" w:sz="4" w:space="0" w:color="000000"/>
              <w:right w:val="single" w:sz="4" w:space="0" w:color="000000"/>
            </w:tcBorders>
          </w:tcPr>
          <w:p w:rsidR="008B6B34" w:rsidRPr="00314112" w:rsidRDefault="008B6B34" w:rsidP="008B6B34">
            <w:pPr>
              <w:jc w:val="center"/>
              <w:rPr>
                <w:rFonts w:ascii="Times New Roman" w:eastAsia="Times New Roman" w:hAnsi="Times New Roman" w:cs="Times New Roman"/>
                <w:highlight w:val="white"/>
              </w:rPr>
            </w:pPr>
            <w:r w:rsidRPr="00314112">
              <w:rPr>
                <w:rFonts w:ascii="Times New Roman" w:eastAsia="Times New Roman" w:hAnsi="Times New Roman" w:cs="Times New Roman"/>
                <w:b/>
                <w:bCs/>
                <w:highlight w:val="white"/>
              </w:rPr>
              <w:lastRenderedPageBreak/>
              <w:t>Mijloace financiare</w:t>
            </w:r>
          </w:p>
          <w:p w:rsidR="008B6B34" w:rsidRPr="00314112" w:rsidRDefault="008B6B34" w:rsidP="008B6B34">
            <w:pPr>
              <w:jc w:val="center"/>
              <w:rPr>
                <w:rFonts w:ascii="Times New Roman" w:eastAsia="Times New Roman" w:hAnsi="Times New Roman" w:cs="Times New Roman"/>
                <w:highlight w:val="white"/>
              </w:rPr>
            </w:pPr>
            <w:r w:rsidRPr="00314112">
              <w:rPr>
                <w:rFonts w:ascii="Times New Roman" w:eastAsia="Times New Roman" w:hAnsi="Times New Roman" w:cs="Times New Roman"/>
                <w:b/>
                <w:bCs/>
                <w:highlight w:val="white"/>
              </w:rPr>
              <w:t>de rezervă ale autorității publice centrale</w:t>
            </w:r>
          </w:p>
          <w:p w:rsidR="008B6B34" w:rsidRPr="00314112" w:rsidRDefault="008B6B34" w:rsidP="008B6B34">
            <w:pPr>
              <w:jc w:val="center"/>
              <w:rPr>
                <w:rFonts w:ascii="Times New Roman" w:eastAsia="Times New Roman" w:hAnsi="Times New Roman" w:cs="Times New Roman"/>
                <w:highlight w:val="white"/>
              </w:rPr>
            </w:pPr>
            <w:r w:rsidRPr="00314112">
              <w:rPr>
                <w:rFonts w:ascii="Times New Roman" w:eastAsia="Times New Roman" w:hAnsi="Times New Roman" w:cs="Times New Roman"/>
                <w:b/>
                <w:bCs/>
                <w:highlight w:val="white"/>
              </w:rPr>
              <w:t>de specialitate în domeniul culturii fizice și sportului</w:t>
            </w:r>
          </w:p>
          <w:p w:rsidR="008B6B34" w:rsidRPr="00314112" w:rsidRDefault="008B6B34" w:rsidP="008B6B34">
            <w:pPr>
              <w:jc w:val="both"/>
              <w:rPr>
                <w:rFonts w:ascii="Times New Roman" w:eastAsia="Times New Roman" w:hAnsi="Times New Roman" w:cs="Times New Roman"/>
                <w:highlight w:val="white"/>
              </w:rPr>
            </w:pPr>
            <w:r w:rsidRPr="00314112">
              <w:rPr>
                <w:rFonts w:ascii="Times New Roman" w:eastAsia="Times New Roman" w:hAnsi="Times New Roman" w:cs="Times New Roman"/>
                <w:b/>
                <w:bCs/>
                <w:highlight w:val="white"/>
              </w:rPr>
              <w:t>1</w:t>
            </w:r>
            <w:r w:rsidRPr="00314112">
              <w:rPr>
                <w:rFonts w:ascii="Times New Roman" w:eastAsia="Times New Roman" w:hAnsi="Times New Roman" w:cs="Times New Roman"/>
                <w:highlight w:val="white"/>
              </w:rPr>
              <w:t>. Mijloacele financiare de rezervă sunt planificate de către autoritatea publică centrală de specialitate în domeniul culturii fizice și sportului, în limitele alocațiilor bugetare, și sunt destinate exclusiv pentru acoperirea cheltuielilor cu caracter excepțional și imprevizibil, apărute în domeniul sportului.</w:t>
            </w:r>
          </w:p>
          <w:p w:rsidR="008B6B34" w:rsidRPr="00314112" w:rsidRDefault="008B6B34" w:rsidP="008B6B34">
            <w:pPr>
              <w:jc w:val="both"/>
              <w:rPr>
                <w:rFonts w:ascii="Times New Roman" w:eastAsia="Times New Roman" w:hAnsi="Times New Roman" w:cs="Times New Roman"/>
                <w:highlight w:val="white"/>
              </w:rPr>
            </w:pPr>
            <w:r w:rsidRPr="00314112">
              <w:rPr>
                <w:rFonts w:ascii="Times New Roman" w:eastAsia="Times New Roman" w:hAnsi="Times New Roman" w:cs="Times New Roman"/>
                <w:b/>
                <w:bCs/>
                <w:highlight w:val="white"/>
              </w:rPr>
              <w:t>2</w:t>
            </w:r>
            <w:r w:rsidRPr="00314112">
              <w:rPr>
                <w:rFonts w:ascii="Times New Roman" w:eastAsia="Times New Roman" w:hAnsi="Times New Roman" w:cs="Times New Roman"/>
                <w:highlight w:val="white"/>
              </w:rPr>
              <w:t>. Mijloacele financiare de rezervă pot fi utilizate pentru:</w:t>
            </w:r>
          </w:p>
          <w:p w:rsidR="008B6B34" w:rsidRPr="00314112" w:rsidRDefault="008B6B34" w:rsidP="008B6B34">
            <w:pPr>
              <w:jc w:val="both"/>
              <w:rPr>
                <w:rFonts w:ascii="Times New Roman" w:eastAsia="Times New Roman" w:hAnsi="Times New Roman" w:cs="Times New Roman"/>
                <w:highlight w:val="white"/>
              </w:rPr>
            </w:pPr>
            <w:r w:rsidRPr="00314112">
              <w:rPr>
                <w:rFonts w:ascii="Times New Roman" w:eastAsia="Times New Roman" w:hAnsi="Times New Roman" w:cs="Times New Roman"/>
                <w:highlight w:val="white"/>
              </w:rPr>
              <w:t>1) acordarea sprijinului financiar pentru acoperirea cheltuielilor de organizare a competițiilor internaționale de anvergură, desfășurate pe teritoriul Republicii Moldova, după cum urmează: </w:t>
            </w:r>
          </w:p>
          <w:p w:rsidR="008B6B34" w:rsidRPr="00314112" w:rsidRDefault="008B6B34" w:rsidP="008B6B34">
            <w:pPr>
              <w:jc w:val="both"/>
              <w:rPr>
                <w:rFonts w:ascii="Times New Roman" w:eastAsia="Times New Roman" w:hAnsi="Times New Roman" w:cs="Times New Roman"/>
                <w:highlight w:val="white"/>
              </w:rPr>
            </w:pPr>
            <w:r w:rsidRPr="00314112">
              <w:rPr>
                <w:rFonts w:ascii="Times New Roman" w:eastAsia="Times New Roman" w:hAnsi="Times New Roman" w:cs="Times New Roman"/>
                <w:highlight w:val="white"/>
              </w:rPr>
              <w:t>a) campionatul mondial pentru toate categoriile de vârstă;</w:t>
            </w:r>
          </w:p>
          <w:p w:rsidR="008B6B34" w:rsidRPr="00314112" w:rsidRDefault="008B6B34" w:rsidP="008B6B34">
            <w:pPr>
              <w:jc w:val="both"/>
              <w:rPr>
                <w:rFonts w:ascii="Times New Roman" w:eastAsia="Times New Roman" w:hAnsi="Times New Roman" w:cs="Times New Roman"/>
                <w:highlight w:val="white"/>
              </w:rPr>
            </w:pPr>
            <w:r w:rsidRPr="00314112">
              <w:rPr>
                <w:rFonts w:ascii="Times New Roman" w:eastAsia="Times New Roman" w:hAnsi="Times New Roman" w:cs="Times New Roman"/>
                <w:highlight w:val="white"/>
              </w:rPr>
              <w:t>b) campionatul european pentru toate categoriile de vârstă;</w:t>
            </w:r>
          </w:p>
          <w:p w:rsidR="008B6B34" w:rsidRPr="00314112" w:rsidRDefault="008B6B34" w:rsidP="008B6B34">
            <w:pPr>
              <w:jc w:val="both"/>
              <w:rPr>
                <w:rFonts w:ascii="Times New Roman" w:eastAsia="Times New Roman" w:hAnsi="Times New Roman" w:cs="Times New Roman"/>
                <w:highlight w:val="white"/>
              </w:rPr>
            </w:pPr>
            <w:r w:rsidRPr="00314112">
              <w:rPr>
                <w:rFonts w:ascii="Times New Roman" w:eastAsia="Times New Roman" w:hAnsi="Times New Roman" w:cs="Times New Roman"/>
                <w:highlight w:val="white"/>
              </w:rPr>
              <w:t>c) campionatul mondial universitar;</w:t>
            </w:r>
          </w:p>
          <w:p w:rsidR="008B6B34" w:rsidRPr="00314112" w:rsidRDefault="008B6B34" w:rsidP="008B6B34">
            <w:pPr>
              <w:jc w:val="both"/>
              <w:rPr>
                <w:rFonts w:ascii="Times New Roman" w:eastAsia="Times New Roman" w:hAnsi="Times New Roman" w:cs="Times New Roman"/>
                <w:highlight w:val="white"/>
              </w:rPr>
            </w:pPr>
            <w:r w:rsidRPr="00314112">
              <w:rPr>
                <w:rFonts w:ascii="Times New Roman" w:eastAsia="Times New Roman" w:hAnsi="Times New Roman" w:cs="Times New Roman"/>
                <w:highlight w:val="white"/>
              </w:rPr>
              <w:t>d) competiții internaționale care oferă rating european/mondial, aprobate de către federația sportivă internațională;</w:t>
            </w:r>
          </w:p>
          <w:p w:rsidR="008B6B34" w:rsidRPr="00314112" w:rsidRDefault="008B6B34" w:rsidP="008B6B34">
            <w:pPr>
              <w:jc w:val="both"/>
              <w:rPr>
                <w:rFonts w:ascii="Times New Roman" w:eastAsia="Times New Roman" w:hAnsi="Times New Roman" w:cs="Times New Roman"/>
                <w:highlight w:val="white"/>
              </w:rPr>
            </w:pPr>
            <w:r w:rsidRPr="00314112">
              <w:rPr>
                <w:rFonts w:ascii="Times New Roman" w:eastAsia="Times New Roman" w:hAnsi="Times New Roman" w:cs="Times New Roman"/>
                <w:highlight w:val="white"/>
              </w:rPr>
              <w:t>e) turnee internaționale organizate sub egida federației sportive internaționale, cu participarea a cel puțin 6 țări (pentru ramurile de sport individuale) și 6 țări (pentru jocurile sportive);</w:t>
            </w:r>
          </w:p>
          <w:p w:rsidR="008B6B34" w:rsidRPr="00314112" w:rsidRDefault="008B6B34" w:rsidP="008B6B34">
            <w:pPr>
              <w:jc w:val="both"/>
              <w:rPr>
                <w:rFonts w:ascii="Times New Roman" w:eastAsia="Times New Roman" w:hAnsi="Times New Roman" w:cs="Times New Roman"/>
                <w:highlight w:val="white"/>
              </w:rPr>
            </w:pPr>
            <w:r w:rsidRPr="00314112">
              <w:rPr>
                <w:rFonts w:ascii="Times New Roman" w:eastAsia="Times New Roman" w:hAnsi="Times New Roman" w:cs="Times New Roman"/>
                <w:highlight w:val="white"/>
              </w:rPr>
              <w:t xml:space="preserve">2) acordarea suportului financiar pentru pregătirea și reabilitarea sportivilor/sportivelor de performanță, membri/membre ai/ale </w:t>
            </w:r>
            <w:r w:rsidRPr="00314112">
              <w:rPr>
                <w:rFonts w:ascii="Times New Roman" w:eastAsia="Times New Roman" w:hAnsi="Times New Roman" w:cs="Times New Roman"/>
                <w:highlight w:val="white"/>
              </w:rPr>
              <w:lastRenderedPageBreak/>
              <w:t>lotului național, potențiali/potențiale candidați/candidate să reprezinte Republica Moldova la Jocurile Olimpice/Paralimpice sau care au reprezentat Republica Moldova la Jocurile Olimpice/Paralimpice;</w:t>
            </w:r>
          </w:p>
          <w:p w:rsidR="008B6B34" w:rsidRPr="00314112" w:rsidRDefault="008B6B34" w:rsidP="008B6B34">
            <w:pPr>
              <w:jc w:val="both"/>
              <w:rPr>
                <w:rFonts w:ascii="Times New Roman" w:eastAsia="Times New Roman" w:hAnsi="Times New Roman" w:cs="Times New Roman"/>
                <w:highlight w:val="white"/>
              </w:rPr>
            </w:pPr>
            <w:r w:rsidRPr="00314112">
              <w:rPr>
                <w:rFonts w:ascii="Times New Roman" w:eastAsia="Times New Roman" w:hAnsi="Times New Roman" w:cs="Times New Roman"/>
                <w:highlight w:val="white"/>
              </w:rPr>
              <w:t>3) finanțarea federațiilor sportive tradiționale de oină și de trântă, a federației sportului pentru toți, a federației sportului școlar și a federației sportului universitar;</w:t>
            </w:r>
          </w:p>
          <w:p w:rsidR="008B6B34" w:rsidRPr="00314112" w:rsidRDefault="008B6B34" w:rsidP="008B6B34">
            <w:pPr>
              <w:jc w:val="both"/>
              <w:rPr>
                <w:rFonts w:ascii="Times New Roman" w:eastAsia="Times New Roman" w:hAnsi="Times New Roman" w:cs="Times New Roman"/>
                <w:highlight w:val="white"/>
              </w:rPr>
            </w:pPr>
            <w:r w:rsidRPr="00314112">
              <w:rPr>
                <w:rFonts w:ascii="Times New Roman" w:eastAsia="Times New Roman" w:hAnsi="Times New Roman" w:cs="Times New Roman"/>
                <w:highlight w:val="white"/>
              </w:rPr>
              <w:t>4) acordarea suportului financiar pentru achiziționarea echipamentului și a inventarului sportiv;</w:t>
            </w:r>
          </w:p>
          <w:p w:rsidR="008B6B34" w:rsidRPr="00314112" w:rsidRDefault="008B6B34" w:rsidP="008B6B34">
            <w:pPr>
              <w:jc w:val="both"/>
              <w:rPr>
                <w:rFonts w:ascii="Times New Roman" w:eastAsia="Times New Roman" w:hAnsi="Times New Roman" w:cs="Times New Roman"/>
                <w:highlight w:val="white"/>
              </w:rPr>
            </w:pPr>
            <w:r w:rsidRPr="00314112">
              <w:rPr>
                <w:rFonts w:ascii="Times New Roman" w:eastAsia="Times New Roman" w:hAnsi="Times New Roman" w:cs="Times New Roman"/>
                <w:highlight w:val="white"/>
              </w:rPr>
              <w:t>5) acordarea suportului financiar pentru acțiuni sportive specifice, desfășurate de către Comitetul Național Olimpic și Sportiv, Comitetul Paralimpic din Republica Moldova și Comitetul Deaflympic din Moldova, în conformitate cu programele de activitate ale acestora;</w:t>
            </w:r>
          </w:p>
          <w:p w:rsidR="008B6B34" w:rsidRPr="00314112" w:rsidRDefault="008B6B34" w:rsidP="008B6B34">
            <w:pPr>
              <w:jc w:val="both"/>
              <w:rPr>
                <w:rFonts w:ascii="Times New Roman" w:eastAsia="Times New Roman" w:hAnsi="Times New Roman" w:cs="Times New Roman"/>
                <w:highlight w:val="white"/>
              </w:rPr>
            </w:pPr>
            <w:r w:rsidRPr="00314112">
              <w:rPr>
                <w:rFonts w:ascii="Times New Roman" w:eastAsia="Times New Roman" w:hAnsi="Times New Roman" w:cs="Times New Roman"/>
                <w:highlight w:val="white"/>
              </w:rPr>
              <w:t>6) acoperirea altor cheltuieli cu caracter imprevizibil și de urgență, care, conform legislației, țin de competența autorităților publice centrale de specialitate.</w:t>
            </w:r>
          </w:p>
          <w:p w:rsidR="008B6B34" w:rsidRPr="00314112" w:rsidRDefault="008B6B34" w:rsidP="008B6B34">
            <w:pPr>
              <w:jc w:val="both"/>
              <w:rPr>
                <w:rFonts w:ascii="Times New Roman" w:eastAsia="Times New Roman" w:hAnsi="Times New Roman" w:cs="Times New Roman"/>
                <w:highlight w:val="white"/>
              </w:rPr>
            </w:pPr>
            <w:r w:rsidRPr="00314112">
              <w:rPr>
                <w:rFonts w:ascii="Times New Roman" w:eastAsia="Times New Roman" w:hAnsi="Times New Roman" w:cs="Times New Roman"/>
                <w:b/>
                <w:highlight w:val="white"/>
              </w:rPr>
              <w:t>4.</w:t>
            </w:r>
            <w:r w:rsidRPr="00314112">
              <w:rPr>
                <w:rFonts w:ascii="Times New Roman" w:eastAsia="Times New Roman" w:hAnsi="Times New Roman" w:cs="Times New Roman"/>
                <w:highlight w:val="white"/>
              </w:rPr>
              <w:t xml:space="preserve"> Modul de repartizare a mijloacelor financiare de rezervă se stabilește printr-un regulament aprobat de către autoritatea publică centrală de specialitate.</w:t>
            </w:r>
          </w:p>
        </w:tc>
      </w:tr>
    </w:tbl>
    <w:p w:rsidR="00363FB0" w:rsidRPr="00314112" w:rsidRDefault="00363FB0">
      <w:pPr>
        <w:spacing w:after="0" w:line="240" w:lineRule="auto"/>
        <w:rPr>
          <w:rFonts w:ascii="Times New Roman" w:eastAsia="Times New Roman" w:hAnsi="Times New Roman" w:cs="Times New Roman"/>
          <w:i/>
          <w:sz w:val="24"/>
          <w:szCs w:val="24"/>
        </w:rPr>
      </w:pPr>
    </w:p>
    <w:sectPr w:rsidR="00363FB0" w:rsidRPr="00314112">
      <w:pgSz w:w="16838" w:h="11906" w:orient="landscape"/>
      <w:pgMar w:top="284" w:right="1134" w:bottom="426" w:left="1134"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261D3"/>
    <w:multiLevelType w:val="multilevel"/>
    <w:tmpl w:val="38E2B85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46AD2CA8"/>
    <w:multiLevelType w:val="multilevel"/>
    <w:tmpl w:val="B546B56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4EC17C16"/>
    <w:multiLevelType w:val="multilevel"/>
    <w:tmpl w:val="6A28F3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 w15:restartNumberingAfterBreak="0">
    <w:nsid w:val="536059FF"/>
    <w:multiLevelType w:val="multilevel"/>
    <w:tmpl w:val="9FE21B0C"/>
    <w:lvl w:ilvl="0">
      <w:start w:val="1"/>
      <w:numFmt w:val="lowerLetter"/>
      <w:lvlText w:val="%1)"/>
      <w:lvlJc w:val="left"/>
      <w:pPr>
        <w:ind w:left="850" w:hanging="359"/>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15:restartNumberingAfterBreak="0">
    <w:nsid w:val="69204DDD"/>
    <w:multiLevelType w:val="multilevel"/>
    <w:tmpl w:val="A25086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71D70654"/>
    <w:multiLevelType w:val="multilevel"/>
    <w:tmpl w:val="F5C8B2B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5"/>
  </w:num>
  <w:num w:numId="3">
    <w:abstractNumId w:val="4"/>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FB0"/>
    <w:rsid w:val="00314112"/>
    <w:rsid w:val="00363FB0"/>
    <w:rsid w:val="00441787"/>
    <w:rsid w:val="00510754"/>
    <w:rsid w:val="00567C37"/>
    <w:rsid w:val="00697901"/>
    <w:rsid w:val="006A3D34"/>
    <w:rsid w:val="00722727"/>
    <w:rsid w:val="0076274F"/>
    <w:rsid w:val="00792F6F"/>
    <w:rsid w:val="008438A6"/>
    <w:rsid w:val="008B6B34"/>
    <w:rsid w:val="00A40393"/>
    <w:rsid w:val="00A40C8C"/>
    <w:rsid w:val="00A45096"/>
    <w:rsid w:val="00A7006D"/>
    <w:rsid w:val="00BF3E90"/>
    <w:rsid w:val="00C25DBE"/>
    <w:rsid w:val="00E4726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61A0E"/>
  <w15:docId w15:val="{A90E1DF8-7E3C-4365-935D-53557758C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o-RO" w:eastAsia="ro-R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5110"/>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styleId="a4">
    <w:name w:val="Table Grid"/>
    <w:basedOn w:val="a1"/>
    <w:uiPriority w:val="39"/>
    <w:rsid w:val="00FB51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AE7995"/>
    <w:pPr>
      <w:ind w:left="720"/>
      <w:contextualSpacing/>
    </w:pPr>
  </w:style>
  <w:style w:type="paragraph" w:styleId="a6">
    <w:name w:val="Balloon Text"/>
    <w:basedOn w:val="a"/>
    <w:link w:val="a7"/>
    <w:uiPriority w:val="99"/>
    <w:semiHidden/>
    <w:unhideWhenUsed/>
    <w:rsid w:val="00744FF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44FF9"/>
    <w:rPr>
      <w:rFonts w:ascii="Segoe UI" w:hAnsi="Segoe UI" w:cs="Segoe UI"/>
      <w:sz w:val="18"/>
      <w:szCs w:val="18"/>
      <w:lang w:val="en-US"/>
    </w:rPr>
  </w:style>
  <w:style w:type="paragraph" w:styleId="a8">
    <w:name w:val="Subtitle"/>
    <w:basedOn w:val="a"/>
    <w:next w:val="a"/>
    <w:pPr>
      <w:keepNext/>
      <w:keepLines/>
      <w:spacing w:before="360" w:after="80"/>
    </w:pPr>
    <w:rPr>
      <w:rFonts w:ascii="Georgia" w:eastAsia="Georgia" w:hAnsi="Georgia" w:cs="Georgia"/>
      <w:i/>
      <w:color w:val="666666"/>
      <w:sz w:val="48"/>
      <w:szCs w:val="48"/>
    </w:rPr>
  </w:style>
  <w:style w:type="table" w:customStyle="1" w:styleId="a9">
    <w:basedOn w:val="TableNormal0"/>
    <w:pPr>
      <w:spacing w:after="0" w:line="240" w:lineRule="auto"/>
    </w:pPr>
    <w:tblPr>
      <w:tblStyleRowBandSize w:val="1"/>
      <w:tblStyleColBandSize w:val="1"/>
      <w:tblCellMar>
        <w:left w:w="108" w:type="dxa"/>
        <w:right w:w="108" w:type="dxa"/>
      </w:tblCellMar>
    </w:tblPr>
  </w:style>
  <w:style w:type="character" w:styleId="aa">
    <w:name w:val="Emphasis"/>
    <w:basedOn w:val="a0"/>
    <w:uiPriority w:val="20"/>
    <w:qFormat/>
    <w:rsid w:val="0059443B"/>
    <w:rPr>
      <w:i/>
      <w:iCs/>
    </w:rPr>
  </w:style>
  <w:style w:type="paragraph" w:styleId="ab">
    <w:name w:val="Normal (Web)"/>
    <w:basedOn w:val="a"/>
    <w:uiPriority w:val="99"/>
    <w:unhideWhenUsed/>
    <w:rsid w:val="008B0F3A"/>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Strong"/>
    <w:basedOn w:val="a0"/>
    <w:uiPriority w:val="22"/>
    <w:qFormat/>
    <w:rsid w:val="008B0F3A"/>
    <w:rPr>
      <w:b/>
      <w:bCs/>
    </w:rPr>
  </w:style>
  <w:style w:type="table" w:customStyle="1" w:styleId="ad">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33315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Ds2Uglvez/zXO4K4sWCDuS3LSw==">CgMxLjAyCGguZ2pkZ3hzOAByITF5YmFLamFIbUdUYW8yX2NGVnlzTE15VFdNQ0JXQnNFQQ==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Pages>
  <Words>1243</Words>
  <Characters>7216</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Vasile Secrieru MEC</dc:creator>
  <cp:lastModifiedBy>MEC</cp:lastModifiedBy>
  <cp:revision>18</cp:revision>
  <dcterms:created xsi:type="dcterms:W3CDTF">2022-06-28T06:40:00Z</dcterms:created>
  <dcterms:modified xsi:type="dcterms:W3CDTF">2025-02-19T09:54:00Z</dcterms:modified>
</cp:coreProperties>
</file>