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24B" w:rsidRPr="00197B8C" w:rsidRDefault="00B6524B" w:rsidP="00B6524B">
      <w:pPr>
        <w:jc w:val="center"/>
        <w:rPr>
          <w:b/>
          <w:sz w:val="28"/>
          <w:szCs w:val="28"/>
        </w:rPr>
      </w:pPr>
      <w:r w:rsidRPr="00197B8C">
        <w:rPr>
          <w:b/>
          <w:sz w:val="28"/>
          <w:szCs w:val="28"/>
        </w:rPr>
        <w:t xml:space="preserve">Nota de fundamentare </w:t>
      </w:r>
    </w:p>
    <w:p w:rsidR="00B6524B" w:rsidRPr="00197B8C" w:rsidRDefault="00B6524B" w:rsidP="00B6524B">
      <w:pPr>
        <w:pStyle w:val="1"/>
        <w:tabs>
          <w:tab w:val="center" w:pos="4677"/>
          <w:tab w:val="left" w:pos="6301"/>
        </w:tabs>
        <w:jc w:val="center"/>
        <w:rPr>
          <w:rFonts w:ascii="Times New Roman" w:hAnsi="Times New Roman"/>
          <w:b/>
          <w:sz w:val="28"/>
          <w:szCs w:val="28"/>
          <w:lang w:val="ro-RO"/>
        </w:rPr>
      </w:pPr>
      <w:r w:rsidRPr="00197B8C">
        <w:rPr>
          <w:rFonts w:ascii="Times New Roman" w:hAnsi="Times New Roman"/>
          <w:b/>
          <w:sz w:val="28"/>
          <w:szCs w:val="28"/>
          <w:lang w:val="ro-RO"/>
        </w:rPr>
        <w:t>la proiectul Hotărârii Guvernului Cu privire la aprobarea Programului naţional în domeniul alimentaţiei şi nutriţiei pentru anii 2014-2020</w:t>
      </w:r>
      <w:r w:rsidR="00197B8C" w:rsidRPr="00197B8C">
        <w:rPr>
          <w:rFonts w:ascii="Times New Roman" w:hAnsi="Times New Roman"/>
          <w:b/>
          <w:sz w:val="28"/>
          <w:szCs w:val="28"/>
          <w:lang w:val="ro-RO"/>
        </w:rPr>
        <w:t xml:space="preserve"> şi a Planului de acţiuni pentru anii 2014-2016 privind implementarea </w:t>
      </w:r>
      <w:bookmarkStart w:id="0" w:name="_GoBack"/>
      <w:bookmarkEnd w:id="0"/>
      <w:r w:rsidR="00197B8C" w:rsidRPr="00197B8C">
        <w:rPr>
          <w:rFonts w:ascii="Times New Roman" w:hAnsi="Times New Roman"/>
          <w:b/>
          <w:sz w:val="28"/>
          <w:szCs w:val="28"/>
          <w:lang w:val="ro-RO"/>
        </w:rPr>
        <w:t>Programului naţional</w:t>
      </w:r>
    </w:p>
    <w:p w:rsidR="00B6524B" w:rsidRPr="00197B8C" w:rsidRDefault="00B6524B" w:rsidP="00B6524B">
      <w:pPr>
        <w:shd w:val="clear" w:color="auto" w:fill="FFFFFF"/>
        <w:spacing w:after="120"/>
        <w:ind w:firstLine="709"/>
        <w:jc w:val="both"/>
        <w:rPr>
          <w:b/>
          <w:bCs/>
          <w:iCs/>
          <w:color w:val="000000"/>
          <w:spacing w:val="1"/>
          <w:sz w:val="28"/>
          <w:szCs w:val="28"/>
        </w:rPr>
      </w:pPr>
    </w:p>
    <w:p w:rsidR="00B6524B" w:rsidRPr="00197B8C" w:rsidRDefault="00B6524B" w:rsidP="00B6524B">
      <w:pPr>
        <w:shd w:val="clear" w:color="auto" w:fill="FFFFFF"/>
        <w:ind w:firstLine="709"/>
        <w:jc w:val="both"/>
        <w:rPr>
          <w:b/>
          <w:bCs/>
          <w:iCs/>
          <w:color w:val="000000"/>
          <w:spacing w:val="1"/>
          <w:sz w:val="28"/>
          <w:szCs w:val="28"/>
        </w:rPr>
      </w:pPr>
      <w:r w:rsidRPr="00197B8C">
        <w:rPr>
          <w:b/>
          <w:bCs/>
          <w:iCs/>
          <w:color w:val="000000"/>
          <w:spacing w:val="1"/>
          <w:sz w:val="28"/>
          <w:szCs w:val="28"/>
        </w:rPr>
        <w:t>1. Condiţiile ce au impus elaborarea proiectului hotărârii de Guvern:</w:t>
      </w:r>
    </w:p>
    <w:p w:rsidR="00B6524B" w:rsidRPr="00197B8C" w:rsidRDefault="00B6524B" w:rsidP="00B6524B">
      <w:pPr>
        <w:pStyle w:val="a3"/>
        <w:ind w:firstLine="720"/>
        <w:jc w:val="both"/>
        <w:rPr>
          <w:szCs w:val="28"/>
          <w:lang w:eastAsia="en-US"/>
        </w:rPr>
      </w:pPr>
      <w:r w:rsidRPr="00197B8C">
        <w:rPr>
          <w:szCs w:val="28"/>
          <w:lang w:eastAsia="en-US"/>
        </w:rPr>
        <w:t xml:space="preserve">Alimentaţia şi nutriţia proastă este unul din cei 4 factori de risc principali comuni pentru bolile netransmisibile. 87% din toate decesele înregistrate anual în Republica Moldova sunt condiţionate de bolile netransmisibile. Bolile cardiovasculare (boala ischemică a cordului şi bolile cerebrovasculare) sunt cauza principală de deces, constituind circa 57 %, după care urmează cancerul cu 14% din toate cauzele de deces înregistrate anual în Republica Moldova. Majoritatea din aceste decese au loc la vârsta aptă de muncă. </w:t>
      </w:r>
    </w:p>
    <w:p w:rsidR="00B6524B" w:rsidRPr="00197B8C" w:rsidRDefault="00B6524B" w:rsidP="00B6524B">
      <w:pPr>
        <w:pStyle w:val="a3"/>
        <w:ind w:firstLine="720"/>
        <w:jc w:val="both"/>
        <w:rPr>
          <w:szCs w:val="28"/>
          <w:lang w:eastAsia="en-US"/>
        </w:rPr>
      </w:pPr>
      <w:r w:rsidRPr="00197B8C">
        <w:rPr>
          <w:szCs w:val="28"/>
          <w:lang w:eastAsia="en-US"/>
        </w:rPr>
        <w:t xml:space="preserve">Factorii de risc nutriţionali, precum consumul excesiv de grăsimi saturate şi grăsimi </w:t>
      </w:r>
      <w:r w:rsidRPr="00197B8C">
        <w:rPr>
          <w:i/>
          <w:szCs w:val="28"/>
          <w:lang w:eastAsia="en-US"/>
        </w:rPr>
        <w:t xml:space="preserve">trans </w:t>
      </w:r>
      <w:r w:rsidRPr="00197B8C">
        <w:rPr>
          <w:szCs w:val="28"/>
          <w:lang w:eastAsia="en-US"/>
        </w:rPr>
        <w:t xml:space="preserve">(grăsimi solide formate în procesul chimic de hidrogenare parţială a uleiurilor lichide), care au proprietăţi aterogene mult mai pronunţate în comparaţie cu grăsimile saturate, zaharurile şi sarea şi consumul redus de fructe şi legume, sunt factorii de risc principali pentru bolile netransmisibile. Grăsimile </w:t>
      </w:r>
      <w:r w:rsidRPr="00197B8C">
        <w:rPr>
          <w:i/>
          <w:szCs w:val="28"/>
          <w:lang w:eastAsia="en-US"/>
        </w:rPr>
        <w:t>trans</w:t>
      </w:r>
      <w:r w:rsidRPr="00197B8C">
        <w:rPr>
          <w:szCs w:val="28"/>
          <w:lang w:eastAsia="en-US"/>
        </w:rPr>
        <w:t xml:space="preserve"> cresc riscul pentru bolile coronariene ale inimii, diabetul de tip 2 şi pentru decesele premature din cauza acestor boli. Obezitatea creşte riscul pentru boala ischemică a cordului şi diabetul de tip 2, consumul înalt de sare creşte riscul pentru bolile cerebrovasculare, iar consumul redus de fructe şi legume contribuie la dezvoltarea unor tipuri de cancer.</w:t>
      </w:r>
    </w:p>
    <w:p w:rsidR="00B6524B" w:rsidRPr="00197B8C" w:rsidRDefault="00B6524B" w:rsidP="00B6524B">
      <w:pPr>
        <w:pStyle w:val="a3"/>
        <w:ind w:firstLine="720"/>
        <w:jc w:val="both"/>
        <w:rPr>
          <w:szCs w:val="28"/>
          <w:lang w:eastAsia="en-US"/>
        </w:rPr>
      </w:pPr>
      <w:r w:rsidRPr="00197B8C">
        <w:rPr>
          <w:szCs w:val="28"/>
          <w:lang w:eastAsia="en-US"/>
        </w:rPr>
        <w:t xml:space="preserve">Circa două treimi din populaţia cu vârsta de peste 40 de ani aparent sănătoasă are valorile tensiunii arteriale şi ale colesterolului total mărite. Nutriţia şi alimentaţia proastă sunt responsabile de pierderea anulă a 50% din anii de viaţă sănătoasă la femei şi 35% – la bărbaţi. </w:t>
      </w:r>
    </w:p>
    <w:p w:rsidR="00B6524B" w:rsidRPr="00197B8C" w:rsidRDefault="00B6524B" w:rsidP="00B6524B">
      <w:pPr>
        <w:pStyle w:val="a3"/>
        <w:ind w:firstLine="720"/>
        <w:jc w:val="both"/>
        <w:rPr>
          <w:szCs w:val="28"/>
          <w:lang w:eastAsia="en-US"/>
        </w:rPr>
      </w:pPr>
      <w:r w:rsidRPr="00197B8C">
        <w:rPr>
          <w:szCs w:val="28"/>
          <w:lang w:eastAsia="en-US"/>
        </w:rPr>
        <w:t xml:space="preserve">Doar jumătate din copii cu vârsta până la 7 ani consumă zilnic fructe şi legume. Fructele şi legumele sunt mai accesibile pentru majoritatea grupurilor populaţionale, doar în sezon. </w:t>
      </w:r>
      <w:r w:rsidRPr="00197B8C">
        <w:rPr>
          <w:szCs w:val="28"/>
        </w:rPr>
        <w:t>Indicele preţurilor de consum la fructe, %, a crescut până la 747,1 în anul 2009 în comparaţie cu anul 1999.</w:t>
      </w:r>
      <w:r w:rsidRPr="00197B8C">
        <w:rPr>
          <w:szCs w:val="28"/>
          <w:lang w:eastAsia="en-US"/>
        </w:rPr>
        <w:t xml:space="preserve">    </w:t>
      </w:r>
    </w:p>
    <w:p w:rsidR="00B6524B" w:rsidRPr="00197B8C" w:rsidRDefault="00B6524B" w:rsidP="00B6524B">
      <w:pPr>
        <w:pStyle w:val="a3"/>
        <w:ind w:firstLine="720"/>
        <w:jc w:val="both"/>
        <w:rPr>
          <w:szCs w:val="28"/>
          <w:lang w:eastAsia="en-US"/>
        </w:rPr>
      </w:pPr>
      <w:r w:rsidRPr="00197B8C">
        <w:rPr>
          <w:szCs w:val="28"/>
          <w:lang w:eastAsia="en-US"/>
        </w:rPr>
        <w:t xml:space="preserve">Concomitent, cu povara bolilor condiţionate de supraconsum şi alimentaţia nesănătoasă, Republica Moldova se confruntă cu subnutriţia şi deficienţele nutriţionale, caracteristice ţărilor în curs de dezvoltare. 6% din copiii cu vârsta până la 5 ani au retard statural, condiţionat de insuficienţa cronică de energie, iar a cincea parte din copii suferă de anemie. De asemenea, circa o treime din femeile de vârstă fertilă şi peste 40% din femeile gravide suferă de anemie (Studiu de indicatori multipli în cuiburi, 2012). Unul din 3 copii suferă de deficienţa de iod. Jumătate din populaţia adultă este supraponderală sau obeză. </w:t>
      </w:r>
    </w:p>
    <w:p w:rsidR="00B6524B" w:rsidRPr="00197B8C" w:rsidRDefault="00B6524B" w:rsidP="00B6524B">
      <w:pPr>
        <w:pStyle w:val="a3"/>
        <w:ind w:firstLine="720"/>
        <w:jc w:val="both"/>
        <w:rPr>
          <w:szCs w:val="28"/>
          <w:lang w:eastAsia="en-US"/>
        </w:rPr>
      </w:pPr>
      <w:r w:rsidRPr="00197B8C">
        <w:rPr>
          <w:szCs w:val="28"/>
          <w:lang w:eastAsia="en-US"/>
        </w:rPr>
        <w:t xml:space="preserve">Securitatea alimentară este percepută doar ca acces al populaţiei la cantităţi suficiente de energie. Politicile agro-alimentare, inclusiv subvenţionarea în agricultură nu ţine cont de aspectele sănătăţii nutriţionale. </w:t>
      </w:r>
    </w:p>
    <w:p w:rsidR="00B6524B" w:rsidRPr="00197B8C" w:rsidRDefault="00B6524B" w:rsidP="00B6524B">
      <w:pPr>
        <w:pStyle w:val="a3"/>
        <w:ind w:firstLine="720"/>
        <w:jc w:val="both"/>
        <w:rPr>
          <w:szCs w:val="28"/>
          <w:lang w:eastAsia="en-US"/>
        </w:rPr>
      </w:pPr>
      <w:r w:rsidRPr="00197B8C">
        <w:rPr>
          <w:szCs w:val="28"/>
          <w:lang w:eastAsia="en-US"/>
        </w:rPr>
        <w:t xml:space="preserve">Legislaţia actuală privind etichetarea nu prevede informarea consumatorului despre conţinutul de sare, zahăr, grăsimi saturate şi grăsimi </w:t>
      </w:r>
      <w:r w:rsidRPr="00197B8C">
        <w:rPr>
          <w:i/>
          <w:szCs w:val="28"/>
          <w:lang w:eastAsia="en-US"/>
        </w:rPr>
        <w:t>trans</w:t>
      </w:r>
      <w:r w:rsidRPr="00197B8C">
        <w:rPr>
          <w:szCs w:val="28"/>
          <w:lang w:eastAsia="en-US"/>
        </w:rPr>
        <w:t xml:space="preserve"> în produsele alimentare. </w:t>
      </w:r>
    </w:p>
    <w:p w:rsidR="00B6524B" w:rsidRPr="00197B8C" w:rsidRDefault="00B6524B" w:rsidP="00B6524B">
      <w:pPr>
        <w:pStyle w:val="a3"/>
        <w:ind w:firstLine="720"/>
        <w:jc w:val="both"/>
        <w:rPr>
          <w:szCs w:val="28"/>
          <w:lang w:eastAsia="en-US"/>
        </w:rPr>
      </w:pPr>
      <w:r w:rsidRPr="00197B8C">
        <w:rPr>
          <w:szCs w:val="28"/>
          <w:lang w:eastAsia="en-US"/>
        </w:rPr>
        <w:lastRenderedPageBreak/>
        <w:t xml:space="preserve">Deşi există anumite date referitor la furnizarea de produse alimentare, aceste date sunt date estimative la nivel naţional şi nu pot fi folosite pentru estimarea caracterului adecvat al consumului alimentar referitor la toate nutrimentele esenţiale, inclusiv la energie, distribuţia între diferite grupuri populaţionale. Elementele existente referitor la statutul nutriţional sunt fragmentare. Studiile naţionale, care includ indicatori ai statutului nutriţional, sunt dependente de donaţiile externe, nu sunt planificate şi nu includ toţi indicatorii necesari, iar indicatorii nu pot fi dezagregaţi suficient pentru a aborda chestiunile legate de inegalitate. Fortificarea capacităţilor şi instituirea unui sistem funcţional adecvat şi durabil de supraveghere, monitorizare şi evaluare în domeniul sănătăţii nutriţionale, statutului nutriţional şi a determinantelor care le influenţează, precum şi a tendinţelor acestora în timp şi spaţiu este imperioasă pentru reducerea poverii bolilor netransmisibile şi a impactului lor social şi economic.  </w:t>
      </w:r>
    </w:p>
    <w:p w:rsidR="00B6524B" w:rsidRPr="00197B8C" w:rsidRDefault="00B6524B" w:rsidP="00197B8C">
      <w:pPr>
        <w:autoSpaceDE w:val="0"/>
        <w:autoSpaceDN w:val="0"/>
        <w:adjustRightInd w:val="0"/>
        <w:ind w:firstLine="708"/>
        <w:jc w:val="both"/>
        <w:rPr>
          <w:color w:val="000000"/>
          <w:sz w:val="28"/>
          <w:szCs w:val="28"/>
          <w:lang w:eastAsia="en-US"/>
        </w:rPr>
      </w:pPr>
      <w:r w:rsidRPr="00197B8C">
        <w:rPr>
          <w:color w:val="000000"/>
          <w:sz w:val="28"/>
          <w:szCs w:val="28"/>
          <w:lang w:eastAsia="en-US"/>
        </w:rPr>
        <w:t>În acest context, sunt necesare acţiuni susţinute şi durabile intersectoriale, care au la bază principiile „Sănătatea în toate politicile”, „Întregul Guvern” şi „Întreaga societate”, derulate coordonat în cadrul unui Program naţional în domeniul alimentaţiei şi nutriţiei pentru anii 2014-2020, care să asigure îmbunătăţirea situaţiei în domeniu.</w:t>
      </w:r>
    </w:p>
    <w:p w:rsidR="00B6524B" w:rsidRPr="00197B8C" w:rsidRDefault="00B6524B" w:rsidP="00197B8C">
      <w:pPr>
        <w:ind w:firstLine="708"/>
        <w:jc w:val="both"/>
        <w:rPr>
          <w:b/>
          <w:sz w:val="28"/>
          <w:szCs w:val="28"/>
        </w:rPr>
      </w:pPr>
      <w:r w:rsidRPr="00197B8C">
        <w:rPr>
          <w:b/>
          <w:sz w:val="28"/>
          <w:szCs w:val="28"/>
        </w:rPr>
        <w:t>2. Principalele prevederi ale proiectului, locul în sistemul de acte normative:</w:t>
      </w:r>
    </w:p>
    <w:p w:rsidR="00B6524B" w:rsidRPr="00197B8C" w:rsidRDefault="00B6524B" w:rsidP="00197B8C">
      <w:pPr>
        <w:pStyle w:val="1"/>
        <w:ind w:firstLine="720"/>
        <w:jc w:val="both"/>
        <w:rPr>
          <w:rFonts w:ascii="Times New Roman" w:hAnsi="Times New Roman"/>
          <w:bCs/>
          <w:sz w:val="28"/>
          <w:szCs w:val="28"/>
          <w:lang w:val="ro-RO"/>
        </w:rPr>
      </w:pPr>
      <w:r w:rsidRPr="00197B8C">
        <w:rPr>
          <w:rFonts w:ascii="Times New Roman" w:hAnsi="Times New Roman"/>
          <w:sz w:val="28"/>
          <w:szCs w:val="28"/>
          <w:lang w:val="ro-RO"/>
        </w:rPr>
        <w:t xml:space="preserve">Programul naţional în domeniul alimentaţiei şi nutriţiei pentru anii 2014-2020 a fost elaborat cu scopul reducerii poverii morbidităţii şi dizabilităţii prevenibile şi a mortalităţii premature evitabile din cauza bolilor netransmisibile legate de dietă, subnutriţie şi deficienţele nutriţionale. Programul a fost elaborat în temeiul </w:t>
      </w:r>
      <w:r w:rsidRPr="00197B8C">
        <w:rPr>
          <w:rFonts w:ascii="Times New Roman" w:hAnsi="Times New Roman"/>
          <w:bCs/>
          <w:sz w:val="28"/>
          <w:szCs w:val="28"/>
          <w:lang w:val="ro-RO"/>
        </w:rPr>
        <w:t xml:space="preserve">Legii nr.10 din 3 februarie 2009 privind supravegherea de stat a sănătăţii publice, Legii nr.78-XV din 18 martie 2004 privind produsele alimentare, Strategiei naţionale de prevenire şi control al bolilor netransmisibile pe anii 2012-2020, aprobată prin Hotărârea Parlamentului nr.82 din 12 aprilie 2012, Politicii Naţionale de Sănătate, aprobate prin Hotărârea Guvernului nr.886 din 6 august 2007. El constituie un instrument de implementare a recomandărilor Organizaţiei Mondiale a Sănătăţii (în continuare OMS), printre care Declaraţia de Viena privind Nutriţia şi bolile netransmisibile în contextul Sănătăţii 2020, adoptată de miniştrii sănătăţii din ţările regiunii Europene a OMS la conferinţa de la Viena din 4-5 iulie 2013. Declaraţia a stabilit cinci domenii prioritare de intervenţie: </w:t>
      </w:r>
    </w:p>
    <w:p w:rsidR="00B6524B" w:rsidRPr="00197B8C" w:rsidRDefault="00B6524B" w:rsidP="00B6524B">
      <w:pPr>
        <w:pStyle w:val="1"/>
        <w:numPr>
          <w:ilvl w:val="0"/>
          <w:numId w:val="3"/>
        </w:numPr>
        <w:ind w:left="0" w:firstLine="426"/>
        <w:jc w:val="both"/>
        <w:rPr>
          <w:rFonts w:ascii="Times New Roman" w:hAnsi="Times New Roman"/>
          <w:bCs/>
          <w:sz w:val="28"/>
          <w:szCs w:val="28"/>
          <w:lang w:val="ro-RO"/>
        </w:rPr>
      </w:pPr>
      <w:r w:rsidRPr="00197B8C">
        <w:rPr>
          <w:rFonts w:ascii="Times New Roman" w:hAnsi="Times New Roman"/>
          <w:bCs/>
          <w:sz w:val="28"/>
          <w:szCs w:val="28"/>
          <w:lang w:val="ro-RO"/>
        </w:rPr>
        <w:t>crearea unui mediu alimentar sănătos şi încurajarea activităţii fizice pentru toate grupurile populaţionale;</w:t>
      </w:r>
    </w:p>
    <w:p w:rsidR="00B6524B" w:rsidRPr="00197B8C" w:rsidRDefault="00B6524B" w:rsidP="00B6524B">
      <w:pPr>
        <w:pStyle w:val="1"/>
        <w:numPr>
          <w:ilvl w:val="0"/>
          <w:numId w:val="3"/>
        </w:numPr>
        <w:ind w:left="0" w:firstLine="426"/>
        <w:jc w:val="both"/>
        <w:rPr>
          <w:rFonts w:ascii="Times New Roman" w:hAnsi="Times New Roman"/>
          <w:bCs/>
          <w:sz w:val="28"/>
          <w:szCs w:val="28"/>
          <w:lang w:val="ro-RO"/>
        </w:rPr>
      </w:pPr>
      <w:r w:rsidRPr="00197B8C">
        <w:rPr>
          <w:rFonts w:ascii="Times New Roman" w:hAnsi="Times New Roman"/>
          <w:bCs/>
          <w:sz w:val="28"/>
          <w:szCs w:val="28"/>
          <w:lang w:val="ro-RO"/>
        </w:rPr>
        <w:t xml:space="preserve">promovarea avantajelor alimentaţiei sănătoase pe parcursul vieţii pentru sănătate, în special pentru grupurile vulnerabile; </w:t>
      </w:r>
    </w:p>
    <w:p w:rsidR="00B6524B" w:rsidRPr="00197B8C" w:rsidRDefault="00B6524B" w:rsidP="00B6524B">
      <w:pPr>
        <w:pStyle w:val="1"/>
        <w:numPr>
          <w:ilvl w:val="0"/>
          <w:numId w:val="3"/>
        </w:numPr>
        <w:ind w:left="0" w:firstLine="426"/>
        <w:jc w:val="both"/>
        <w:rPr>
          <w:rFonts w:ascii="Times New Roman" w:hAnsi="Times New Roman"/>
          <w:bCs/>
          <w:sz w:val="28"/>
          <w:szCs w:val="28"/>
          <w:lang w:val="ro-RO"/>
        </w:rPr>
      </w:pPr>
      <w:r w:rsidRPr="00197B8C">
        <w:rPr>
          <w:rFonts w:ascii="Times New Roman" w:hAnsi="Times New Roman"/>
          <w:bCs/>
          <w:sz w:val="28"/>
          <w:szCs w:val="28"/>
          <w:lang w:val="ro-RO"/>
        </w:rPr>
        <w:t xml:space="preserve">fortificarea sistemului de sănătate în vederea promovării sănătăţii şi asigurării prestării serviciilor în domeniul prevenirii bolilor netransmisibile; </w:t>
      </w:r>
    </w:p>
    <w:p w:rsidR="00B6524B" w:rsidRPr="00197B8C" w:rsidRDefault="00B6524B" w:rsidP="00B6524B">
      <w:pPr>
        <w:pStyle w:val="1"/>
        <w:numPr>
          <w:ilvl w:val="0"/>
          <w:numId w:val="3"/>
        </w:numPr>
        <w:ind w:left="0" w:firstLine="426"/>
        <w:jc w:val="both"/>
        <w:rPr>
          <w:rFonts w:ascii="Times New Roman" w:hAnsi="Times New Roman"/>
          <w:bCs/>
          <w:sz w:val="28"/>
          <w:szCs w:val="28"/>
          <w:lang w:val="ro-RO"/>
        </w:rPr>
      </w:pPr>
      <w:r w:rsidRPr="00197B8C">
        <w:rPr>
          <w:rFonts w:ascii="Times New Roman" w:hAnsi="Times New Roman"/>
          <w:bCs/>
          <w:sz w:val="28"/>
          <w:szCs w:val="28"/>
          <w:lang w:val="ro-RO"/>
        </w:rPr>
        <w:t>susţinerea supravegherii, monitorizării, evaluării şi cercetării în domeniul statutului nutriţional şi comportamentului alimentar;</w:t>
      </w:r>
    </w:p>
    <w:p w:rsidR="00B6524B" w:rsidRPr="00197B8C" w:rsidRDefault="00B6524B" w:rsidP="00B6524B">
      <w:pPr>
        <w:pStyle w:val="1"/>
        <w:numPr>
          <w:ilvl w:val="0"/>
          <w:numId w:val="3"/>
        </w:numPr>
        <w:ind w:left="0" w:firstLine="426"/>
        <w:jc w:val="both"/>
        <w:rPr>
          <w:rFonts w:ascii="Times New Roman" w:hAnsi="Times New Roman"/>
          <w:sz w:val="28"/>
          <w:szCs w:val="28"/>
          <w:lang w:val="ro-RO"/>
        </w:rPr>
      </w:pPr>
      <w:r w:rsidRPr="00197B8C">
        <w:rPr>
          <w:rFonts w:ascii="Times New Roman" w:hAnsi="Times New Roman"/>
          <w:bCs/>
          <w:sz w:val="28"/>
          <w:szCs w:val="28"/>
          <w:lang w:val="ro-RO"/>
        </w:rPr>
        <w:t>fortificarea guvernării, alianţelor şi a reţelelor şi împuternicirea comunităţilor să se angajeze în eforturile de promovare a sănătăţii şi prevenire a bolilor.</w:t>
      </w:r>
    </w:p>
    <w:p w:rsidR="00B6524B" w:rsidRPr="00197B8C" w:rsidRDefault="00B6524B" w:rsidP="00B6524B">
      <w:pPr>
        <w:pStyle w:val="1"/>
        <w:ind w:firstLine="720"/>
        <w:jc w:val="both"/>
        <w:rPr>
          <w:rFonts w:ascii="Times New Roman" w:hAnsi="Times New Roman"/>
          <w:sz w:val="28"/>
          <w:szCs w:val="28"/>
          <w:lang w:val="ro-RO"/>
        </w:rPr>
      </w:pPr>
      <w:r w:rsidRPr="00197B8C">
        <w:rPr>
          <w:rFonts w:ascii="Times New Roman" w:hAnsi="Times New Roman"/>
          <w:sz w:val="28"/>
          <w:szCs w:val="28"/>
          <w:lang w:val="ro-RO"/>
        </w:rPr>
        <w:lastRenderedPageBreak/>
        <w:t xml:space="preserve">Programul constă din 10 capitole, care includ: introducere, identificarea problemei cu 2 secţiuni (contextul internaţional şi regional şi contextul naţional); scopul şi obiectivele; acţiunile ce urmează a fi întreprinse pentru implementarea programului, grupate 7 direcţii de acţiune (grupate în 4 secţiuni); rezultatele preconizate; indicatorii de progres şi performanţă; estimarea generală a costurilor; riscurile de implementare, procedurile de monitorizare, evaluare şi raportare; autorităţile responsabile de implementare. Programul este însoţit de planul de  acţiuni pentru implementarea primei etape, anii 2014-2016. </w:t>
      </w:r>
    </w:p>
    <w:p w:rsidR="00B6524B" w:rsidRPr="00197B8C" w:rsidRDefault="00B6524B" w:rsidP="00B6524B">
      <w:pPr>
        <w:ind w:firstLine="720"/>
        <w:jc w:val="both"/>
        <w:rPr>
          <w:b/>
          <w:color w:val="000000"/>
          <w:sz w:val="28"/>
          <w:szCs w:val="28"/>
        </w:rPr>
      </w:pPr>
      <w:r w:rsidRPr="00197B8C">
        <w:rPr>
          <w:b/>
          <w:color w:val="000000"/>
          <w:sz w:val="28"/>
          <w:szCs w:val="28"/>
        </w:rPr>
        <w:t>3. Obiectivele Programului sunt următoarele:</w:t>
      </w:r>
    </w:p>
    <w:p w:rsidR="00B6524B" w:rsidRPr="00197B8C" w:rsidRDefault="00B6524B" w:rsidP="00B6524B">
      <w:pPr>
        <w:numPr>
          <w:ilvl w:val="0"/>
          <w:numId w:val="1"/>
        </w:numPr>
        <w:tabs>
          <w:tab w:val="clear" w:pos="900"/>
          <w:tab w:val="num" w:pos="0"/>
          <w:tab w:val="left" w:pos="1122"/>
        </w:tabs>
        <w:ind w:left="0" w:firstLine="709"/>
        <w:jc w:val="both"/>
        <w:rPr>
          <w:sz w:val="28"/>
          <w:szCs w:val="28"/>
        </w:rPr>
      </w:pPr>
      <w:r w:rsidRPr="00197B8C">
        <w:rPr>
          <w:sz w:val="28"/>
          <w:szCs w:val="28"/>
        </w:rPr>
        <w:t>instituirea, către anul 2016, a unei guvernări adecvate în domeniul sănătăţii nutriţionale şi asigurarea funcţionării durabile a acesteia;</w:t>
      </w:r>
    </w:p>
    <w:p w:rsidR="00B6524B" w:rsidRPr="00197B8C" w:rsidRDefault="00B6524B" w:rsidP="00B6524B">
      <w:pPr>
        <w:numPr>
          <w:ilvl w:val="0"/>
          <w:numId w:val="1"/>
        </w:numPr>
        <w:tabs>
          <w:tab w:val="clear" w:pos="900"/>
          <w:tab w:val="num" w:pos="0"/>
          <w:tab w:val="left" w:pos="1122"/>
        </w:tabs>
        <w:ind w:left="0" w:firstLine="709"/>
        <w:jc w:val="both"/>
        <w:rPr>
          <w:sz w:val="28"/>
          <w:szCs w:val="28"/>
        </w:rPr>
      </w:pPr>
      <w:r w:rsidRPr="00197B8C">
        <w:rPr>
          <w:sz w:val="28"/>
          <w:szCs w:val="28"/>
        </w:rPr>
        <w:t xml:space="preserve">creşterea, către anul 2020, a proporţiei alăptării exclusive în primele 6 luni până la </w:t>
      </w:r>
      <w:r w:rsidR="00197B8C" w:rsidRPr="00197B8C">
        <w:rPr>
          <w:sz w:val="28"/>
          <w:szCs w:val="28"/>
        </w:rPr>
        <w:t>6</w:t>
      </w:r>
      <w:r w:rsidRPr="00197B8C">
        <w:rPr>
          <w:sz w:val="28"/>
          <w:szCs w:val="28"/>
        </w:rPr>
        <w:t xml:space="preserve">0% şi </w:t>
      </w:r>
      <w:r w:rsidR="00197B8C" w:rsidRPr="00197B8C">
        <w:rPr>
          <w:sz w:val="28"/>
          <w:szCs w:val="28"/>
        </w:rPr>
        <w:t xml:space="preserve">medianei </w:t>
      </w:r>
      <w:r w:rsidRPr="00197B8C">
        <w:rPr>
          <w:sz w:val="28"/>
          <w:szCs w:val="28"/>
        </w:rPr>
        <w:t>duratei alăptării până la cel puţin 4 luni;</w:t>
      </w:r>
    </w:p>
    <w:p w:rsidR="00B6524B" w:rsidRPr="00197B8C" w:rsidRDefault="00B6524B" w:rsidP="00B6524B">
      <w:pPr>
        <w:numPr>
          <w:ilvl w:val="0"/>
          <w:numId w:val="1"/>
        </w:numPr>
        <w:tabs>
          <w:tab w:val="clear" w:pos="900"/>
          <w:tab w:val="num" w:pos="0"/>
          <w:tab w:val="left" w:pos="1122"/>
        </w:tabs>
        <w:ind w:left="0" w:firstLine="709"/>
        <w:jc w:val="both"/>
        <w:rPr>
          <w:sz w:val="28"/>
          <w:szCs w:val="28"/>
        </w:rPr>
      </w:pPr>
      <w:r w:rsidRPr="00197B8C">
        <w:rPr>
          <w:sz w:val="28"/>
          <w:szCs w:val="28"/>
        </w:rPr>
        <w:t>reducerea expunerii la factorii de risc determinaţi de inegalitate şi nutriţionali modificabili pentru bolile netransmisibile, subnutriţie şi deficienţele de micronutrimente prin crearea, către anul 2020, a mediului care promovează sănătatea nutriţională în 80% din instituţiile de învăţământ, 70% din spitale şi 30% din locurile de muncă;</w:t>
      </w:r>
    </w:p>
    <w:p w:rsidR="00B6524B" w:rsidRPr="00197B8C" w:rsidRDefault="00B6524B" w:rsidP="00B6524B">
      <w:pPr>
        <w:numPr>
          <w:ilvl w:val="0"/>
          <w:numId w:val="1"/>
        </w:numPr>
        <w:tabs>
          <w:tab w:val="clear" w:pos="900"/>
          <w:tab w:val="num" w:pos="0"/>
          <w:tab w:val="left" w:pos="1122"/>
        </w:tabs>
        <w:ind w:left="0" w:firstLine="709"/>
        <w:jc w:val="both"/>
        <w:rPr>
          <w:sz w:val="28"/>
          <w:szCs w:val="28"/>
        </w:rPr>
      </w:pPr>
      <w:r w:rsidRPr="00197B8C">
        <w:rPr>
          <w:sz w:val="28"/>
          <w:szCs w:val="28"/>
        </w:rPr>
        <w:t>reducerea, către anul 2020 în comparaţie cu anul 2014:</w:t>
      </w:r>
    </w:p>
    <w:p w:rsidR="00B6524B" w:rsidRPr="00197B8C" w:rsidRDefault="00B6524B" w:rsidP="00B6524B">
      <w:pPr>
        <w:pStyle w:val="a5"/>
        <w:numPr>
          <w:ilvl w:val="0"/>
          <w:numId w:val="2"/>
        </w:numPr>
        <w:tabs>
          <w:tab w:val="left" w:pos="1122"/>
        </w:tabs>
        <w:jc w:val="both"/>
        <w:rPr>
          <w:sz w:val="28"/>
          <w:szCs w:val="28"/>
          <w:lang w:val="ro-RO"/>
        </w:rPr>
      </w:pPr>
      <w:r w:rsidRPr="00197B8C">
        <w:rPr>
          <w:sz w:val="28"/>
          <w:szCs w:val="28"/>
          <w:lang w:val="ro-RO"/>
        </w:rPr>
        <w:t>consumului de grăsimi saturate şi a zaharurilor adăugate cu 3% şi 5%, respectiv, ca fracţie din consumul total de energie;</w:t>
      </w:r>
    </w:p>
    <w:p w:rsidR="00B6524B" w:rsidRPr="00197B8C" w:rsidRDefault="00B6524B" w:rsidP="00B6524B">
      <w:pPr>
        <w:pStyle w:val="a5"/>
        <w:numPr>
          <w:ilvl w:val="0"/>
          <w:numId w:val="2"/>
        </w:numPr>
        <w:tabs>
          <w:tab w:val="left" w:pos="1122"/>
        </w:tabs>
        <w:jc w:val="both"/>
        <w:rPr>
          <w:sz w:val="28"/>
          <w:szCs w:val="28"/>
          <w:lang w:val="ro-RO"/>
        </w:rPr>
      </w:pPr>
      <w:r w:rsidRPr="00197B8C">
        <w:rPr>
          <w:sz w:val="28"/>
          <w:szCs w:val="28"/>
          <w:lang w:val="ro-RO"/>
        </w:rPr>
        <w:t xml:space="preserve">consumului de acizi graşi </w:t>
      </w:r>
      <w:r w:rsidRPr="00197B8C">
        <w:rPr>
          <w:i/>
          <w:sz w:val="28"/>
          <w:szCs w:val="28"/>
          <w:lang w:val="ro-RO"/>
        </w:rPr>
        <w:t>trans</w:t>
      </w:r>
      <w:r w:rsidRPr="00197B8C">
        <w:rPr>
          <w:sz w:val="28"/>
          <w:szCs w:val="28"/>
          <w:lang w:val="ro-RO"/>
        </w:rPr>
        <w:t xml:space="preserve"> la mai puţin de 1% ca fracţie din consumul total de energie;</w:t>
      </w:r>
    </w:p>
    <w:p w:rsidR="00B6524B" w:rsidRPr="00197B8C" w:rsidRDefault="00B6524B" w:rsidP="00B6524B">
      <w:pPr>
        <w:pStyle w:val="a5"/>
        <w:numPr>
          <w:ilvl w:val="0"/>
          <w:numId w:val="2"/>
        </w:numPr>
        <w:tabs>
          <w:tab w:val="left" w:pos="1122"/>
        </w:tabs>
        <w:jc w:val="both"/>
        <w:rPr>
          <w:sz w:val="28"/>
          <w:szCs w:val="28"/>
          <w:lang w:val="ro-RO"/>
        </w:rPr>
      </w:pPr>
      <w:r w:rsidRPr="00197B8C">
        <w:rPr>
          <w:sz w:val="28"/>
          <w:szCs w:val="28"/>
          <w:lang w:val="ro-RO"/>
        </w:rPr>
        <w:t>consumului de sodiu/sare cu 30% (mai puţin de 8 g/zi);</w:t>
      </w:r>
    </w:p>
    <w:p w:rsidR="00B6524B" w:rsidRPr="00197B8C" w:rsidRDefault="00B6524B" w:rsidP="00B6524B">
      <w:pPr>
        <w:pStyle w:val="a5"/>
        <w:numPr>
          <w:ilvl w:val="0"/>
          <w:numId w:val="2"/>
        </w:numPr>
        <w:tabs>
          <w:tab w:val="left" w:pos="1122"/>
        </w:tabs>
        <w:jc w:val="both"/>
        <w:rPr>
          <w:sz w:val="28"/>
          <w:szCs w:val="28"/>
          <w:lang w:val="ro-RO"/>
        </w:rPr>
      </w:pPr>
      <w:r w:rsidRPr="00197B8C">
        <w:rPr>
          <w:sz w:val="28"/>
          <w:szCs w:val="28"/>
          <w:lang w:val="ro-RO"/>
        </w:rPr>
        <w:t xml:space="preserve">zero creştere în prevalenţa obezităţii la copii şi la adulţi; </w:t>
      </w:r>
    </w:p>
    <w:p w:rsidR="00B6524B" w:rsidRPr="00197B8C" w:rsidRDefault="00B6524B" w:rsidP="00B6524B">
      <w:pPr>
        <w:numPr>
          <w:ilvl w:val="0"/>
          <w:numId w:val="1"/>
        </w:numPr>
        <w:tabs>
          <w:tab w:val="clear" w:pos="900"/>
          <w:tab w:val="num" w:pos="0"/>
          <w:tab w:val="left" w:pos="1122"/>
        </w:tabs>
        <w:ind w:left="0" w:firstLine="709"/>
        <w:jc w:val="both"/>
        <w:rPr>
          <w:sz w:val="28"/>
          <w:szCs w:val="28"/>
        </w:rPr>
      </w:pPr>
      <w:r w:rsidRPr="00197B8C">
        <w:rPr>
          <w:sz w:val="28"/>
          <w:szCs w:val="28"/>
        </w:rPr>
        <w:t>reorientarea sistemului de sănătate în vederea abordării prevenirii şi controlului bolilor netransmisibile legate de dietă, subnutriţiei şi a deficienţelor de micronutrimente prin servicii de asistenţă medicală primară orientate spre populaţie şi acoperire universală;</w:t>
      </w:r>
    </w:p>
    <w:p w:rsidR="00B6524B" w:rsidRPr="00197B8C" w:rsidRDefault="00B6524B" w:rsidP="00B6524B">
      <w:pPr>
        <w:numPr>
          <w:ilvl w:val="0"/>
          <w:numId w:val="1"/>
        </w:numPr>
        <w:tabs>
          <w:tab w:val="clear" w:pos="900"/>
          <w:tab w:val="num" w:pos="0"/>
          <w:tab w:val="left" w:pos="1122"/>
        </w:tabs>
        <w:ind w:left="0" w:firstLine="709"/>
        <w:jc w:val="both"/>
        <w:rPr>
          <w:sz w:val="28"/>
          <w:szCs w:val="28"/>
        </w:rPr>
      </w:pPr>
      <w:r w:rsidRPr="00197B8C">
        <w:rPr>
          <w:sz w:val="28"/>
          <w:szCs w:val="28"/>
        </w:rPr>
        <w:t>creşterea, până în anul 2020, a nivelului de cunoştinţe al populaţiei în domeniul alimentaţiei sănătoase până la cel puţin 50%;</w:t>
      </w:r>
    </w:p>
    <w:p w:rsidR="00B6524B" w:rsidRPr="00197B8C" w:rsidRDefault="00B6524B" w:rsidP="00B6524B">
      <w:pPr>
        <w:numPr>
          <w:ilvl w:val="0"/>
          <w:numId w:val="1"/>
        </w:numPr>
        <w:tabs>
          <w:tab w:val="clear" w:pos="900"/>
          <w:tab w:val="num" w:pos="0"/>
          <w:tab w:val="left" w:pos="1122"/>
        </w:tabs>
        <w:ind w:left="0" w:firstLine="709"/>
        <w:jc w:val="both"/>
        <w:rPr>
          <w:sz w:val="28"/>
          <w:szCs w:val="28"/>
        </w:rPr>
      </w:pPr>
      <w:r w:rsidRPr="00197B8C">
        <w:rPr>
          <w:sz w:val="28"/>
          <w:szCs w:val="28"/>
        </w:rPr>
        <w:t xml:space="preserve">fortificarea supravegherii, monitorizării şi evaluării şi cercetării în domeniul sănătăţii nutriţionale, statutului nutriţional şi a determinantelor care le influenţează, precum şi a tendinţelor lor. </w:t>
      </w:r>
    </w:p>
    <w:p w:rsidR="00B6524B" w:rsidRPr="00197B8C" w:rsidRDefault="00B6524B" w:rsidP="00197B8C">
      <w:pPr>
        <w:ind w:firstLine="708"/>
        <w:jc w:val="both"/>
        <w:rPr>
          <w:color w:val="000000"/>
          <w:sz w:val="28"/>
          <w:szCs w:val="28"/>
          <w:lang w:eastAsia="en-US"/>
        </w:rPr>
      </w:pPr>
      <w:r w:rsidRPr="00197B8C">
        <w:rPr>
          <w:color w:val="000000"/>
          <w:sz w:val="28"/>
          <w:szCs w:val="28"/>
          <w:lang w:eastAsia="en-US"/>
        </w:rPr>
        <w:t>Termenul de implementare a Programului este stabilit pentru anii 2014 – 2020. Ministerul Sănătăţii în colaborare cu alte autorităţi şi instituţii interesate va asigura monitorizarea Programului raportarea anuală către Guvern. Pentru implementarea eficientă a Programului este prevăzută instituirea unui Consiliu consultativ intersectorial.</w:t>
      </w:r>
    </w:p>
    <w:p w:rsidR="00B6524B" w:rsidRPr="00197B8C" w:rsidRDefault="00B6524B" w:rsidP="00197B8C">
      <w:pPr>
        <w:ind w:firstLine="709"/>
        <w:jc w:val="both"/>
        <w:rPr>
          <w:b/>
          <w:sz w:val="28"/>
          <w:szCs w:val="28"/>
        </w:rPr>
      </w:pPr>
      <w:r w:rsidRPr="00197B8C">
        <w:rPr>
          <w:b/>
          <w:sz w:val="28"/>
          <w:szCs w:val="28"/>
        </w:rPr>
        <w:t>3. Argumentarea şi gradul compatibilităţii Programului cu legislaţia comunitară.</w:t>
      </w:r>
    </w:p>
    <w:p w:rsidR="00B6524B" w:rsidRPr="00197B8C" w:rsidRDefault="00B6524B" w:rsidP="00197B8C">
      <w:pPr>
        <w:autoSpaceDE w:val="0"/>
        <w:autoSpaceDN w:val="0"/>
        <w:adjustRightInd w:val="0"/>
        <w:ind w:firstLine="709"/>
        <w:jc w:val="both"/>
        <w:rPr>
          <w:sz w:val="28"/>
          <w:szCs w:val="28"/>
        </w:rPr>
      </w:pPr>
      <w:r w:rsidRPr="00197B8C">
        <w:rPr>
          <w:sz w:val="28"/>
          <w:szCs w:val="28"/>
        </w:rPr>
        <w:t xml:space="preserve">Aprobarea Programului va avea un impact pozitiv asupra sănătăţii publice, calităţii vieţii şi speranţei de viaţă, prin reducerea poverii morbidităţii şi a dizabilităţii prevenibile şi a mortalităţii premature evitabile din cauza bolilor netransmisibile legate de dietă, subnutriţie şi deficienţele nutriţionale prin reducerea impactului factorilor de risc nutriţionali. </w:t>
      </w:r>
    </w:p>
    <w:p w:rsidR="00B6524B" w:rsidRPr="00197B8C" w:rsidRDefault="00B6524B" w:rsidP="00B6524B">
      <w:pPr>
        <w:autoSpaceDE w:val="0"/>
        <w:autoSpaceDN w:val="0"/>
        <w:adjustRightInd w:val="0"/>
        <w:ind w:firstLine="709"/>
        <w:jc w:val="both"/>
        <w:rPr>
          <w:rFonts w:eastAsiaTheme="minorHAnsi"/>
          <w:sz w:val="28"/>
          <w:szCs w:val="28"/>
          <w:lang w:eastAsia="en-US"/>
        </w:rPr>
      </w:pPr>
      <w:r w:rsidRPr="00197B8C">
        <w:rPr>
          <w:bCs/>
          <w:sz w:val="28"/>
          <w:szCs w:val="28"/>
        </w:rPr>
        <w:lastRenderedPageBreak/>
        <w:t xml:space="preserve">Programul vine să contribuie şi la implementarea </w:t>
      </w:r>
      <w:r w:rsidRPr="00197B8C">
        <w:rPr>
          <w:bCs/>
          <w:i/>
          <w:sz w:val="28"/>
          <w:szCs w:val="28"/>
        </w:rPr>
        <w:t>aquis-ului</w:t>
      </w:r>
      <w:r w:rsidRPr="00197B8C">
        <w:rPr>
          <w:bCs/>
          <w:sz w:val="28"/>
          <w:szCs w:val="28"/>
        </w:rPr>
        <w:t xml:space="preserve"> comunitar la acest capitol. </w:t>
      </w:r>
      <w:r w:rsidRPr="00197B8C">
        <w:rPr>
          <w:sz w:val="28"/>
          <w:szCs w:val="28"/>
        </w:rPr>
        <w:t xml:space="preserve">Comisia Europeană a adoptat în anul 2007 Cartea albă privind Strategia Europeană în domeniul nutriţiei, supragreutăţii şi obezităţii şi a problemelor de sănătate legate de acestea </w:t>
      </w:r>
      <w:r w:rsidRPr="00197B8C">
        <w:rPr>
          <w:rFonts w:eastAsiaTheme="minorHAnsi"/>
          <w:sz w:val="28"/>
          <w:szCs w:val="28"/>
          <w:lang w:eastAsia="en-US"/>
        </w:rPr>
        <w:t>COM(2007) 279 final,</w:t>
      </w:r>
      <w:r w:rsidRPr="00197B8C">
        <w:rPr>
          <w:rFonts w:eastAsiaTheme="minorHAnsi"/>
          <w:sz w:val="28"/>
          <w:szCs w:val="28"/>
        </w:rPr>
        <w:t xml:space="preserve"> cu scopul </w:t>
      </w:r>
      <w:r w:rsidRPr="00197B8C">
        <w:rPr>
          <w:rFonts w:eastAsiaTheme="minorHAnsi"/>
          <w:sz w:val="28"/>
          <w:szCs w:val="28"/>
          <w:lang w:eastAsia="en-US"/>
        </w:rPr>
        <w:t xml:space="preserve"> stabilir</w:t>
      </w:r>
      <w:r w:rsidRPr="00197B8C">
        <w:rPr>
          <w:rFonts w:eastAsiaTheme="minorHAnsi"/>
          <w:sz w:val="28"/>
          <w:szCs w:val="28"/>
        </w:rPr>
        <w:t>ii</w:t>
      </w:r>
      <w:r w:rsidRPr="00197B8C">
        <w:rPr>
          <w:rFonts w:eastAsiaTheme="minorHAnsi"/>
          <w:sz w:val="28"/>
          <w:szCs w:val="28"/>
          <w:lang w:eastAsia="en-US"/>
        </w:rPr>
        <w:t xml:space="preserve"> unei abordări integrate la nivelul UE</w:t>
      </w:r>
      <w:r w:rsidRPr="00197B8C">
        <w:rPr>
          <w:rFonts w:eastAsiaTheme="minorHAnsi"/>
          <w:sz w:val="28"/>
          <w:szCs w:val="28"/>
        </w:rPr>
        <w:t>,</w:t>
      </w:r>
      <w:r w:rsidRPr="00197B8C">
        <w:rPr>
          <w:rFonts w:eastAsiaTheme="minorHAnsi"/>
          <w:sz w:val="28"/>
          <w:szCs w:val="28"/>
          <w:lang w:eastAsia="en-US"/>
        </w:rPr>
        <w:t xml:space="preserve"> care să contribuie la reducerea sănătăţii bolnave din cauza nutriţiei precare, supragreutăţii şi obezităţii. Strategia are la bază iniţiativele Comisiei, în special Platforma UE pentru acţiuni în domeniul dietei, activităţii fizice şi Cărţii verzi </w:t>
      </w:r>
      <w:r w:rsidRPr="00197B8C">
        <w:rPr>
          <w:rFonts w:eastAsiaTheme="minorHAnsi"/>
          <w:sz w:val="28"/>
          <w:szCs w:val="28"/>
        </w:rPr>
        <w:t>„P</w:t>
      </w:r>
      <w:r w:rsidRPr="00197B8C">
        <w:rPr>
          <w:rFonts w:eastAsiaTheme="minorHAnsi"/>
          <w:sz w:val="28"/>
          <w:szCs w:val="28"/>
          <w:lang w:eastAsia="en-US"/>
        </w:rPr>
        <w:t>romovarea dietei sănătoase şi a activităţii fizice: Dimensiunea Europeană de prevenire a supragreutăţii, obezităţii şi bolilor cronice”.</w:t>
      </w:r>
    </w:p>
    <w:p w:rsidR="00B6524B" w:rsidRPr="00197B8C" w:rsidRDefault="00B6524B" w:rsidP="00197B8C">
      <w:pPr>
        <w:autoSpaceDE w:val="0"/>
        <w:autoSpaceDN w:val="0"/>
        <w:adjustRightInd w:val="0"/>
        <w:ind w:firstLine="709"/>
        <w:jc w:val="both"/>
        <w:rPr>
          <w:sz w:val="28"/>
          <w:szCs w:val="28"/>
        </w:rPr>
      </w:pPr>
      <w:r w:rsidRPr="00197B8C">
        <w:rPr>
          <w:sz w:val="28"/>
          <w:szCs w:val="28"/>
        </w:rPr>
        <w:t>Proiectul hotărârii Guvernului cu privire la aprobarea Programului naţional în domeniul alimentaţiei şi nutriţiei pentru anii 2014-2020 a fost elaborat în conformitate cu Hotărârea Guvernului nr. 33  din  11.01.2007 cu privire la regulile de elaborare şi cerinţele unificate faţă de documentele  de politici</w:t>
      </w:r>
      <w:r w:rsidR="00197B8C">
        <w:rPr>
          <w:sz w:val="28"/>
          <w:szCs w:val="28"/>
        </w:rPr>
        <w:t xml:space="preserve"> şi definitivat în baza propunerilor autorităţilor administraţiei publice şi a altor părţi interesate</w:t>
      </w:r>
      <w:r w:rsidRPr="00197B8C">
        <w:rPr>
          <w:sz w:val="28"/>
          <w:szCs w:val="28"/>
        </w:rPr>
        <w:t>.</w:t>
      </w:r>
    </w:p>
    <w:p w:rsidR="00B6524B" w:rsidRPr="00197B8C" w:rsidRDefault="00B6524B" w:rsidP="00197B8C">
      <w:pPr>
        <w:ind w:firstLine="708"/>
        <w:jc w:val="both"/>
        <w:rPr>
          <w:b/>
          <w:sz w:val="28"/>
          <w:szCs w:val="28"/>
        </w:rPr>
      </w:pPr>
      <w:r w:rsidRPr="00197B8C">
        <w:rPr>
          <w:b/>
          <w:sz w:val="28"/>
          <w:szCs w:val="28"/>
        </w:rPr>
        <w:t>4. Fundamentarea economico-financiară.</w:t>
      </w:r>
    </w:p>
    <w:p w:rsidR="00B6524B" w:rsidRPr="00197B8C" w:rsidRDefault="00B6524B" w:rsidP="00197B8C">
      <w:pPr>
        <w:pStyle w:val="2"/>
        <w:tabs>
          <w:tab w:val="left" w:pos="240"/>
        </w:tabs>
        <w:jc w:val="both"/>
        <w:rPr>
          <w:sz w:val="28"/>
          <w:szCs w:val="28"/>
        </w:rPr>
      </w:pPr>
      <w:r w:rsidRPr="00197B8C">
        <w:rPr>
          <w:b w:val="0"/>
          <w:sz w:val="28"/>
          <w:szCs w:val="28"/>
        </w:rPr>
        <w:tab/>
      </w:r>
      <w:r w:rsidRPr="00197B8C">
        <w:rPr>
          <w:b w:val="0"/>
          <w:sz w:val="28"/>
          <w:szCs w:val="28"/>
        </w:rPr>
        <w:tab/>
        <w:t>Implementarea acestui Program presupune utilizarea eficientă a mijloacelor financiare disponibile, atât din contul mijloacelor bugetului de stat şi mijloacelor fondurilor asigurării obligatorii de asistenţă medicală, cât şi mijloacelor organizaţiilor internaţionale, non guvernamentale ş.a.</w:t>
      </w:r>
    </w:p>
    <w:p w:rsidR="00B6524B" w:rsidRPr="00197B8C" w:rsidRDefault="00B6524B" w:rsidP="00197B8C">
      <w:pPr>
        <w:ind w:firstLine="708"/>
        <w:jc w:val="both"/>
        <w:rPr>
          <w:b/>
          <w:sz w:val="28"/>
          <w:szCs w:val="28"/>
        </w:rPr>
      </w:pPr>
      <w:r w:rsidRPr="00197B8C">
        <w:rPr>
          <w:b/>
          <w:sz w:val="28"/>
          <w:szCs w:val="28"/>
        </w:rPr>
        <w:t>5. Elaboratorii proiectului.</w:t>
      </w:r>
    </w:p>
    <w:p w:rsidR="00B6524B" w:rsidRPr="00197B8C" w:rsidRDefault="00B6524B" w:rsidP="00197B8C">
      <w:pPr>
        <w:ind w:firstLine="708"/>
        <w:jc w:val="both"/>
        <w:rPr>
          <w:sz w:val="28"/>
          <w:szCs w:val="28"/>
          <w:highlight w:val="yellow"/>
        </w:rPr>
      </w:pPr>
      <w:r w:rsidRPr="00197B8C">
        <w:rPr>
          <w:sz w:val="28"/>
          <w:szCs w:val="28"/>
        </w:rPr>
        <w:t xml:space="preserve">La elaborarea proiectului hotărârii Guvernului „Cu privire la aprobarea </w:t>
      </w:r>
      <w:r w:rsidRPr="00197B8C">
        <w:rPr>
          <w:color w:val="000000"/>
          <w:sz w:val="28"/>
          <w:szCs w:val="28"/>
          <w:lang w:eastAsia="en-US"/>
        </w:rPr>
        <w:t>Program</w:t>
      </w:r>
      <w:r w:rsidRPr="00197B8C">
        <w:rPr>
          <w:sz w:val="28"/>
          <w:szCs w:val="28"/>
        </w:rPr>
        <w:t>ul</w:t>
      </w:r>
      <w:r w:rsidRPr="00197B8C">
        <w:rPr>
          <w:color w:val="000000"/>
          <w:sz w:val="28"/>
          <w:szCs w:val="28"/>
          <w:lang w:eastAsia="en-US"/>
        </w:rPr>
        <w:t xml:space="preserve"> Naţional de prevenire şi reducere a mortalităţii şi morbidităţii copiilor prin malformaţii congenitale şi patologii ereditare în Republica Moldova pe anii 2013-2017</w:t>
      </w:r>
      <w:r w:rsidRPr="00197B8C">
        <w:rPr>
          <w:sz w:val="28"/>
          <w:szCs w:val="28"/>
        </w:rPr>
        <w:t xml:space="preserve">” a participat grupul intersectorial de lucru instituit de Ministerului Sănătăţii. Anteproiectul a fost elaborat de specialiştii Centrului Naţional de Sănătate Publică. </w:t>
      </w:r>
    </w:p>
    <w:p w:rsidR="00B6524B" w:rsidRPr="00197B8C" w:rsidRDefault="00B6524B" w:rsidP="00B6524B">
      <w:pPr>
        <w:ind w:firstLine="720"/>
        <w:jc w:val="both"/>
        <w:rPr>
          <w:b/>
          <w:sz w:val="28"/>
          <w:szCs w:val="28"/>
        </w:rPr>
      </w:pPr>
    </w:p>
    <w:p w:rsidR="00B6524B" w:rsidRPr="00197B8C" w:rsidRDefault="00B6524B" w:rsidP="00B6524B">
      <w:pPr>
        <w:ind w:firstLine="720"/>
        <w:jc w:val="both"/>
        <w:rPr>
          <w:b/>
          <w:sz w:val="28"/>
          <w:szCs w:val="28"/>
        </w:rPr>
      </w:pPr>
    </w:p>
    <w:p w:rsidR="00B6524B" w:rsidRPr="00197B8C" w:rsidRDefault="00B6524B" w:rsidP="00B6524B">
      <w:pPr>
        <w:ind w:firstLine="720"/>
        <w:jc w:val="both"/>
        <w:rPr>
          <w:b/>
          <w:sz w:val="28"/>
          <w:szCs w:val="28"/>
        </w:rPr>
      </w:pPr>
    </w:p>
    <w:p w:rsidR="00B6524B" w:rsidRPr="00197B8C" w:rsidRDefault="00197B8C" w:rsidP="00B6524B">
      <w:pPr>
        <w:ind w:firstLine="720"/>
        <w:jc w:val="both"/>
        <w:rPr>
          <w:sz w:val="28"/>
          <w:szCs w:val="28"/>
        </w:rPr>
      </w:pPr>
      <w:r w:rsidRPr="00197B8C">
        <w:rPr>
          <w:b/>
          <w:sz w:val="28"/>
          <w:szCs w:val="28"/>
        </w:rPr>
        <w:t>M</w:t>
      </w:r>
      <w:r w:rsidR="00B6524B" w:rsidRPr="00197B8C">
        <w:rPr>
          <w:b/>
          <w:sz w:val="28"/>
          <w:szCs w:val="28"/>
        </w:rPr>
        <w:t>inistru</w:t>
      </w:r>
      <w:r w:rsidR="00B6524B" w:rsidRPr="00197B8C">
        <w:rPr>
          <w:b/>
          <w:sz w:val="28"/>
          <w:szCs w:val="28"/>
        </w:rPr>
        <w:tab/>
      </w:r>
      <w:r w:rsidR="00B6524B" w:rsidRPr="00197B8C">
        <w:rPr>
          <w:b/>
          <w:sz w:val="28"/>
          <w:szCs w:val="28"/>
        </w:rPr>
        <w:tab/>
        <w:t xml:space="preserve">      </w:t>
      </w:r>
      <w:r w:rsidR="00B6524B" w:rsidRPr="00197B8C">
        <w:rPr>
          <w:b/>
          <w:sz w:val="28"/>
          <w:szCs w:val="28"/>
        </w:rPr>
        <w:tab/>
      </w:r>
      <w:r w:rsidR="00B6524B" w:rsidRPr="00197B8C">
        <w:rPr>
          <w:b/>
          <w:sz w:val="28"/>
          <w:szCs w:val="28"/>
        </w:rPr>
        <w:tab/>
        <w:t xml:space="preserve">   </w:t>
      </w:r>
      <w:r w:rsidR="00B6524B" w:rsidRPr="00197B8C">
        <w:rPr>
          <w:b/>
          <w:sz w:val="28"/>
          <w:szCs w:val="28"/>
        </w:rPr>
        <w:tab/>
      </w:r>
      <w:r w:rsidR="00B6524B" w:rsidRPr="00197B8C">
        <w:rPr>
          <w:b/>
          <w:sz w:val="28"/>
          <w:szCs w:val="28"/>
        </w:rPr>
        <w:tab/>
      </w:r>
      <w:r w:rsidRPr="00197B8C">
        <w:rPr>
          <w:b/>
          <w:sz w:val="28"/>
          <w:szCs w:val="28"/>
        </w:rPr>
        <w:t>Andrei USATÎI</w:t>
      </w:r>
      <w:r w:rsidR="00B6524B" w:rsidRPr="00197B8C">
        <w:rPr>
          <w:b/>
          <w:sz w:val="28"/>
          <w:szCs w:val="28"/>
        </w:rPr>
        <w:t xml:space="preserve"> </w:t>
      </w:r>
    </w:p>
    <w:p w:rsidR="00783948" w:rsidRDefault="00783948"/>
    <w:sectPr w:rsidR="00783948" w:rsidSect="00484D88">
      <w:footerReference w:type="default" r:id="rId8"/>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35" w:rsidRDefault="006C5335" w:rsidP="008F62D6">
      <w:r>
        <w:separator/>
      </w:r>
    </w:p>
  </w:endnote>
  <w:endnote w:type="continuationSeparator" w:id="0">
    <w:p w:rsidR="006C5335" w:rsidRDefault="006C5335" w:rsidP="008F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5829"/>
      <w:docPartObj>
        <w:docPartGallery w:val="Page Numbers (Bottom of Page)"/>
        <w:docPartUnique/>
      </w:docPartObj>
    </w:sdtPr>
    <w:sdtEndPr/>
    <w:sdtContent>
      <w:p w:rsidR="00B122CA" w:rsidRDefault="008F62D6">
        <w:pPr>
          <w:pStyle w:val="a6"/>
          <w:jc w:val="right"/>
        </w:pPr>
        <w:r>
          <w:fldChar w:fldCharType="begin"/>
        </w:r>
        <w:r w:rsidR="00B6524B">
          <w:instrText xml:space="preserve"> PAGE   \* MERGEFORMAT </w:instrText>
        </w:r>
        <w:r>
          <w:fldChar w:fldCharType="separate"/>
        </w:r>
        <w:r w:rsidR="00B51A28">
          <w:rPr>
            <w:noProof/>
          </w:rPr>
          <w:t>1</w:t>
        </w:r>
        <w:r>
          <w:fldChar w:fldCharType="end"/>
        </w:r>
      </w:p>
    </w:sdtContent>
  </w:sdt>
  <w:p w:rsidR="00B122CA" w:rsidRDefault="006C53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35" w:rsidRDefault="006C5335" w:rsidP="008F62D6">
      <w:r>
        <w:separator/>
      </w:r>
    </w:p>
  </w:footnote>
  <w:footnote w:type="continuationSeparator" w:id="0">
    <w:p w:rsidR="006C5335" w:rsidRDefault="006C5335" w:rsidP="008F6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21B8"/>
    <w:multiLevelType w:val="hybridMultilevel"/>
    <w:tmpl w:val="3792231A"/>
    <w:lvl w:ilvl="0" w:tplc="9CAC020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F825523"/>
    <w:multiLevelType w:val="hybridMultilevel"/>
    <w:tmpl w:val="1DDAB1FA"/>
    <w:lvl w:ilvl="0" w:tplc="04090011">
      <w:start w:val="1"/>
      <w:numFmt w:val="decimal"/>
      <w:lvlText w:val="%1)"/>
      <w:lvlJc w:val="left"/>
      <w:pPr>
        <w:tabs>
          <w:tab w:val="num" w:pos="900"/>
        </w:tabs>
        <w:ind w:left="90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46915B2"/>
    <w:multiLevelType w:val="hybridMultilevel"/>
    <w:tmpl w:val="16D8D8C2"/>
    <w:lvl w:ilvl="0" w:tplc="0150AA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4B"/>
    <w:rsid w:val="00197B8C"/>
    <w:rsid w:val="00694E88"/>
    <w:rsid w:val="006C5335"/>
    <w:rsid w:val="00783948"/>
    <w:rsid w:val="008F62D6"/>
    <w:rsid w:val="00B51A28"/>
    <w:rsid w:val="00B6524B"/>
    <w:rsid w:val="00CC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24B"/>
    <w:pPr>
      <w:spacing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524B"/>
    <w:pPr>
      <w:jc w:val="center"/>
    </w:pPr>
    <w:rPr>
      <w:sz w:val="28"/>
      <w:szCs w:val="20"/>
    </w:rPr>
  </w:style>
  <w:style w:type="character" w:customStyle="1" w:styleId="a4">
    <w:name w:val="Название Знак"/>
    <w:basedOn w:val="a0"/>
    <w:link w:val="a3"/>
    <w:rsid w:val="00B6524B"/>
    <w:rPr>
      <w:rFonts w:ascii="Times New Roman" w:eastAsia="Times New Roman" w:hAnsi="Times New Roman" w:cs="Times New Roman"/>
      <w:sz w:val="28"/>
      <w:szCs w:val="20"/>
      <w:lang w:val="ro-RO" w:eastAsia="ru-RU"/>
    </w:rPr>
  </w:style>
  <w:style w:type="paragraph" w:styleId="2">
    <w:name w:val="Body Text 2"/>
    <w:basedOn w:val="a"/>
    <w:link w:val="20"/>
    <w:unhideWhenUsed/>
    <w:rsid w:val="00B6524B"/>
    <w:pPr>
      <w:jc w:val="center"/>
    </w:pPr>
    <w:rPr>
      <w:b/>
      <w:bCs/>
      <w:sz w:val="32"/>
      <w:lang w:eastAsia="ro-RO"/>
    </w:rPr>
  </w:style>
  <w:style w:type="character" w:customStyle="1" w:styleId="20">
    <w:name w:val="Основной текст 2 Знак"/>
    <w:basedOn w:val="a0"/>
    <w:link w:val="2"/>
    <w:rsid w:val="00B6524B"/>
    <w:rPr>
      <w:rFonts w:ascii="Times New Roman" w:eastAsia="Times New Roman" w:hAnsi="Times New Roman" w:cs="Times New Roman"/>
      <w:b/>
      <w:bCs/>
      <w:sz w:val="32"/>
      <w:szCs w:val="24"/>
      <w:lang w:val="ro-RO" w:eastAsia="ro-RO"/>
    </w:rPr>
  </w:style>
  <w:style w:type="paragraph" w:customStyle="1" w:styleId="1">
    <w:name w:val="Обычный1"/>
    <w:rsid w:val="00B6524B"/>
    <w:pPr>
      <w:spacing w:line="240" w:lineRule="auto"/>
    </w:pPr>
    <w:rPr>
      <w:rFonts w:ascii="Calibri" w:eastAsia="Times New Roman" w:hAnsi="Calibri" w:cs="Times New Roman"/>
      <w:color w:val="000000"/>
      <w:sz w:val="24"/>
      <w:szCs w:val="24"/>
      <w:lang w:val="en-US"/>
    </w:rPr>
  </w:style>
  <w:style w:type="paragraph" w:styleId="a5">
    <w:name w:val="List Paragraph"/>
    <w:basedOn w:val="a"/>
    <w:uiPriority w:val="34"/>
    <w:qFormat/>
    <w:rsid w:val="00B6524B"/>
    <w:pPr>
      <w:ind w:left="720"/>
      <w:contextualSpacing/>
    </w:pPr>
    <w:rPr>
      <w:lang w:val="ru-RU"/>
    </w:rPr>
  </w:style>
  <w:style w:type="paragraph" w:styleId="a6">
    <w:name w:val="footer"/>
    <w:basedOn w:val="a"/>
    <w:link w:val="a7"/>
    <w:uiPriority w:val="99"/>
    <w:unhideWhenUsed/>
    <w:rsid w:val="00B6524B"/>
    <w:pPr>
      <w:tabs>
        <w:tab w:val="center" w:pos="4677"/>
        <w:tab w:val="right" w:pos="9355"/>
      </w:tabs>
    </w:pPr>
  </w:style>
  <w:style w:type="character" w:customStyle="1" w:styleId="a7">
    <w:name w:val="Нижний колонтитул Знак"/>
    <w:basedOn w:val="a0"/>
    <w:link w:val="a6"/>
    <w:uiPriority w:val="99"/>
    <w:rsid w:val="00B6524B"/>
    <w:rPr>
      <w:rFonts w:ascii="Times New Roman" w:eastAsia="Times New Roman" w:hAnsi="Times New Roman" w:cs="Times New Roman"/>
      <w:sz w:val="24"/>
      <w:szCs w:val="24"/>
      <w:lang w:val="ro-RO" w:eastAsia="ru-RU"/>
    </w:rPr>
  </w:style>
  <w:style w:type="paragraph" w:styleId="a8">
    <w:name w:val="Balloon Text"/>
    <w:basedOn w:val="a"/>
    <w:link w:val="a9"/>
    <w:uiPriority w:val="99"/>
    <w:semiHidden/>
    <w:unhideWhenUsed/>
    <w:rsid w:val="00B51A28"/>
    <w:rPr>
      <w:rFonts w:ascii="Tahoma" w:hAnsi="Tahoma" w:cs="Tahoma"/>
      <w:sz w:val="16"/>
      <w:szCs w:val="16"/>
    </w:rPr>
  </w:style>
  <w:style w:type="character" w:customStyle="1" w:styleId="a9">
    <w:name w:val="Текст выноски Знак"/>
    <w:basedOn w:val="a0"/>
    <w:link w:val="a8"/>
    <w:uiPriority w:val="99"/>
    <w:semiHidden/>
    <w:rsid w:val="00B51A28"/>
    <w:rPr>
      <w:rFonts w:ascii="Tahoma" w:eastAsia="Times New Roman" w:hAnsi="Tahoma" w:cs="Tahoma"/>
      <w:sz w:val="16"/>
      <w:szCs w:val="1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24B"/>
    <w:pPr>
      <w:spacing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6524B"/>
    <w:pPr>
      <w:jc w:val="center"/>
    </w:pPr>
    <w:rPr>
      <w:sz w:val="28"/>
      <w:szCs w:val="20"/>
    </w:rPr>
  </w:style>
  <w:style w:type="character" w:customStyle="1" w:styleId="a4">
    <w:name w:val="Название Знак"/>
    <w:basedOn w:val="a0"/>
    <w:link w:val="a3"/>
    <w:rsid w:val="00B6524B"/>
    <w:rPr>
      <w:rFonts w:ascii="Times New Roman" w:eastAsia="Times New Roman" w:hAnsi="Times New Roman" w:cs="Times New Roman"/>
      <w:sz w:val="28"/>
      <w:szCs w:val="20"/>
      <w:lang w:val="ro-RO" w:eastAsia="ru-RU"/>
    </w:rPr>
  </w:style>
  <w:style w:type="paragraph" w:styleId="2">
    <w:name w:val="Body Text 2"/>
    <w:basedOn w:val="a"/>
    <w:link w:val="20"/>
    <w:unhideWhenUsed/>
    <w:rsid w:val="00B6524B"/>
    <w:pPr>
      <w:jc w:val="center"/>
    </w:pPr>
    <w:rPr>
      <w:b/>
      <w:bCs/>
      <w:sz w:val="32"/>
      <w:lang w:eastAsia="ro-RO"/>
    </w:rPr>
  </w:style>
  <w:style w:type="character" w:customStyle="1" w:styleId="20">
    <w:name w:val="Основной текст 2 Знак"/>
    <w:basedOn w:val="a0"/>
    <w:link w:val="2"/>
    <w:rsid w:val="00B6524B"/>
    <w:rPr>
      <w:rFonts w:ascii="Times New Roman" w:eastAsia="Times New Roman" w:hAnsi="Times New Roman" w:cs="Times New Roman"/>
      <w:b/>
      <w:bCs/>
      <w:sz w:val="32"/>
      <w:szCs w:val="24"/>
      <w:lang w:val="ro-RO" w:eastAsia="ro-RO"/>
    </w:rPr>
  </w:style>
  <w:style w:type="paragraph" w:customStyle="1" w:styleId="1">
    <w:name w:val="Обычный1"/>
    <w:rsid w:val="00B6524B"/>
    <w:pPr>
      <w:spacing w:line="240" w:lineRule="auto"/>
    </w:pPr>
    <w:rPr>
      <w:rFonts w:ascii="Calibri" w:eastAsia="Times New Roman" w:hAnsi="Calibri" w:cs="Times New Roman"/>
      <w:color w:val="000000"/>
      <w:sz w:val="24"/>
      <w:szCs w:val="24"/>
      <w:lang w:val="en-US"/>
    </w:rPr>
  </w:style>
  <w:style w:type="paragraph" w:styleId="a5">
    <w:name w:val="List Paragraph"/>
    <w:basedOn w:val="a"/>
    <w:uiPriority w:val="34"/>
    <w:qFormat/>
    <w:rsid w:val="00B6524B"/>
    <w:pPr>
      <w:ind w:left="720"/>
      <w:contextualSpacing/>
    </w:pPr>
    <w:rPr>
      <w:lang w:val="ru-RU"/>
    </w:rPr>
  </w:style>
  <w:style w:type="paragraph" w:styleId="a6">
    <w:name w:val="footer"/>
    <w:basedOn w:val="a"/>
    <w:link w:val="a7"/>
    <w:uiPriority w:val="99"/>
    <w:unhideWhenUsed/>
    <w:rsid w:val="00B6524B"/>
    <w:pPr>
      <w:tabs>
        <w:tab w:val="center" w:pos="4677"/>
        <w:tab w:val="right" w:pos="9355"/>
      </w:tabs>
    </w:pPr>
  </w:style>
  <w:style w:type="character" w:customStyle="1" w:styleId="a7">
    <w:name w:val="Нижний колонтитул Знак"/>
    <w:basedOn w:val="a0"/>
    <w:link w:val="a6"/>
    <w:uiPriority w:val="99"/>
    <w:rsid w:val="00B6524B"/>
    <w:rPr>
      <w:rFonts w:ascii="Times New Roman" w:eastAsia="Times New Roman" w:hAnsi="Times New Roman" w:cs="Times New Roman"/>
      <w:sz w:val="24"/>
      <w:szCs w:val="24"/>
      <w:lang w:val="ro-RO" w:eastAsia="ru-RU"/>
    </w:rPr>
  </w:style>
  <w:style w:type="paragraph" w:styleId="a8">
    <w:name w:val="Balloon Text"/>
    <w:basedOn w:val="a"/>
    <w:link w:val="a9"/>
    <w:uiPriority w:val="99"/>
    <w:semiHidden/>
    <w:unhideWhenUsed/>
    <w:rsid w:val="00B51A28"/>
    <w:rPr>
      <w:rFonts w:ascii="Tahoma" w:hAnsi="Tahoma" w:cs="Tahoma"/>
      <w:sz w:val="16"/>
      <w:szCs w:val="16"/>
    </w:rPr>
  </w:style>
  <w:style w:type="character" w:customStyle="1" w:styleId="a9">
    <w:name w:val="Текст выноски Знак"/>
    <w:basedOn w:val="a0"/>
    <w:link w:val="a8"/>
    <w:uiPriority w:val="99"/>
    <w:semiHidden/>
    <w:rsid w:val="00B51A28"/>
    <w:rPr>
      <w:rFonts w:ascii="Tahoma" w:eastAsia="Times New Roman" w:hAnsi="Tahoma" w:cs="Tahoma"/>
      <w:sz w:val="16"/>
      <w:szCs w:val="1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1721</Words>
  <Characters>9812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 User</dc:creator>
  <cp:keywords/>
  <dc:description/>
  <cp:lastModifiedBy>Denis Cernelea</cp:lastModifiedBy>
  <cp:revision>2</cp:revision>
  <cp:lastPrinted>2014-04-04T14:11:00Z</cp:lastPrinted>
  <dcterms:created xsi:type="dcterms:W3CDTF">2014-04-04T14:13:00Z</dcterms:created>
  <dcterms:modified xsi:type="dcterms:W3CDTF">2014-04-04T14:13:00Z</dcterms:modified>
</cp:coreProperties>
</file>