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1004" w14:textId="77777777" w:rsidR="007B69FD" w:rsidRPr="0041066A" w:rsidRDefault="00EA56DE" w:rsidP="00E37F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41066A">
        <w:rPr>
          <w:b/>
          <w:sz w:val="24"/>
          <w:szCs w:val="24"/>
          <w:lang w:val="ro-RO"/>
        </w:rPr>
        <w:t>NOTA DE FUNDAMENTARE</w:t>
      </w:r>
    </w:p>
    <w:p w14:paraId="66CC23B5" w14:textId="54F25325" w:rsidR="007B69FD" w:rsidRPr="0041066A" w:rsidRDefault="00EA56DE" w:rsidP="00E37F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41066A">
        <w:rPr>
          <w:b/>
          <w:sz w:val="24"/>
          <w:szCs w:val="24"/>
          <w:lang w:val="ro-RO"/>
        </w:rPr>
        <w:t>la proiectul</w:t>
      </w:r>
      <w:r w:rsidR="008951E4" w:rsidRPr="0041066A">
        <w:rPr>
          <w:b/>
          <w:sz w:val="24"/>
          <w:szCs w:val="24"/>
          <w:lang w:val="ro-RO"/>
        </w:rPr>
        <w:t xml:space="preserve"> privind modificarea</w:t>
      </w:r>
      <w:r w:rsidR="00790F10" w:rsidRPr="0041066A">
        <w:rPr>
          <w:b/>
          <w:sz w:val="24"/>
          <w:szCs w:val="24"/>
          <w:lang w:val="ro-RO"/>
        </w:rPr>
        <w:t xml:space="preserve"> </w:t>
      </w:r>
      <w:r w:rsidR="008951E4" w:rsidRPr="0041066A">
        <w:rPr>
          <w:b/>
          <w:sz w:val="24"/>
          <w:szCs w:val="24"/>
          <w:lang w:val="ro-RO"/>
        </w:rPr>
        <w:t>Hotărârii de Guvern nr. 1037/2023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w:t>
      </w:r>
      <w:r w:rsidR="008951E4" w:rsidRPr="0041066A">
        <w:rPr>
          <w:b/>
          <w:sz w:val="24"/>
          <w:szCs w:val="24"/>
          <w:lang w:val="ro-RO"/>
        </w:rPr>
        <w:br/>
      </w:r>
    </w:p>
    <w:tbl>
      <w:tblPr>
        <w:tblStyle w:val="Tabelgri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7B69FD" w:rsidRPr="00FC5FB9" w14:paraId="39698689" w14:textId="77777777" w:rsidTr="00FB079A">
        <w:trPr>
          <w:trHeight w:val="469"/>
        </w:trPr>
        <w:tc>
          <w:tcPr>
            <w:tcW w:w="9109" w:type="dxa"/>
            <w:shd w:val="clear" w:color="BFBFBF" w:fill="BFBFBF"/>
            <w:tcMar>
              <w:top w:w="0" w:type="dxa"/>
              <w:left w:w="108" w:type="dxa"/>
              <w:bottom w:w="0" w:type="dxa"/>
              <w:right w:w="108" w:type="dxa"/>
            </w:tcMar>
          </w:tcPr>
          <w:p w14:paraId="74E968E1"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1. Denumirea sau numele autorului și, după caz, a/al participanților la elaborarea proiectului actului normativ</w:t>
            </w:r>
          </w:p>
        </w:tc>
      </w:tr>
      <w:tr w:rsidR="007B69FD" w:rsidRPr="00FC5FB9" w14:paraId="5F253458" w14:textId="77777777" w:rsidTr="00BA2590">
        <w:tc>
          <w:tcPr>
            <w:tcW w:w="9109" w:type="dxa"/>
            <w:tcMar>
              <w:top w:w="0" w:type="dxa"/>
              <w:left w:w="108" w:type="dxa"/>
              <w:bottom w:w="0" w:type="dxa"/>
              <w:right w:w="108" w:type="dxa"/>
            </w:tcMar>
          </w:tcPr>
          <w:p w14:paraId="205B06EB" w14:textId="1F0ED4C1" w:rsidR="007B69FD" w:rsidRPr="00FC5FB9" w:rsidRDefault="00964877" w:rsidP="00E37F00">
            <w:pPr>
              <w:rPr>
                <w:rFonts w:ascii="Times New Roman" w:hAnsi="Times New Roman"/>
                <w:sz w:val="24"/>
                <w:szCs w:val="24"/>
                <w:lang w:val="ro-RO"/>
              </w:rPr>
            </w:pPr>
            <w:r w:rsidRPr="00FC5FB9">
              <w:rPr>
                <w:rFonts w:ascii="Times New Roman" w:hAnsi="Times New Roman"/>
                <w:sz w:val="24"/>
                <w:szCs w:val="24"/>
                <w:lang w:val="ro-RO"/>
              </w:rPr>
              <w:t>Proiectul Hotărârii Guvernului privind modificarea</w:t>
            </w:r>
            <w:r w:rsidR="0074020F" w:rsidRPr="00FC5FB9">
              <w:rPr>
                <w:rFonts w:ascii="Times New Roman" w:hAnsi="Times New Roman"/>
                <w:sz w:val="24"/>
                <w:szCs w:val="24"/>
                <w:lang w:val="ro-RO"/>
              </w:rPr>
              <w:t xml:space="preserve"> </w:t>
            </w:r>
            <w:hyperlink r:id="rId11" w:history="1">
              <w:r w:rsidRPr="00FC5FB9">
                <w:rPr>
                  <w:rFonts w:ascii="Times New Roman" w:hAnsi="Times New Roman"/>
                  <w:sz w:val="24"/>
                  <w:szCs w:val="24"/>
                  <w:lang w:val="ro-RO"/>
                </w:rPr>
                <w:t>Hotărârii de Guvern nr. 1037/2023</w:t>
              </w:r>
            </w:hyperlink>
            <w:r w:rsidRPr="00FC5FB9">
              <w:rPr>
                <w:rFonts w:ascii="Times New Roman" w:hAnsi="Times New Roman"/>
                <w:sz w:val="24"/>
                <w:szCs w:val="24"/>
                <w:lang w:val="ro-RO"/>
              </w:rPr>
              <w:t xml:space="preserve"> 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 – Chișinău, a fost elaborat de către</w:t>
            </w:r>
            <w:r w:rsidR="0053643B" w:rsidRPr="00FC5FB9">
              <w:rPr>
                <w:rFonts w:ascii="Times New Roman" w:hAnsi="Times New Roman"/>
                <w:sz w:val="24"/>
                <w:szCs w:val="24"/>
                <w:lang w:val="ro-RO"/>
              </w:rPr>
              <w:t xml:space="preserve"> </w:t>
            </w:r>
            <w:r w:rsidRPr="00FC5FB9">
              <w:rPr>
                <w:rFonts w:ascii="Times New Roman" w:hAnsi="Times New Roman"/>
                <w:sz w:val="24"/>
                <w:szCs w:val="24"/>
                <w:lang w:val="ro-RO"/>
              </w:rPr>
              <w:t>Ministerul Energiei.</w:t>
            </w:r>
          </w:p>
        </w:tc>
      </w:tr>
      <w:tr w:rsidR="007B69FD" w:rsidRPr="00FC5FB9" w14:paraId="4B261220" w14:textId="77777777" w:rsidTr="00BA2590">
        <w:tc>
          <w:tcPr>
            <w:tcW w:w="9109" w:type="dxa"/>
            <w:shd w:val="clear" w:color="BFBFBF" w:fill="BFBFBF"/>
            <w:tcMar>
              <w:top w:w="0" w:type="dxa"/>
              <w:left w:w="108" w:type="dxa"/>
              <w:bottom w:w="0" w:type="dxa"/>
              <w:right w:w="108" w:type="dxa"/>
            </w:tcMar>
          </w:tcPr>
          <w:p w14:paraId="3155FF0B"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2. Condițiile ce au impus elaborarea proiectului actului normativ</w:t>
            </w:r>
          </w:p>
        </w:tc>
      </w:tr>
      <w:tr w:rsidR="007B69FD" w:rsidRPr="00FC5FB9" w14:paraId="1AD1A748" w14:textId="77777777" w:rsidTr="00BA2590">
        <w:tc>
          <w:tcPr>
            <w:tcW w:w="9109" w:type="dxa"/>
            <w:shd w:val="clear" w:color="EDEDED" w:fill="EDEDED"/>
            <w:tcMar>
              <w:top w:w="0" w:type="dxa"/>
              <w:left w:w="108" w:type="dxa"/>
              <w:bottom w:w="0" w:type="dxa"/>
              <w:right w:w="108" w:type="dxa"/>
            </w:tcMar>
          </w:tcPr>
          <w:p w14:paraId="0E923A42"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2.1. Temeiul legal sau, după caz, sursa proiectului actului normativ</w:t>
            </w:r>
          </w:p>
        </w:tc>
      </w:tr>
      <w:tr w:rsidR="00E65913" w:rsidRPr="00FC5FB9" w14:paraId="4A427729" w14:textId="77777777" w:rsidTr="00462126">
        <w:tc>
          <w:tcPr>
            <w:tcW w:w="9109" w:type="dxa"/>
            <w:shd w:val="clear" w:color="auto" w:fill="FFFFFF" w:themeFill="background1"/>
            <w:tcMar>
              <w:top w:w="0" w:type="dxa"/>
              <w:left w:w="108" w:type="dxa"/>
              <w:bottom w:w="0" w:type="dxa"/>
              <w:right w:w="108" w:type="dxa"/>
            </w:tcMar>
          </w:tcPr>
          <w:p w14:paraId="46FBF067" w14:textId="35EC591C" w:rsidR="00E65913" w:rsidRPr="00FC5FB9" w:rsidRDefault="00E65913" w:rsidP="00E37F00">
            <w:pPr>
              <w:rPr>
                <w:rFonts w:ascii="Times New Roman" w:hAnsi="Times New Roman"/>
                <w:sz w:val="24"/>
                <w:szCs w:val="24"/>
                <w:lang w:val="ro-RO"/>
              </w:rPr>
            </w:pPr>
            <w:r w:rsidRPr="00FC5FB9">
              <w:rPr>
                <w:rFonts w:ascii="Times New Roman" w:hAnsi="Times New Roman"/>
                <w:sz w:val="24"/>
                <w:szCs w:val="24"/>
                <w:lang w:val="ro-RO"/>
              </w:rPr>
              <w:t xml:space="preserve">Actului normativ a fost elaborat </w:t>
            </w:r>
            <w:r w:rsidR="00C13318" w:rsidRPr="00FC5FB9">
              <w:rPr>
                <w:rFonts w:ascii="Times New Roman" w:hAnsi="Times New Roman"/>
                <w:sz w:val="24"/>
                <w:szCs w:val="24"/>
                <w:lang w:val="ro-RO"/>
              </w:rPr>
              <w:t>în temeiul pct. 7 din anexa la Legea nr. 120/2022 privind declararea utilității publice de interes național a lucrărilor de construcție a liniei electrice aeriene (LEA) 400 kV de transport al energiei electrice Vulcănești – Chișinău și a stației Back-to-Back Vulcănești (Monitorul Oficial al Republicii Moldova, 2022, nr. 158, art. 278)</w:t>
            </w:r>
            <w:r w:rsidR="007218EA" w:rsidRPr="00FC5FB9">
              <w:rPr>
                <w:rFonts w:ascii="Times New Roman" w:hAnsi="Times New Roman"/>
                <w:sz w:val="24"/>
                <w:szCs w:val="24"/>
                <w:lang w:val="ro-RO"/>
              </w:rPr>
              <w:t xml:space="preserve">. </w:t>
            </w:r>
          </w:p>
        </w:tc>
      </w:tr>
      <w:tr w:rsidR="007B69FD" w:rsidRPr="00FC5FB9" w14:paraId="621F3E1F" w14:textId="77777777" w:rsidTr="00BA2590">
        <w:tc>
          <w:tcPr>
            <w:tcW w:w="9109" w:type="dxa"/>
            <w:shd w:val="clear" w:color="EDEDED" w:fill="EDEDED"/>
            <w:tcMar>
              <w:top w:w="0" w:type="dxa"/>
              <w:left w:w="108" w:type="dxa"/>
              <w:bottom w:w="0" w:type="dxa"/>
              <w:right w:w="108" w:type="dxa"/>
            </w:tcMar>
          </w:tcPr>
          <w:p w14:paraId="780B3C8F"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7B69FD" w:rsidRPr="00FC5FB9" w14:paraId="68F4ECB3" w14:textId="77777777" w:rsidTr="00462126">
        <w:tc>
          <w:tcPr>
            <w:tcW w:w="9109" w:type="dxa"/>
            <w:shd w:val="clear" w:color="auto" w:fill="FFFFFF" w:themeFill="background1"/>
            <w:tcMar>
              <w:top w:w="0" w:type="dxa"/>
              <w:left w:w="108" w:type="dxa"/>
              <w:bottom w:w="0" w:type="dxa"/>
              <w:right w:w="108" w:type="dxa"/>
            </w:tcMar>
          </w:tcPr>
          <w:p w14:paraId="4C801DA6" w14:textId="77777777" w:rsidR="006553D8" w:rsidRPr="00FC5FB9" w:rsidRDefault="006553D8" w:rsidP="00765EF5">
            <w:pPr>
              <w:ind w:firstLine="738"/>
              <w:contextualSpacing/>
              <w:rPr>
                <w:rFonts w:ascii="Times New Roman" w:hAnsi="Times New Roman"/>
                <w:sz w:val="24"/>
                <w:szCs w:val="24"/>
                <w:lang w:val="ro-RO"/>
              </w:rPr>
            </w:pPr>
            <w:r w:rsidRPr="00FC5FB9">
              <w:rPr>
                <w:rFonts w:ascii="Times New Roman" w:hAnsi="Times New Roman"/>
                <w:sz w:val="24"/>
                <w:szCs w:val="24"/>
                <w:lang w:val="ro-RO"/>
              </w:rPr>
              <w:t>Proiectul de hotărâre a fost elaborat în scopul executării prevederilor pct. 3, 6, 7 și 17 din Anexa la Legii nr. 120/2022 privind declararea utilității publice de interes național a lucrărilor de construcție a liniei electrice aeriene (LEA) 400 kV de transport al energiei electrice Vulcănești–Chișinău și a stației Back-to-Back Vulcănești (în continuare Legea nr. 120/2022), adoptată de Parlament întru consolidarea securității energetice a țării.</w:t>
            </w:r>
          </w:p>
          <w:p w14:paraId="69FE562C" w14:textId="77777777" w:rsidR="006553D8" w:rsidRPr="00FC5FB9" w:rsidRDefault="006553D8" w:rsidP="00765EF5">
            <w:pPr>
              <w:ind w:firstLine="738"/>
              <w:contextualSpacing/>
              <w:rPr>
                <w:rFonts w:ascii="Times New Roman" w:hAnsi="Times New Roman"/>
                <w:sz w:val="24"/>
                <w:szCs w:val="24"/>
                <w:lang w:val="ro-RO"/>
              </w:rPr>
            </w:pPr>
            <w:r w:rsidRPr="00FC5FB9">
              <w:rPr>
                <w:rFonts w:ascii="Times New Roman" w:hAnsi="Times New Roman"/>
                <w:sz w:val="24"/>
                <w:szCs w:val="24"/>
                <w:lang w:val="ro-RO"/>
              </w:rPr>
              <w:t>De menționat că, implementarea Proiectului de interconexiune LEA 400 kV Vulcănești-Chișinău reprezintă un obiectiv specific prevăzut în Strategia energetică a Republicii Moldova până în anul 2030, aprobată prin Hotărârea Guvernului nr. 102/2013, iar realizarea Proiectului reprezintă o măsură prevăzută de Foaia de parcurs pentru sectorul electroenergetic din Republica Moldova, aprobată prin Hotărârea Guvernului nr. 409/2015. Suplimentar, reliefăm că, datorită importanței Proiectului, în ceea ce privește securitatea alimentării cu energie electrică a consumatorilor din Republica Moldova, lucrările de construcție a LEA 400 kV Vulcănești-Chișinău au fost declarate de utilitate publică de interes național, în conformitate cu prevederile Legii nr. 120/2022.</w:t>
            </w:r>
          </w:p>
          <w:p w14:paraId="5D3CD343" w14:textId="77777777" w:rsidR="006553D8" w:rsidRPr="00FC5FB9" w:rsidRDefault="006553D8" w:rsidP="00E37F00">
            <w:pPr>
              <w:ind w:firstLine="738"/>
              <w:rPr>
                <w:rFonts w:ascii="Times New Roman" w:hAnsi="Times New Roman"/>
                <w:sz w:val="24"/>
                <w:szCs w:val="24"/>
                <w:lang w:val="ro-RO"/>
              </w:rPr>
            </w:pPr>
            <w:r w:rsidRPr="00FC5FB9">
              <w:rPr>
                <w:rFonts w:ascii="Times New Roman" w:hAnsi="Times New Roman"/>
                <w:sz w:val="24"/>
                <w:szCs w:val="24"/>
                <w:lang w:val="ro-RO"/>
              </w:rPr>
              <w:t xml:space="preserve">Astfel, în scopul facilitării lucrărilor de construcție de interes național a lucrărilor de construcție a LEA 400 kV de transport al energiei electrice Vulcănești–Chișinău, care reprezintă un obiectiv de importanță strategică, Legea nr. 120/2022 stabilește o procedură specială de expropriere a bunurilor imobile/drepturilor de folosință și altor drepturi reale asupra bunurilor imobile situate pe amplasamentul lucrărilor de utilitate publică, identificate potrivit documentației de proiect. Potrivit procedurii stabilite de lege, transmiterea de la expropriați la expropriator a drepturilor de proprietate și a drepturilor de folosință sau a altor drepturi reale asupra bunurilor imobile necesare lucrărilor de construcție de interes național, are loc în temeiul actului de expropriere emis de Guvern. </w:t>
            </w:r>
          </w:p>
          <w:p w14:paraId="32EB7E71" w14:textId="4AD3450D" w:rsidR="007B69FD" w:rsidRPr="00FC5FB9" w:rsidRDefault="009F18B4" w:rsidP="00830728">
            <w:pPr>
              <w:rPr>
                <w:rFonts w:ascii="Times New Roman" w:hAnsi="Times New Roman"/>
                <w:sz w:val="24"/>
                <w:szCs w:val="24"/>
                <w:lang w:val="ro-RO"/>
              </w:rPr>
            </w:pPr>
            <w:r w:rsidRPr="00FC5FB9">
              <w:rPr>
                <w:rFonts w:ascii="Times New Roman" w:hAnsi="Times New Roman"/>
                <w:sz w:val="24"/>
                <w:szCs w:val="24"/>
                <w:lang w:val="ro-RO"/>
              </w:rPr>
              <w:t>În acest sens, p</w:t>
            </w:r>
            <w:r w:rsidR="00ED421F" w:rsidRPr="00FC5FB9">
              <w:rPr>
                <w:rFonts w:ascii="Times New Roman" w:hAnsi="Times New Roman"/>
                <w:sz w:val="24"/>
                <w:szCs w:val="24"/>
                <w:lang w:val="ro-RO"/>
              </w:rPr>
              <w:t xml:space="preserve">roblematicile care impun promovarea </w:t>
            </w:r>
            <w:r w:rsidR="007218EA" w:rsidRPr="00FC5FB9">
              <w:rPr>
                <w:rFonts w:ascii="Times New Roman" w:hAnsi="Times New Roman"/>
                <w:sz w:val="24"/>
                <w:szCs w:val="24"/>
                <w:lang w:val="ro-RO"/>
              </w:rPr>
              <w:t>Proiectul actului normativ rezultă din demersurile Unității Consolidate pentru Implementarea și Monitorizarea Proiectelor în domeniul Energeticii (UCIPE)</w:t>
            </w:r>
            <w:r w:rsidR="00FA2993" w:rsidRPr="00FC5FB9">
              <w:rPr>
                <w:rFonts w:ascii="Times New Roman" w:hAnsi="Times New Roman"/>
                <w:sz w:val="24"/>
                <w:szCs w:val="24"/>
                <w:lang w:val="ro-RO"/>
              </w:rPr>
              <w:t>, prin intermediul căreia se</w:t>
            </w:r>
            <w:r w:rsidR="007218EA" w:rsidRPr="00FC5FB9">
              <w:rPr>
                <w:rFonts w:ascii="Times New Roman" w:hAnsi="Times New Roman"/>
                <w:sz w:val="24"/>
                <w:szCs w:val="24"/>
                <w:lang w:val="ro-RO"/>
              </w:rPr>
              <w:t xml:space="preserve"> implement</w:t>
            </w:r>
            <w:r w:rsidR="00FA2993" w:rsidRPr="00FC5FB9">
              <w:rPr>
                <w:rFonts w:ascii="Times New Roman" w:hAnsi="Times New Roman"/>
                <w:sz w:val="24"/>
                <w:szCs w:val="24"/>
                <w:lang w:val="ro-RO"/>
              </w:rPr>
              <w:t>ează</w:t>
            </w:r>
            <w:r w:rsidR="007218EA" w:rsidRPr="00FC5FB9">
              <w:rPr>
                <w:rFonts w:ascii="Times New Roman" w:hAnsi="Times New Roman"/>
                <w:sz w:val="24"/>
                <w:szCs w:val="24"/>
                <w:lang w:val="ro-RO"/>
              </w:rPr>
              <w:t xml:space="preserve"> Proiectului de Dezvoltare a Sistemului Electroenergetic</w:t>
            </w:r>
            <w:r w:rsidR="000B790D" w:rsidRPr="00FC5FB9">
              <w:rPr>
                <w:rFonts w:ascii="Times New Roman" w:hAnsi="Times New Roman"/>
                <w:sz w:val="24"/>
                <w:szCs w:val="24"/>
                <w:lang w:val="ro-RO"/>
              </w:rPr>
              <w:t xml:space="preserve"> </w:t>
            </w:r>
            <w:r w:rsidR="000B790D" w:rsidRPr="00FC5FB9">
              <w:rPr>
                <w:rFonts w:ascii="Times New Roman" w:hAnsi="Times New Roman"/>
                <w:i/>
                <w:iCs/>
                <w:sz w:val="24"/>
                <w:szCs w:val="24"/>
                <w:lang w:val="ro-RO"/>
              </w:rPr>
              <w:t>(în continuare Proiect)</w:t>
            </w:r>
            <w:r w:rsidR="007218EA" w:rsidRPr="00FC5FB9">
              <w:rPr>
                <w:rFonts w:ascii="Times New Roman" w:hAnsi="Times New Roman"/>
                <w:sz w:val="24"/>
                <w:szCs w:val="24"/>
                <w:lang w:val="ro-RO"/>
              </w:rPr>
              <w:t xml:space="preserve"> și în special </w:t>
            </w:r>
            <w:r w:rsidR="007218EA" w:rsidRPr="00FC5FB9">
              <w:rPr>
                <w:rFonts w:ascii="Times New Roman" w:hAnsi="Times New Roman"/>
                <w:sz w:val="24"/>
                <w:szCs w:val="24"/>
                <w:lang w:val="ro-RO"/>
              </w:rPr>
              <w:lastRenderedPageBreak/>
              <w:t>a lucrăril</w:t>
            </w:r>
            <w:r w:rsidR="00FA2993" w:rsidRPr="00FC5FB9">
              <w:rPr>
                <w:rFonts w:ascii="Times New Roman" w:hAnsi="Times New Roman"/>
                <w:sz w:val="24"/>
                <w:szCs w:val="24"/>
                <w:lang w:val="ro-RO"/>
              </w:rPr>
              <w:t>e</w:t>
            </w:r>
            <w:r w:rsidR="007218EA" w:rsidRPr="00FC5FB9">
              <w:rPr>
                <w:rFonts w:ascii="Times New Roman" w:hAnsi="Times New Roman"/>
                <w:sz w:val="24"/>
                <w:szCs w:val="24"/>
                <w:lang w:val="ro-RO"/>
              </w:rPr>
              <w:t xml:space="preserve"> de interes național de construcție a LEA 400 kV de transport al energiei electrice Vulcănești – Chișinău</w:t>
            </w:r>
            <w:r w:rsidR="00257379" w:rsidRPr="00FC5FB9">
              <w:rPr>
                <w:rFonts w:ascii="Times New Roman" w:hAnsi="Times New Roman"/>
                <w:sz w:val="24"/>
                <w:szCs w:val="24"/>
                <w:lang w:val="ro-RO"/>
              </w:rPr>
              <w:t>, parte a proiectului citat</w:t>
            </w:r>
            <w:r w:rsidR="006A7760" w:rsidRPr="00FC5FB9">
              <w:rPr>
                <w:rFonts w:ascii="Times New Roman" w:hAnsi="Times New Roman"/>
                <w:sz w:val="24"/>
                <w:szCs w:val="24"/>
                <w:lang w:val="ro-RO"/>
              </w:rPr>
              <w:t>, dar și din cele rezultate din ședința de lucru</w:t>
            </w:r>
            <w:r w:rsidR="00830728" w:rsidRPr="00FC5FB9">
              <w:rPr>
                <w:rFonts w:ascii="Times New Roman" w:hAnsi="Times New Roman"/>
                <w:sz w:val="24"/>
                <w:szCs w:val="24"/>
              </w:rPr>
              <w:t xml:space="preserve"> </w:t>
            </w:r>
            <w:r w:rsidR="00830728" w:rsidRPr="00FC5FB9">
              <w:rPr>
                <w:rFonts w:ascii="Times New Roman" w:hAnsi="Times New Roman"/>
                <w:sz w:val="24"/>
                <w:szCs w:val="24"/>
                <w:lang w:val="ro-RO"/>
              </w:rPr>
              <w:t>cu privire la exproprierea terenurilor din com. Băcioi, mun. Chișinău, pentru construcția liniei electrice aeriene (LEA) de 400 kV Vulcănești – Chișinău din 29 aprilie 2025</w:t>
            </w:r>
            <w:r w:rsidR="000B0125" w:rsidRPr="00FC5FB9">
              <w:rPr>
                <w:rFonts w:ascii="Times New Roman" w:hAnsi="Times New Roman"/>
                <w:sz w:val="24"/>
                <w:szCs w:val="24"/>
                <w:lang w:val="ro-RO"/>
              </w:rPr>
              <w:t xml:space="preserve"> (procesul verbal se anexează)</w:t>
            </w:r>
            <w:r w:rsidR="00830728" w:rsidRPr="00FC5FB9">
              <w:rPr>
                <w:rFonts w:ascii="Times New Roman" w:hAnsi="Times New Roman"/>
                <w:sz w:val="24"/>
                <w:szCs w:val="24"/>
                <w:lang w:val="ro-RO"/>
              </w:rPr>
              <w:t>,</w:t>
            </w:r>
            <w:r w:rsidR="006A7760" w:rsidRPr="00FC5FB9">
              <w:rPr>
                <w:rFonts w:ascii="Times New Roman" w:hAnsi="Times New Roman"/>
                <w:sz w:val="24"/>
                <w:szCs w:val="24"/>
                <w:lang w:val="ro-RO"/>
              </w:rPr>
              <w:t xml:space="preserve"> convocată la solicitarea UCIPE</w:t>
            </w:r>
            <w:r w:rsidR="007218EA" w:rsidRPr="00FC5FB9">
              <w:rPr>
                <w:rFonts w:ascii="Times New Roman" w:hAnsi="Times New Roman"/>
                <w:sz w:val="24"/>
                <w:szCs w:val="24"/>
                <w:lang w:val="ro-RO"/>
              </w:rPr>
              <w:t>.</w:t>
            </w:r>
            <w:r w:rsidR="00194249" w:rsidRPr="00FC5FB9">
              <w:rPr>
                <w:rFonts w:ascii="Times New Roman" w:hAnsi="Times New Roman"/>
                <w:sz w:val="24"/>
                <w:szCs w:val="24"/>
                <w:lang w:val="ro-RO"/>
              </w:rPr>
              <w:t xml:space="preserve"> </w:t>
            </w:r>
          </w:p>
          <w:p w14:paraId="35250613" w14:textId="72AFA852" w:rsidR="00194249" w:rsidRPr="00FC5FB9" w:rsidRDefault="00194249" w:rsidP="000B0125">
            <w:pPr>
              <w:rPr>
                <w:rFonts w:ascii="Times New Roman" w:hAnsi="Times New Roman"/>
                <w:sz w:val="24"/>
                <w:szCs w:val="24"/>
                <w:lang w:val="ro-RO"/>
              </w:rPr>
            </w:pPr>
            <w:r w:rsidRPr="00FC5FB9">
              <w:rPr>
                <w:rFonts w:ascii="Times New Roman" w:hAnsi="Times New Roman"/>
                <w:sz w:val="24"/>
                <w:szCs w:val="24"/>
                <w:lang w:val="ro-RO"/>
              </w:rPr>
              <w:t xml:space="preserve">Astfel, </w:t>
            </w:r>
            <w:r w:rsidR="00907B8C" w:rsidRPr="00FC5FB9">
              <w:rPr>
                <w:rFonts w:ascii="Times New Roman" w:hAnsi="Times New Roman"/>
                <w:sz w:val="24"/>
                <w:szCs w:val="24"/>
                <w:lang w:val="ro-RO"/>
              </w:rPr>
              <w:t>prin demersurile nr. 11/2-</w:t>
            </w:r>
            <w:r w:rsidR="000B0125" w:rsidRPr="00FC5FB9">
              <w:rPr>
                <w:rFonts w:ascii="Times New Roman" w:hAnsi="Times New Roman"/>
                <w:sz w:val="24"/>
                <w:szCs w:val="24"/>
                <w:lang w:val="ro-RO"/>
              </w:rPr>
              <w:t>355</w:t>
            </w:r>
            <w:r w:rsidR="00907B8C" w:rsidRPr="00FC5FB9">
              <w:rPr>
                <w:rFonts w:ascii="Times New Roman" w:hAnsi="Times New Roman"/>
                <w:sz w:val="24"/>
                <w:szCs w:val="24"/>
                <w:lang w:val="ro-RO"/>
              </w:rPr>
              <w:t xml:space="preserve"> din </w:t>
            </w:r>
            <w:r w:rsidR="000B0125" w:rsidRPr="00FC5FB9">
              <w:rPr>
                <w:rFonts w:ascii="Times New Roman" w:hAnsi="Times New Roman"/>
                <w:sz w:val="24"/>
                <w:szCs w:val="24"/>
                <w:lang w:val="ro-RO"/>
              </w:rPr>
              <w:t>15</w:t>
            </w:r>
            <w:r w:rsidR="00907B8C" w:rsidRPr="00FC5FB9">
              <w:rPr>
                <w:rFonts w:ascii="Times New Roman" w:hAnsi="Times New Roman"/>
                <w:sz w:val="24"/>
                <w:szCs w:val="24"/>
                <w:lang w:val="ro-RO"/>
              </w:rPr>
              <w:t xml:space="preserve"> </w:t>
            </w:r>
            <w:r w:rsidR="000B0125" w:rsidRPr="00FC5FB9">
              <w:rPr>
                <w:rFonts w:ascii="Times New Roman" w:hAnsi="Times New Roman"/>
                <w:sz w:val="24"/>
                <w:szCs w:val="24"/>
                <w:lang w:val="ro-RO"/>
              </w:rPr>
              <w:t>aprilie</w:t>
            </w:r>
            <w:r w:rsidR="00907B8C" w:rsidRPr="00FC5FB9">
              <w:rPr>
                <w:rFonts w:ascii="Times New Roman" w:hAnsi="Times New Roman"/>
                <w:sz w:val="24"/>
                <w:szCs w:val="24"/>
                <w:lang w:val="ro-RO"/>
              </w:rPr>
              <w:t xml:space="preserve"> 202</w:t>
            </w:r>
            <w:r w:rsidR="000B0125" w:rsidRPr="00FC5FB9">
              <w:rPr>
                <w:rFonts w:ascii="Times New Roman" w:hAnsi="Times New Roman"/>
                <w:sz w:val="24"/>
                <w:szCs w:val="24"/>
                <w:lang w:val="ro-RO"/>
              </w:rPr>
              <w:t>5</w:t>
            </w:r>
            <w:r w:rsidR="00257379" w:rsidRPr="00FC5FB9">
              <w:rPr>
                <w:rFonts w:ascii="Times New Roman" w:hAnsi="Times New Roman"/>
                <w:sz w:val="24"/>
                <w:szCs w:val="24"/>
                <w:lang w:val="ro-RO"/>
              </w:rPr>
              <w:t xml:space="preserve">, </w:t>
            </w:r>
            <w:r w:rsidR="00907B8C" w:rsidRPr="00FC5FB9">
              <w:rPr>
                <w:rFonts w:ascii="Times New Roman" w:hAnsi="Times New Roman"/>
                <w:i/>
                <w:iCs/>
                <w:sz w:val="24"/>
                <w:szCs w:val="24"/>
                <w:lang w:val="ro-RO"/>
              </w:rPr>
              <w:t>(se anexează)</w:t>
            </w:r>
            <w:r w:rsidR="00A100CB" w:rsidRPr="00FC5FB9">
              <w:rPr>
                <w:rFonts w:ascii="Times New Roman" w:hAnsi="Times New Roman"/>
                <w:i/>
                <w:iCs/>
                <w:sz w:val="24"/>
                <w:szCs w:val="24"/>
                <w:lang w:val="ro-RO"/>
              </w:rPr>
              <w:t>,</w:t>
            </w:r>
            <w:r w:rsidR="00F428D9" w:rsidRPr="00FC5FB9">
              <w:rPr>
                <w:rFonts w:ascii="Times New Roman" w:hAnsi="Times New Roman"/>
                <w:sz w:val="24"/>
                <w:szCs w:val="24"/>
                <w:lang w:val="ro-RO"/>
              </w:rPr>
              <w:t xml:space="preserve"> UCIPE a informat Ministerul Energiei despre </w:t>
            </w:r>
            <w:r w:rsidR="000B0125" w:rsidRPr="00FC5FB9">
              <w:rPr>
                <w:rFonts w:ascii="Times New Roman" w:hAnsi="Times New Roman"/>
                <w:sz w:val="24"/>
                <w:szCs w:val="24"/>
                <w:lang w:val="ro-RO"/>
              </w:rPr>
              <w:t>dificultățile întâmpinate în procesul de expropriere a terenurilor din sectorul cadastral 5514102, com. Băcioi mun. Chișinău, pentru construcția liniei electrice aeriene (LEA) 400 kV de transport al energiei electrice Vulcănești – Chișinău.</w:t>
            </w:r>
            <w:r w:rsidR="00925229" w:rsidRPr="00FC5FB9">
              <w:rPr>
                <w:rFonts w:ascii="Times New Roman" w:hAnsi="Times New Roman"/>
                <w:sz w:val="24"/>
                <w:szCs w:val="24"/>
                <w:lang w:val="ro-RO"/>
              </w:rPr>
              <w:t xml:space="preserve"> Fiind înregistrare/depuse întâmpinările din partea proprietarilor terenurilor afectați de lucrări de construcții supuse exproprierii</w:t>
            </w:r>
            <w:r w:rsidR="00DF3C02" w:rsidRPr="00FC5FB9">
              <w:rPr>
                <w:rFonts w:ascii="Times New Roman" w:hAnsi="Times New Roman"/>
                <w:sz w:val="24"/>
                <w:szCs w:val="24"/>
                <w:lang w:val="ro-RO"/>
              </w:rPr>
              <w:t xml:space="preserve">. Subiectul întâmpinărilor fiind solicitarea exproprierii totale a terenurilor </w:t>
            </w:r>
            <w:r w:rsidR="00DC7006" w:rsidRPr="00FC5FB9">
              <w:rPr>
                <w:rFonts w:ascii="Times New Roman" w:hAnsi="Times New Roman"/>
                <w:sz w:val="24"/>
                <w:szCs w:val="24"/>
                <w:lang w:val="ro-RO"/>
              </w:rPr>
              <w:t xml:space="preserve">invocând imposibilitatea utilizării eficiente a acestora, din cauza amplasării pilonilor LEA care divizează parcelele în două segmente distincte, precum și a prezenței deja existente a LEA de 330 kV și 110 kV. În plus, zona de protecție a noii linii de 400 kV ar restricționa și mai mult utilizarea terenurilor, accesul direct fiind posibil doar pe unul dintre segmente, celălalt fiind izolat. </w:t>
            </w:r>
          </w:p>
          <w:p w14:paraId="45FA8069" w14:textId="13E0BDA0" w:rsidR="00E3414A" w:rsidRDefault="00176B25" w:rsidP="00E37F00">
            <w:pPr>
              <w:rPr>
                <w:rFonts w:ascii="Times New Roman" w:hAnsi="Times New Roman"/>
                <w:sz w:val="24"/>
                <w:szCs w:val="24"/>
                <w:lang w:val="ro-RO"/>
              </w:rPr>
            </w:pPr>
            <w:r w:rsidRPr="00176B25">
              <w:rPr>
                <w:rFonts w:ascii="Times New Roman" w:hAnsi="Times New Roman"/>
                <w:sz w:val="24"/>
                <w:szCs w:val="24"/>
                <w:lang w:val="ro-RO"/>
              </w:rPr>
              <w:t>În acest sens, luând în considerare circumstanțele din noiembrie 2022, când circa 70% din consumul de energie electrică a fost asigurat prin intermediul LEA Isaccea–Vulcănești–MGRES, precum și situația existentă începând cu 1 ianuarie 2025 și până în prezent, perioadă în care linia respectivă acoperă între 50% și 70% din necesarul de energie electrică al malului drept, și pentru a identifica eventualele obstacole care ar putea periclita respectarea termenului de implementare a Proiectului de construcție a liniei electrice aeriene (LEA) 400 kV Vulcănești–Chișinău, stabilit pentru 31 decembrie 2025, Ministerul Energiei inițiază procedura de modificare a Hotărârii Guvernului nr. 1037/2023.</w:t>
            </w:r>
          </w:p>
          <w:p w14:paraId="639F14FC" w14:textId="3FFFD640" w:rsidR="00973F14" w:rsidRPr="00FC5FB9" w:rsidRDefault="00973F14" w:rsidP="00973F14">
            <w:pPr>
              <w:rPr>
                <w:rFonts w:ascii="Times New Roman" w:hAnsi="Times New Roman"/>
                <w:sz w:val="24"/>
                <w:szCs w:val="24"/>
                <w:lang w:val="ro-RO"/>
              </w:rPr>
            </w:pPr>
            <w:r>
              <w:rPr>
                <w:rFonts w:ascii="Times New Roman" w:hAnsi="Times New Roman"/>
                <w:sz w:val="24"/>
                <w:szCs w:val="24"/>
                <w:lang w:val="ro-RO"/>
              </w:rPr>
              <w:t xml:space="preserve">Totodată, </w:t>
            </w:r>
            <w:r w:rsidRPr="00973F14">
              <w:rPr>
                <w:rFonts w:ascii="Times New Roman" w:hAnsi="Times New Roman"/>
                <w:sz w:val="24"/>
                <w:szCs w:val="24"/>
                <w:lang w:val="ro-RO"/>
              </w:rPr>
              <w:t>necesitatea accelerării dezvoltării proiectelor de infrastructură în domeniul electroenergetic, în special aferent celor de construcție a liniilor electrice de interconexiune cu Romania, a fost reiterată de mai multe ori în cadrul ședințelor Consiliului Suprem de Securitate</w:t>
            </w:r>
            <w:r>
              <w:rPr>
                <w:rFonts w:ascii="Times New Roman" w:hAnsi="Times New Roman"/>
                <w:sz w:val="24"/>
                <w:szCs w:val="24"/>
                <w:lang w:val="ro-RO"/>
              </w:rPr>
              <w:t>,</w:t>
            </w:r>
            <w:r w:rsidRPr="00973F14">
              <w:rPr>
                <w:rFonts w:ascii="Times New Roman" w:hAnsi="Times New Roman"/>
                <w:sz w:val="24"/>
                <w:szCs w:val="24"/>
                <w:lang w:val="ro-RO"/>
              </w:rPr>
              <w:t xml:space="preserve"> precum din 17 august 2023 și 14 ianuarie 2025.</w:t>
            </w:r>
          </w:p>
        </w:tc>
      </w:tr>
      <w:tr w:rsidR="007B69FD" w:rsidRPr="00FC5FB9" w14:paraId="2BE51019" w14:textId="77777777" w:rsidTr="00BA2590">
        <w:tc>
          <w:tcPr>
            <w:tcW w:w="9109" w:type="dxa"/>
            <w:shd w:val="clear" w:color="BFBFBF" w:fill="BFBFBF"/>
            <w:tcMar>
              <w:top w:w="0" w:type="dxa"/>
              <w:left w:w="108" w:type="dxa"/>
              <w:bottom w:w="0" w:type="dxa"/>
              <w:right w:w="108" w:type="dxa"/>
            </w:tcMar>
          </w:tcPr>
          <w:p w14:paraId="1729711C"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lastRenderedPageBreak/>
              <w:t>3. Obiectivele urmărite și soluțiile propuse</w:t>
            </w:r>
          </w:p>
        </w:tc>
      </w:tr>
      <w:tr w:rsidR="007B69FD" w:rsidRPr="00FC5FB9" w14:paraId="65AE2E3D" w14:textId="77777777" w:rsidTr="00BA2590">
        <w:tc>
          <w:tcPr>
            <w:tcW w:w="9109" w:type="dxa"/>
            <w:shd w:val="clear" w:color="auto" w:fill="F2F2F2" w:themeFill="background1" w:themeFillShade="F2"/>
            <w:tcMar>
              <w:top w:w="0" w:type="dxa"/>
              <w:left w:w="108" w:type="dxa"/>
              <w:bottom w:w="0" w:type="dxa"/>
              <w:right w:w="108" w:type="dxa"/>
            </w:tcMar>
          </w:tcPr>
          <w:p w14:paraId="0DA74928"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3.1. Principalele prevederi ale proiectului și evidențierea elementelor noi</w:t>
            </w:r>
          </w:p>
        </w:tc>
      </w:tr>
      <w:tr w:rsidR="00782B93" w:rsidRPr="00FC5FB9" w14:paraId="3C1F2AF2" w14:textId="77777777" w:rsidTr="00462126">
        <w:tc>
          <w:tcPr>
            <w:tcW w:w="9109" w:type="dxa"/>
            <w:shd w:val="clear" w:color="auto" w:fill="FFFFFF" w:themeFill="background1"/>
            <w:tcMar>
              <w:top w:w="0" w:type="dxa"/>
              <w:left w:w="108" w:type="dxa"/>
              <w:bottom w:w="0" w:type="dxa"/>
              <w:right w:w="108" w:type="dxa"/>
            </w:tcMar>
          </w:tcPr>
          <w:p w14:paraId="2C8D8359" w14:textId="77777777" w:rsidR="00782B93" w:rsidRPr="00FC5FB9" w:rsidRDefault="0061678D" w:rsidP="00E37F00">
            <w:pPr>
              <w:rPr>
                <w:rFonts w:ascii="Times New Roman" w:hAnsi="Times New Roman"/>
                <w:sz w:val="24"/>
                <w:szCs w:val="24"/>
                <w:lang w:val="ro-RO"/>
              </w:rPr>
            </w:pPr>
            <w:r w:rsidRPr="00FC5FB9">
              <w:rPr>
                <w:rFonts w:ascii="Times New Roman" w:hAnsi="Times New Roman"/>
                <w:sz w:val="24"/>
                <w:szCs w:val="24"/>
                <w:lang w:val="ro-RO"/>
              </w:rPr>
              <w:t xml:space="preserve">Proiectul Hotărârii de Guvern </w:t>
            </w:r>
            <w:r w:rsidR="00D17CCC" w:rsidRPr="00FC5FB9">
              <w:rPr>
                <w:rFonts w:ascii="Times New Roman" w:hAnsi="Times New Roman"/>
                <w:sz w:val="24"/>
                <w:szCs w:val="24"/>
                <w:lang w:val="ro-RO"/>
              </w:rPr>
              <w:t xml:space="preserve">prevede următoarele </w:t>
            </w:r>
            <w:r w:rsidR="00C72478" w:rsidRPr="00FC5FB9">
              <w:rPr>
                <w:rFonts w:ascii="Times New Roman" w:hAnsi="Times New Roman"/>
                <w:sz w:val="24"/>
                <w:szCs w:val="24"/>
                <w:lang w:val="ro-RO"/>
              </w:rPr>
              <w:t xml:space="preserve">obiective </w:t>
            </w:r>
            <w:r w:rsidR="00D17CCC" w:rsidRPr="00FC5FB9">
              <w:rPr>
                <w:rFonts w:ascii="Times New Roman" w:hAnsi="Times New Roman"/>
                <w:sz w:val="24"/>
                <w:szCs w:val="24"/>
                <w:lang w:val="ro-RO"/>
              </w:rPr>
              <w:t>stabilite de autorii proiectului:</w:t>
            </w:r>
          </w:p>
          <w:p w14:paraId="305A989E" w14:textId="6643968D" w:rsidR="00C72478" w:rsidRPr="00FC5FB9" w:rsidRDefault="00C72478" w:rsidP="00E37F00">
            <w:pPr>
              <w:pStyle w:val="Listparagraf"/>
              <w:numPr>
                <w:ilvl w:val="0"/>
                <w:numId w:val="44"/>
              </w:numPr>
              <w:tabs>
                <w:tab w:val="left" w:pos="875"/>
              </w:tabs>
              <w:ind w:left="24" w:firstLine="567"/>
              <w:rPr>
                <w:rFonts w:ascii="Times New Roman" w:hAnsi="Times New Roman"/>
                <w:sz w:val="24"/>
                <w:szCs w:val="24"/>
                <w:lang w:val="ro-RO"/>
              </w:rPr>
            </w:pPr>
            <w:r w:rsidRPr="00FC5FB9">
              <w:rPr>
                <w:rFonts w:ascii="Times New Roman" w:hAnsi="Times New Roman"/>
                <w:b/>
                <w:bCs/>
                <w:sz w:val="24"/>
                <w:szCs w:val="24"/>
                <w:lang w:val="ro-RO"/>
              </w:rPr>
              <w:t>Mo</w:t>
            </w:r>
            <w:r w:rsidR="00FF55E0" w:rsidRPr="00FC5FB9">
              <w:rPr>
                <w:rFonts w:ascii="Times New Roman" w:hAnsi="Times New Roman"/>
                <w:b/>
                <w:bCs/>
                <w:sz w:val="24"/>
                <w:szCs w:val="24"/>
                <w:lang w:val="ro-RO"/>
              </w:rPr>
              <w:t>dificarea Anexei nr. 1</w:t>
            </w:r>
            <w:r w:rsidR="00FF55E0" w:rsidRPr="00FC5FB9">
              <w:rPr>
                <w:rFonts w:ascii="Times New Roman" w:hAnsi="Times New Roman"/>
                <w:sz w:val="24"/>
                <w:szCs w:val="24"/>
                <w:lang w:val="ro-RO"/>
              </w:rPr>
              <w:t xml:space="preserve"> Lista bunurilor imobile afectate permanent de lucrările de interes național de construcție a liniei electrice aeriene (LEA) 400 kV de transport al energiei electrice Vulcănești–Chișinău</w:t>
            </w:r>
            <w:r w:rsidR="00604B48" w:rsidRPr="00FC5FB9">
              <w:rPr>
                <w:rFonts w:ascii="Times New Roman" w:hAnsi="Times New Roman"/>
                <w:sz w:val="24"/>
                <w:szCs w:val="24"/>
                <w:lang w:val="ro-RO"/>
              </w:rPr>
              <w:t>;</w:t>
            </w:r>
          </w:p>
          <w:p w14:paraId="5DD74D3F" w14:textId="0B636C72" w:rsidR="00825F84" w:rsidRPr="00FC5FB9" w:rsidRDefault="00EA35AD" w:rsidP="00FC5FB9">
            <w:pPr>
              <w:spacing w:after="60"/>
              <w:rPr>
                <w:rFonts w:ascii="Times New Roman" w:hAnsi="Times New Roman"/>
                <w:sz w:val="24"/>
                <w:szCs w:val="24"/>
                <w:lang w:val="ro-RO"/>
              </w:rPr>
            </w:pPr>
            <w:r w:rsidRPr="00FC5FB9">
              <w:rPr>
                <w:rFonts w:ascii="Times New Roman" w:hAnsi="Times New Roman"/>
                <w:sz w:val="24"/>
                <w:szCs w:val="24"/>
                <w:lang w:val="ro-RO"/>
              </w:rPr>
              <w:t>În a</w:t>
            </w:r>
            <w:r w:rsidR="00977B7F" w:rsidRPr="00FC5FB9">
              <w:rPr>
                <w:rFonts w:ascii="Times New Roman" w:hAnsi="Times New Roman"/>
                <w:sz w:val="24"/>
                <w:szCs w:val="24"/>
                <w:lang w:val="ro-RO"/>
              </w:rPr>
              <w:t>nexa nr. 1</w:t>
            </w:r>
            <w:r w:rsidRPr="00FC5FB9">
              <w:rPr>
                <w:rFonts w:ascii="Times New Roman" w:hAnsi="Times New Roman"/>
                <w:sz w:val="24"/>
                <w:szCs w:val="24"/>
                <w:lang w:val="ro-RO"/>
              </w:rPr>
              <w:t xml:space="preserve"> la compartimentul „com. Băcioi mun. Chişinău”, </w:t>
            </w:r>
            <w:r w:rsidR="00484BB8" w:rsidRPr="00FC5FB9">
              <w:rPr>
                <w:rFonts w:ascii="Times New Roman" w:hAnsi="Times New Roman"/>
                <w:sz w:val="24"/>
                <w:szCs w:val="24"/>
                <w:lang w:val="ro-RO"/>
              </w:rPr>
              <w:t xml:space="preserve">la </w:t>
            </w:r>
            <w:r w:rsidRPr="00FC5FB9">
              <w:rPr>
                <w:rFonts w:ascii="Times New Roman" w:hAnsi="Times New Roman"/>
                <w:sz w:val="24"/>
                <w:szCs w:val="24"/>
                <w:lang w:val="ro-RO"/>
              </w:rPr>
              <w:t>pozițiile nr. 24, 25, 26, 27, 28, 29, 30, 31, 32, 33, 34, 35, 36, 37, 39, 40, 41, 42</w:t>
            </w:r>
            <w:r w:rsidR="00143012">
              <w:rPr>
                <w:rFonts w:ascii="Times New Roman" w:hAnsi="Times New Roman"/>
                <w:sz w:val="24"/>
                <w:szCs w:val="24"/>
                <w:lang w:val="ro-RO"/>
              </w:rPr>
              <w:t>,</w:t>
            </w:r>
            <w:r w:rsidRPr="00FC5FB9">
              <w:rPr>
                <w:rFonts w:ascii="Times New Roman" w:hAnsi="Times New Roman"/>
                <w:sz w:val="24"/>
                <w:szCs w:val="24"/>
                <w:lang w:val="ro-RO"/>
              </w:rPr>
              <w:t xml:space="preserve"> 43</w:t>
            </w:r>
            <w:r w:rsidR="00143012">
              <w:rPr>
                <w:rFonts w:ascii="Times New Roman" w:hAnsi="Times New Roman"/>
                <w:sz w:val="24"/>
                <w:szCs w:val="24"/>
                <w:lang w:val="ro-RO"/>
              </w:rPr>
              <w:t xml:space="preserve"> și 44</w:t>
            </w:r>
            <w:r w:rsidRPr="00FC5FB9">
              <w:rPr>
                <w:rFonts w:ascii="Times New Roman" w:hAnsi="Times New Roman"/>
                <w:sz w:val="24"/>
                <w:szCs w:val="24"/>
                <w:lang w:val="ro-RO"/>
              </w:rPr>
              <w:t xml:space="preserve"> </w:t>
            </w:r>
            <w:r w:rsidR="00D41F19" w:rsidRPr="00FC5FB9">
              <w:rPr>
                <w:rFonts w:ascii="Times New Roman" w:hAnsi="Times New Roman"/>
                <w:sz w:val="24"/>
                <w:szCs w:val="24"/>
                <w:lang w:val="ro-RO"/>
              </w:rPr>
              <w:t>se urmărește a fi modificată suprafața de teren afectat</w:t>
            </w:r>
            <w:r w:rsidR="00484BB8" w:rsidRPr="00FC5FB9">
              <w:rPr>
                <w:rFonts w:ascii="Times New Roman" w:hAnsi="Times New Roman"/>
                <w:sz w:val="24"/>
                <w:szCs w:val="24"/>
                <w:lang w:val="ro-RO"/>
              </w:rPr>
              <w:t xml:space="preserve"> permanent</w:t>
            </w:r>
            <w:r w:rsidR="00D41F19" w:rsidRPr="00FC5FB9">
              <w:rPr>
                <w:rFonts w:ascii="Times New Roman" w:hAnsi="Times New Roman"/>
                <w:sz w:val="24"/>
                <w:szCs w:val="24"/>
                <w:lang w:val="ro-RO"/>
              </w:rPr>
              <w:t xml:space="preserve"> (ha)</w:t>
            </w:r>
            <w:r w:rsidR="00CD0464" w:rsidRPr="00FC5FB9">
              <w:rPr>
                <w:rFonts w:ascii="Times New Roman" w:hAnsi="Times New Roman"/>
                <w:sz w:val="24"/>
                <w:szCs w:val="24"/>
                <w:lang w:val="ro-RO"/>
              </w:rPr>
              <w:t xml:space="preserve">, </w:t>
            </w:r>
            <w:r w:rsidR="00825F84" w:rsidRPr="00FC5FB9">
              <w:rPr>
                <w:rFonts w:ascii="Times New Roman" w:hAnsi="Times New Roman"/>
                <w:sz w:val="24"/>
                <w:szCs w:val="24"/>
                <w:lang w:val="ro-RO"/>
              </w:rPr>
              <w:t>conform tabelului de mai jos.</w:t>
            </w:r>
          </w:p>
          <w:tbl>
            <w:tblPr>
              <w:tblStyle w:val="Tabelgril"/>
              <w:tblW w:w="0" w:type="auto"/>
              <w:tblLook w:val="04A0" w:firstRow="1" w:lastRow="0" w:firstColumn="1" w:lastColumn="0" w:noHBand="0" w:noVBand="1"/>
            </w:tblPr>
            <w:tblGrid>
              <w:gridCol w:w="1156"/>
              <w:gridCol w:w="3863"/>
              <w:gridCol w:w="3864"/>
            </w:tblGrid>
            <w:tr w:rsidR="0025300C" w:rsidRPr="00FC5FB9" w14:paraId="21F3463D" w14:textId="77777777" w:rsidTr="00FC5FB9">
              <w:tc>
                <w:tcPr>
                  <w:tcW w:w="1156" w:type="dxa"/>
                  <w:shd w:val="clear" w:color="auto" w:fill="FBD4B4" w:themeFill="accent6" w:themeFillTint="66"/>
                  <w:vAlign w:val="center"/>
                </w:tcPr>
                <w:p w14:paraId="16DC267A" w14:textId="43F7609A" w:rsidR="0025300C" w:rsidRPr="00FC5FB9" w:rsidRDefault="0025300C" w:rsidP="00FC5FB9">
                  <w:pPr>
                    <w:ind w:firstLine="0"/>
                    <w:jc w:val="center"/>
                    <w:rPr>
                      <w:rFonts w:ascii="Times New Roman" w:hAnsi="Times New Roman"/>
                      <w:b/>
                      <w:bCs/>
                      <w:sz w:val="24"/>
                      <w:szCs w:val="24"/>
                      <w:lang w:val="ro-RO"/>
                    </w:rPr>
                  </w:pPr>
                  <w:r w:rsidRPr="00FC5FB9">
                    <w:rPr>
                      <w:rFonts w:ascii="Times New Roman" w:hAnsi="Times New Roman"/>
                      <w:b/>
                      <w:bCs/>
                      <w:sz w:val="24"/>
                      <w:szCs w:val="24"/>
                      <w:lang w:val="ro-RO"/>
                    </w:rPr>
                    <w:t>Nr.</w:t>
                  </w:r>
                </w:p>
              </w:tc>
              <w:tc>
                <w:tcPr>
                  <w:tcW w:w="3863" w:type="dxa"/>
                  <w:shd w:val="clear" w:color="auto" w:fill="FBD4B4" w:themeFill="accent6" w:themeFillTint="66"/>
                  <w:vAlign w:val="center"/>
                </w:tcPr>
                <w:p w14:paraId="16BCD1E4" w14:textId="24D02659" w:rsidR="0025300C" w:rsidRPr="00FC5FB9" w:rsidRDefault="0025300C" w:rsidP="00FC5FB9">
                  <w:pPr>
                    <w:ind w:firstLine="0"/>
                    <w:jc w:val="center"/>
                    <w:rPr>
                      <w:rFonts w:ascii="Times New Roman" w:hAnsi="Times New Roman"/>
                      <w:b/>
                      <w:bCs/>
                      <w:sz w:val="24"/>
                      <w:szCs w:val="24"/>
                      <w:lang w:val="ro-RO"/>
                    </w:rPr>
                  </w:pPr>
                  <w:r w:rsidRPr="00FC5FB9">
                    <w:rPr>
                      <w:rFonts w:ascii="Times New Roman" w:hAnsi="Times New Roman"/>
                      <w:b/>
                      <w:bCs/>
                      <w:sz w:val="24"/>
                      <w:szCs w:val="24"/>
                      <w:lang w:val="ro-RO"/>
                    </w:rPr>
                    <w:t>Suprafața de teren afectată (ha) aprobată de Hotărârea de Guvern nr. 1037/2023</w:t>
                  </w:r>
                </w:p>
              </w:tc>
              <w:tc>
                <w:tcPr>
                  <w:tcW w:w="3864" w:type="dxa"/>
                  <w:shd w:val="clear" w:color="auto" w:fill="FBD4B4" w:themeFill="accent6" w:themeFillTint="66"/>
                  <w:vAlign w:val="center"/>
                </w:tcPr>
                <w:p w14:paraId="64CCDAD0" w14:textId="19AC6A76" w:rsidR="0025300C" w:rsidRPr="00FC5FB9" w:rsidRDefault="0025300C" w:rsidP="00FC5FB9">
                  <w:pPr>
                    <w:ind w:firstLine="0"/>
                    <w:jc w:val="center"/>
                    <w:rPr>
                      <w:rFonts w:ascii="Times New Roman" w:hAnsi="Times New Roman"/>
                      <w:b/>
                      <w:bCs/>
                      <w:sz w:val="24"/>
                      <w:szCs w:val="24"/>
                      <w:lang w:val="ro-RO"/>
                    </w:rPr>
                  </w:pPr>
                  <w:r w:rsidRPr="00FC5FB9">
                    <w:rPr>
                      <w:rFonts w:ascii="Times New Roman" w:hAnsi="Times New Roman"/>
                      <w:b/>
                      <w:bCs/>
                      <w:sz w:val="24"/>
                      <w:szCs w:val="24"/>
                      <w:lang w:val="ro-RO"/>
                    </w:rPr>
                    <w:t>Suprafața de teren afectată (ha)</w:t>
                  </w:r>
                  <w:r w:rsidR="00155698" w:rsidRPr="00FC5FB9">
                    <w:rPr>
                      <w:rFonts w:ascii="Times New Roman" w:hAnsi="Times New Roman"/>
                      <w:b/>
                      <w:bCs/>
                      <w:sz w:val="24"/>
                      <w:szCs w:val="24"/>
                      <w:lang w:val="ro-RO"/>
                    </w:rPr>
                    <w:t xml:space="preserve"> </w:t>
                  </w:r>
                  <w:r w:rsidR="00CD0464" w:rsidRPr="00FC5FB9">
                    <w:rPr>
                      <w:rFonts w:ascii="Times New Roman" w:hAnsi="Times New Roman"/>
                      <w:b/>
                      <w:bCs/>
                      <w:sz w:val="24"/>
                      <w:szCs w:val="24"/>
                      <w:lang w:val="ro-RO"/>
                    </w:rPr>
                    <w:br/>
                  </w:r>
                  <w:r w:rsidR="00155698" w:rsidRPr="00FC5FB9">
                    <w:rPr>
                      <w:rFonts w:ascii="Times New Roman" w:hAnsi="Times New Roman"/>
                      <w:b/>
                      <w:bCs/>
                      <w:sz w:val="24"/>
                      <w:szCs w:val="24"/>
                      <w:lang w:val="ro-RO"/>
                    </w:rPr>
                    <w:t>după modificare</w:t>
                  </w:r>
                </w:p>
              </w:tc>
            </w:tr>
            <w:tr w:rsidR="001078C1" w:rsidRPr="00FC5FB9" w14:paraId="771DADA8" w14:textId="77777777" w:rsidTr="00FC5FB9">
              <w:tc>
                <w:tcPr>
                  <w:tcW w:w="1156" w:type="dxa"/>
                  <w:vAlign w:val="center"/>
                </w:tcPr>
                <w:p w14:paraId="7DE6D9E0" w14:textId="755AF91C" w:rsidR="001078C1"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24</w:t>
                  </w:r>
                </w:p>
              </w:tc>
              <w:tc>
                <w:tcPr>
                  <w:tcW w:w="3863" w:type="dxa"/>
                  <w:vAlign w:val="center"/>
                </w:tcPr>
                <w:p w14:paraId="1C417125" w14:textId="73851CDB" w:rsidR="001078C1"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rPr>
                    <w:t>0.0046</w:t>
                  </w:r>
                </w:p>
              </w:tc>
              <w:tc>
                <w:tcPr>
                  <w:tcW w:w="3864" w:type="dxa"/>
                  <w:vAlign w:val="center"/>
                </w:tcPr>
                <w:p w14:paraId="159E5B35" w14:textId="3D906ED1" w:rsidR="001078C1"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rPr>
                    <w:t>0.1384</w:t>
                  </w:r>
                </w:p>
              </w:tc>
            </w:tr>
            <w:tr w:rsidR="001078C1" w:rsidRPr="00FC5FB9" w14:paraId="02E2A9B6" w14:textId="77777777" w:rsidTr="00FC5FB9">
              <w:tc>
                <w:tcPr>
                  <w:tcW w:w="1156" w:type="dxa"/>
                  <w:vAlign w:val="center"/>
                </w:tcPr>
                <w:p w14:paraId="0FE36155" w14:textId="5A09FA53" w:rsidR="001078C1"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25</w:t>
                  </w:r>
                </w:p>
              </w:tc>
              <w:tc>
                <w:tcPr>
                  <w:tcW w:w="3863" w:type="dxa"/>
                  <w:vAlign w:val="center"/>
                </w:tcPr>
                <w:p w14:paraId="2119C256" w14:textId="54B10241" w:rsidR="001078C1"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rPr>
                    <w:t>0.0225</w:t>
                  </w:r>
                </w:p>
              </w:tc>
              <w:tc>
                <w:tcPr>
                  <w:tcW w:w="3864" w:type="dxa"/>
                  <w:vAlign w:val="center"/>
                </w:tcPr>
                <w:p w14:paraId="74412984" w14:textId="68F80B5C" w:rsidR="001078C1"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rPr>
                    <w:t>0.1388</w:t>
                  </w:r>
                </w:p>
              </w:tc>
            </w:tr>
            <w:tr w:rsidR="00C4412F" w:rsidRPr="00FC5FB9" w14:paraId="1C13A395" w14:textId="77777777" w:rsidTr="00FC5FB9">
              <w:tc>
                <w:tcPr>
                  <w:tcW w:w="1156" w:type="dxa"/>
                  <w:vAlign w:val="center"/>
                </w:tcPr>
                <w:p w14:paraId="556AB0A6" w14:textId="03F3498A"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26</w:t>
                  </w:r>
                </w:p>
              </w:tc>
              <w:tc>
                <w:tcPr>
                  <w:tcW w:w="3863" w:type="dxa"/>
                  <w:vAlign w:val="center"/>
                </w:tcPr>
                <w:p w14:paraId="7907B621" w14:textId="3E44148A" w:rsidR="00C4412F" w:rsidRPr="00FC5FB9" w:rsidRDefault="000B4013"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0.0321</w:t>
                  </w:r>
                </w:p>
              </w:tc>
              <w:tc>
                <w:tcPr>
                  <w:tcW w:w="3864" w:type="dxa"/>
                  <w:vAlign w:val="center"/>
                </w:tcPr>
                <w:p w14:paraId="37E30A6C" w14:textId="05F27271"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0.1392</w:t>
                  </w:r>
                </w:p>
              </w:tc>
            </w:tr>
            <w:tr w:rsidR="00D8124F" w:rsidRPr="00FC5FB9" w14:paraId="647A33C0" w14:textId="77777777" w:rsidTr="00FC5FB9">
              <w:tc>
                <w:tcPr>
                  <w:tcW w:w="1156" w:type="dxa"/>
                  <w:vAlign w:val="center"/>
                </w:tcPr>
                <w:p w14:paraId="6B27FDE9" w14:textId="23A1B05F" w:rsidR="00D8124F" w:rsidRPr="00FC5FB9" w:rsidRDefault="00D8124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27</w:t>
                  </w:r>
                </w:p>
              </w:tc>
              <w:tc>
                <w:tcPr>
                  <w:tcW w:w="3863" w:type="dxa"/>
                  <w:vAlign w:val="center"/>
                </w:tcPr>
                <w:p w14:paraId="7844C5C2" w14:textId="4F984779" w:rsidR="00D8124F" w:rsidRPr="00FC5FB9" w:rsidRDefault="00D8124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0.0287</w:t>
                  </w:r>
                </w:p>
              </w:tc>
              <w:tc>
                <w:tcPr>
                  <w:tcW w:w="3864" w:type="dxa"/>
                  <w:vAlign w:val="center"/>
                </w:tcPr>
                <w:p w14:paraId="016395E5" w14:textId="4F8BC491" w:rsidR="00D8124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0.2322</w:t>
                  </w:r>
                </w:p>
              </w:tc>
            </w:tr>
            <w:tr w:rsidR="00D8124F" w:rsidRPr="00FC5FB9" w14:paraId="671BC030" w14:textId="77777777" w:rsidTr="00FC5FB9">
              <w:tc>
                <w:tcPr>
                  <w:tcW w:w="1156" w:type="dxa"/>
                  <w:vAlign w:val="center"/>
                </w:tcPr>
                <w:p w14:paraId="7F016F97" w14:textId="00E04DC1" w:rsidR="00D8124F" w:rsidRPr="00FC5FB9" w:rsidRDefault="00D8124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28</w:t>
                  </w:r>
                </w:p>
              </w:tc>
              <w:tc>
                <w:tcPr>
                  <w:tcW w:w="3863" w:type="dxa"/>
                  <w:vAlign w:val="center"/>
                </w:tcPr>
                <w:p w14:paraId="7522F0E8" w14:textId="2ABCDADF" w:rsidR="00D8124F" w:rsidRPr="00FC5FB9" w:rsidRDefault="00D8124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0.0121</w:t>
                  </w:r>
                </w:p>
              </w:tc>
              <w:tc>
                <w:tcPr>
                  <w:tcW w:w="3864" w:type="dxa"/>
                  <w:vAlign w:val="center"/>
                </w:tcPr>
                <w:p w14:paraId="5880FAA0" w14:textId="77F8D597" w:rsidR="00D8124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0.0316</w:t>
                  </w:r>
                </w:p>
              </w:tc>
            </w:tr>
            <w:tr w:rsidR="00C4412F" w:rsidRPr="00FC5FB9" w14:paraId="5B849317" w14:textId="77777777" w:rsidTr="00FC5FB9">
              <w:tc>
                <w:tcPr>
                  <w:tcW w:w="1156" w:type="dxa"/>
                  <w:vAlign w:val="center"/>
                </w:tcPr>
                <w:p w14:paraId="051DBABA" w14:textId="5EC604ED"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29</w:t>
                  </w:r>
                </w:p>
              </w:tc>
              <w:tc>
                <w:tcPr>
                  <w:tcW w:w="3863" w:type="dxa"/>
                  <w:vAlign w:val="center"/>
                </w:tcPr>
                <w:p w14:paraId="60912113" w14:textId="418C3370" w:rsidR="00C4412F" w:rsidRPr="00FC5FB9" w:rsidRDefault="000B4013"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0.0615</w:t>
                  </w:r>
                </w:p>
              </w:tc>
              <w:tc>
                <w:tcPr>
                  <w:tcW w:w="3864" w:type="dxa"/>
                  <w:vAlign w:val="center"/>
                </w:tcPr>
                <w:p w14:paraId="3AAEB5E3" w14:textId="0A571D08"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0.1057</w:t>
                  </w:r>
                </w:p>
              </w:tc>
            </w:tr>
            <w:tr w:rsidR="00C4412F" w:rsidRPr="00FC5FB9" w14:paraId="2F4E809F" w14:textId="77777777" w:rsidTr="00FC5FB9">
              <w:tc>
                <w:tcPr>
                  <w:tcW w:w="1156" w:type="dxa"/>
                  <w:vAlign w:val="center"/>
                </w:tcPr>
                <w:p w14:paraId="14F89E3D" w14:textId="06CEEC4E"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30</w:t>
                  </w:r>
                </w:p>
              </w:tc>
              <w:tc>
                <w:tcPr>
                  <w:tcW w:w="3863" w:type="dxa"/>
                  <w:vAlign w:val="center"/>
                </w:tcPr>
                <w:p w14:paraId="20DB5936" w14:textId="0C045B3F" w:rsidR="00C4412F" w:rsidRPr="00FC5FB9" w:rsidRDefault="000B4013"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0.0238</w:t>
                  </w:r>
                </w:p>
              </w:tc>
              <w:tc>
                <w:tcPr>
                  <w:tcW w:w="3864" w:type="dxa"/>
                  <w:vAlign w:val="center"/>
                </w:tcPr>
                <w:p w14:paraId="19FA384C" w14:textId="52CEB3DC"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0.0424</w:t>
                  </w:r>
                </w:p>
              </w:tc>
            </w:tr>
            <w:tr w:rsidR="00C4412F" w:rsidRPr="00FC5FB9" w14:paraId="15DB7E0E" w14:textId="77777777" w:rsidTr="00FC5FB9">
              <w:tc>
                <w:tcPr>
                  <w:tcW w:w="1156" w:type="dxa"/>
                  <w:vAlign w:val="center"/>
                </w:tcPr>
                <w:p w14:paraId="11868886" w14:textId="0DC3EEDE"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31</w:t>
                  </w:r>
                </w:p>
              </w:tc>
              <w:tc>
                <w:tcPr>
                  <w:tcW w:w="3863" w:type="dxa"/>
                  <w:vAlign w:val="center"/>
                </w:tcPr>
                <w:p w14:paraId="7130298F" w14:textId="13A52ACF" w:rsidR="00C4412F" w:rsidRPr="00FC5FB9" w:rsidRDefault="000B4013"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0.0123</w:t>
                  </w:r>
                </w:p>
              </w:tc>
              <w:tc>
                <w:tcPr>
                  <w:tcW w:w="3864" w:type="dxa"/>
                  <w:vAlign w:val="center"/>
                </w:tcPr>
                <w:p w14:paraId="5FB74B95" w14:textId="06FA9BA7"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0.0222</w:t>
                  </w:r>
                </w:p>
              </w:tc>
            </w:tr>
            <w:tr w:rsidR="00C4412F" w:rsidRPr="00FC5FB9" w14:paraId="78F784EE" w14:textId="77777777" w:rsidTr="00FC5FB9">
              <w:tc>
                <w:tcPr>
                  <w:tcW w:w="1156" w:type="dxa"/>
                  <w:vAlign w:val="center"/>
                </w:tcPr>
                <w:p w14:paraId="290C58DF" w14:textId="459B2E31"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lastRenderedPageBreak/>
                    <w:t>32</w:t>
                  </w:r>
                </w:p>
              </w:tc>
              <w:tc>
                <w:tcPr>
                  <w:tcW w:w="3863" w:type="dxa"/>
                  <w:vAlign w:val="center"/>
                </w:tcPr>
                <w:p w14:paraId="59BA2A6B" w14:textId="118EAF8E" w:rsidR="00C4412F" w:rsidRPr="00FC5FB9" w:rsidRDefault="000B4013"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0.0238</w:t>
                  </w:r>
                </w:p>
              </w:tc>
              <w:tc>
                <w:tcPr>
                  <w:tcW w:w="3864" w:type="dxa"/>
                  <w:vAlign w:val="center"/>
                </w:tcPr>
                <w:p w14:paraId="55FA28AE" w14:textId="0435EBF0"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0.0436</w:t>
                  </w:r>
                </w:p>
              </w:tc>
            </w:tr>
            <w:tr w:rsidR="00C4412F" w:rsidRPr="00FC5FB9" w14:paraId="35BCBDE1" w14:textId="77777777" w:rsidTr="00FC5FB9">
              <w:tc>
                <w:tcPr>
                  <w:tcW w:w="1156" w:type="dxa"/>
                  <w:vAlign w:val="center"/>
                </w:tcPr>
                <w:p w14:paraId="0CEF831C" w14:textId="383A3BE5"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33</w:t>
                  </w:r>
                </w:p>
              </w:tc>
              <w:tc>
                <w:tcPr>
                  <w:tcW w:w="3863" w:type="dxa"/>
                  <w:vAlign w:val="center"/>
                </w:tcPr>
                <w:p w14:paraId="5B857813" w14:textId="76343263" w:rsidR="00C4412F" w:rsidRPr="00FC5FB9" w:rsidRDefault="000B4013"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0.013</w:t>
                  </w:r>
                </w:p>
              </w:tc>
              <w:tc>
                <w:tcPr>
                  <w:tcW w:w="3864" w:type="dxa"/>
                  <w:vAlign w:val="center"/>
                </w:tcPr>
                <w:p w14:paraId="2A5C65DE" w14:textId="67A38749"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0.0446</w:t>
                  </w:r>
                </w:p>
              </w:tc>
            </w:tr>
            <w:tr w:rsidR="00C4412F" w:rsidRPr="00FC5FB9" w14:paraId="68807394" w14:textId="77777777" w:rsidTr="00FC5FB9">
              <w:tc>
                <w:tcPr>
                  <w:tcW w:w="1156" w:type="dxa"/>
                  <w:vAlign w:val="center"/>
                </w:tcPr>
                <w:p w14:paraId="33A6B4A9" w14:textId="4E50362D" w:rsidR="00C4412F" w:rsidRPr="00FC5FB9" w:rsidRDefault="00C4412F"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34</w:t>
                  </w:r>
                </w:p>
              </w:tc>
              <w:tc>
                <w:tcPr>
                  <w:tcW w:w="3863" w:type="dxa"/>
                  <w:vAlign w:val="center"/>
                </w:tcPr>
                <w:p w14:paraId="1D6D97AE" w14:textId="38C18376" w:rsidR="00C4412F" w:rsidRPr="00FC5FB9" w:rsidRDefault="002324F0"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0.0232</w:t>
                  </w:r>
                </w:p>
              </w:tc>
              <w:tc>
                <w:tcPr>
                  <w:tcW w:w="3864" w:type="dxa"/>
                  <w:vAlign w:val="center"/>
                </w:tcPr>
                <w:p w14:paraId="1060B15A" w14:textId="183F368C" w:rsidR="00C4412F" w:rsidRPr="00FC5FB9" w:rsidRDefault="001078C1"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0.0627</w:t>
                  </w:r>
                </w:p>
              </w:tc>
            </w:tr>
            <w:tr w:rsidR="00CD0464" w:rsidRPr="00FC5FB9" w14:paraId="31444205" w14:textId="77777777" w:rsidTr="00FC5FB9">
              <w:tc>
                <w:tcPr>
                  <w:tcW w:w="1156" w:type="dxa"/>
                  <w:vAlign w:val="center"/>
                </w:tcPr>
                <w:p w14:paraId="4A0CCE50" w14:textId="42C0A6D7"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35</w:t>
                  </w:r>
                </w:p>
              </w:tc>
              <w:tc>
                <w:tcPr>
                  <w:tcW w:w="3863" w:type="dxa"/>
                  <w:vAlign w:val="center"/>
                </w:tcPr>
                <w:p w14:paraId="68539EAA" w14:textId="45BA035A"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0.0309</w:t>
                  </w:r>
                </w:p>
              </w:tc>
              <w:tc>
                <w:tcPr>
                  <w:tcW w:w="3864" w:type="dxa"/>
                  <w:vAlign w:val="center"/>
                </w:tcPr>
                <w:p w14:paraId="6AFAC429" w14:textId="545F84F6"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0.0448</w:t>
                  </w:r>
                </w:p>
              </w:tc>
            </w:tr>
            <w:tr w:rsidR="00CD0464" w:rsidRPr="00FC5FB9" w14:paraId="5686CFA6" w14:textId="77777777" w:rsidTr="00FC5FB9">
              <w:tc>
                <w:tcPr>
                  <w:tcW w:w="1156" w:type="dxa"/>
                  <w:vAlign w:val="center"/>
                </w:tcPr>
                <w:p w14:paraId="215E9DEB" w14:textId="7E4EB093"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36</w:t>
                  </w:r>
                </w:p>
              </w:tc>
              <w:tc>
                <w:tcPr>
                  <w:tcW w:w="3863" w:type="dxa"/>
                  <w:vAlign w:val="center"/>
                </w:tcPr>
                <w:p w14:paraId="45DCFFE9" w14:textId="727EF253"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0.031</w:t>
                  </w:r>
                </w:p>
              </w:tc>
              <w:tc>
                <w:tcPr>
                  <w:tcW w:w="3864" w:type="dxa"/>
                  <w:vAlign w:val="center"/>
                </w:tcPr>
                <w:p w14:paraId="4A5268AF" w14:textId="6F7CA908"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0.0484</w:t>
                  </w:r>
                </w:p>
              </w:tc>
            </w:tr>
            <w:tr w:rsidR="00CD0464" w:rsidRPr="00FC5FB9" w14:paraId="405DCE65" w14:textId="77777777" w:rsidTr="00FC5FB9">
              <w:tc>
                <w:tcPr>
                  <w:tcW w:w="1156" w:type="dxa"/>
                  <w:vAlign w:val="center"/>
                </w:tcPr>
                <w:p w14:paraId="574391B7" w14:textId="24417809"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37</w:t>
                  </w:r>
                </w:p>
              </w:tc>
              <w:tc>
                <w:tcPr>
                  <w:tcW w:w="3863" w:type="dxa"/>
                  <w:vAlign w:val="center"/>
                </w:tcPr>
                <w:p w14:paraId="563A0BE5" w14:textId="3A0B4835"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0.0145</w:t>
                  </w:r>
                </w:p>
              </w:tc>
              <w:tc>
                <w:tcPr>
                  <w:tcW w:w="3864" w:type="dxa"/>
                  <w:vAlign w:val="center"/>
                </w:tcPr>
                <w:p w14:paraId="0BE7380C" w14:textId="1C6D85AE"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0.0278</w:t>
                  </w:r>
                </w:p>
              </w:tc>
            </w:tr>
            <w:tr w:rsidR="001078D1" w:rsidRPr="00FC5FB9" w14:paraId="5D06532D" w14:textId="77777777" w:rsidTr="00FC5FB9">
              <w:tc>
                <w:tcPr>
                  <w:tcW w:w="1156" w:type="dxa"/>
                  <w:vAlign w:val="center"/>
                </w:tcPr>
                <w:p w14:paraId="31141A62" w14:textId="419CC8D0" w:rsidR="001078D1" w:rsidRPr="001078D1" w:rsidRDefault="001078D1" w:rsidP="00FC5FB9">
                  <w:pPr>
                    <w:ind w:firstLine="0"/>
                    <w:jc w:val="center"/>
                    <w:rPr>
                      <w:rFonts w:ascii="Times New Roman" w:hAnsi="Times New Roman"/>
                      <w:sz w:val="24"/>
                      <w:szCs w:val="24"/>
                      <w:lang w:val="ro-RO"/>
                    </w:rPr>
                  </w:pPr>
                  <w:r w:rsidRPr="001078D1">
                    <w:rPr>
                      <w:rFonts w:ascii="Times New Roman" w:hAnsi="Times New Roman"/>
                      <w:sz w:val="24"/>
                      <w:szCs w:val="24"/>
                      <w:lang w:val="ro-RO"/>
                    </w:rPr>
                    <w:t>38</w:t>
                  </w:r>
                </w:p>
              </w:tc>
              <w:tc>
                <w:tcPr>
                  <w:tcW w:w="3863" w:type="dxa"/>
                  <w:vAlign w:val="center"/>
                </w:tcPr>
                <w:p w14:paraId="6B44ECC1" w14:textId="580BDFF3" w:rsidR="001078D1" w:rsidRPr="001078D1" w:rsidRDefault="001078D1" w:rsidP="00FC5FB9">
                  <w:pPr>
                    <w:ind w:firstLine="0"/>
                    <w:jc w:val="center"/>
                    <w:rPr>
                      <w:rFonts w:ascii="Times New Roman" w:hAnsi="Times New Roman"/>
                      <w:sz w:val="24"/>
                      <w:szCs w:val="24"/>
                      <w:lang w:val="ro-RO"/>
                    </w:rPr>
                  </w:pPr>
                  <w:r w:rsidRPr="001078D1">
                    <w:rPr>
                      <w:rFonts w:ascii="Times New Roman" w:hAnsi="Times New Roman"/>
                      <w:sz w:val="24"/>
                      <w:szCs w:val="24"/>
                      <w:lang w:val="ro-RO"/>
                    </w:rPr>
                    <w:t>0.0031</w:t>
                  </w:r>
                </w:p>
              </w:tc>
              <w:tc>
                <w:tcPr>
                  <w:tcW w:w="3864" w:type="dxa"/>
                  <w:vAlign w:val="center"/>
                </w:tcPr>
                <w:p w14:paraId="4E3B8912" w14:textId="137D7579" w:rsidR="001078D1" w:rsidRPr="001078D1" w:rsidRDefault="001078D1" w:rsidP="00FC5FB9">
                  <w:pPr>
                    <w:ind w:firstLine="0"/>
                    <w:jc w:val="center"/>
                    <w:rPr>
                      <w:rFonts w:ascii="Times New Roman" w:hAnsi="Times New Roman"/>
                      <w:sz w:val="24"/>
                      <w:szCs w:val="24"/>
                      <w:lang w:val="ro-RO"/>
                    </w:rPr>
                  </w:pPr>
                  <w:r w:rsidRPr="001078D1">
                    <w:rPr>
                      <w:rFonts w:ascii="Times New Roman" w:hAnsi="Times New Roman"/>
                      <w:sz w:val="24"/>
                      <w:szCs w:val="24"/>
                      <w:lang w:val="ro-RO"/>
                    </w:rPr>
                    <w:t>0.0258</w:t>
                  </w:r>
                </w:p>
              </w:tc>
            </w:tr>
            <w:tr w:rsidR="00CD0464" w:rsidRPr="00FC5FB9" w14:paraId="74749950" w14:textId="77777777" w:rsidTr="00FC5FB9">
              <w:tc>
                <w:tcPr>
                  <w:tcW w:w="1156" w:type="dxa"/>
                  <w:vAlign w:val="center"/>
                </w:tcPr>
                <w:p w14:paraId="5956BE65" w14:textId="5BA675E3"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39</w:t>
                  </w:r>
                </w:p>
              </w:tc>
              <w:tc>
                <w:tcPr>
                  <w:tcW w:w="3863" w:type="dxa"/>
                  <w:vAlign w:val="center"/>
                </w:tcPr>
                <w:p w14:paraId="6FD31350" w14:textId="343F3921"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0.0031</w:t>
                  </w:r>
                </w:p>
              </w:tc>
              <w:tc>
                <w:tcPr>
                  <w:tcW w:w="3864" w:type="dxa"/>
                  <w:vAlign w:val="center"/>
                </w:tcPr>
                <w:p w14:paraId="0F98D01D" w14:textId="30AE1BBC"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0.0909</w:t>
                  </w:r>
                </w:p>
              </w:tc>
            </w:tr>
            <w:tr w:rsidR="00CD0464" w:rsidRPr="00FC5FB9" w14:paraId="7632E8E2" w14:textId="77777777" w:rsidTr="00FC5FB9">
              <w:tc>
                <w:tcPr>
                  <w:tcW w:w="1156" w:type="dxa"/>
                  <w:vAlign w:val="center"/>
                </w:tcPr>
                <w:p w14:paraId="07BBCF06" w14:textId="4E202A2D"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40</w:t>
                  </w:r>
                </w:p>
              </w:tc>
              <w:tc>
                <w:tcPr>
                  <w:tcW w:w="3863" w:type="dxa"/>
                  <w:vAlign w:val="center"/>
                </w:tcPr>
                <w:p w14:paraId="4B01C2FD" w14:textId="53F58EA4"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0.0236</w:t>
                  </w:r>
                </w:p>
              </w:tc>
              <w:tc>
                <w:tcPr>
                  <w:tcW w:w="3864" w:type="dxa"/>
                  <w:vAlign w:val="center"/>
                </w:tcPr>
                <w:p w14:paraId="1DA24B63" w14:textId="226AC5A1"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0.1367</w:t>
                  </w:r>
                </w:p>
              </w:tc>
            </w:tr>
            <w:tr w:rsidR="00CD0464" w:rsidRPr="00FC5FB9" w14:paraId="402F4F1C" w14:textId="77777777" w:rsidTr="00FC5FB9">
              <w:tc>
                <w:tcPr>
                  <w:tcW w:w="1156" w:type="dxa"/>
                  <w:vAlign w:val="center"/>
                </w:tcPr>
                <w:p w14:paraId="6AAE88D9" w14:textId="256B63A7"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41</w:t>
                  </w:r>
                </w:p>
              </w:tc>
              <w:tc>
                <w:tcPr>
                  <w:tcW w:w="3863" w:type="dxa"/>
                  <w:vAlign w:val="center"/>
                </w:tcPr>
                <w:p w14:paraId="44C4EADD" w14:textId="0E6DFB54"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0.0308</w:t>
                  </w:r>
                </w:p>
              </w:tc>
              <w:tc>
                <w:tcPr>
                  <w:tcW w:w="3864" w:type="dxa"/>
                  <w:vAlign w:val="center"/>
                </w:tcPr>
                <w:p w14:paraId="5172E7B1" w14:textId="752C6C27"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0.1372</w:t>
                  </w:r>
                </w:p>
              </w:tc>
            </w:tr>
            <w:tr w:rsidR="00CD0464" w:rsidRPr="00FC5FB9" w14:paraId="7CC4C2C8" w14:textId="77777777" w:rsidTr="00FC5FB9">
              <w:tc>
                <w:tcPr>
                  <w:tcW w:w="1156" w:type="dxa"/>
                  <w:vAlign w:val="center"/>
                </w:tcPr>
                <w:p w14:paraId="7AEC1EC6" w14:textId="0E4C9759"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42</w:t>
                  </w:r>
                </w:p>
              </w:tc>
              <w:tc>
                <w:tcPr>
                  <w:tcW w:w="3863" w:type="dxa"/>
                  <w:vAlign w:val="center"/>
                </w:tcPr>
                <w:p w14:paraId="4F6580AC" w14:textId="2C4F7F83"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0.0261</w:t>
                  </w:r>
                </w:p>
              </w:tc>
              <w:tc>
                <w:tcPr>
                  <w:tcW w:w="3864" w:type="dxa"/>
                  <w:vAlign w:val="center"/>
                </w:tcPr>
                <w:p w14:paraId="0406324F" w14:textId="443E1CFD"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0.119</w:t>
                  </w:r>
                </w:p>
              </w:tc>
            </w:tr>
            <w:tr w:rsidR="00CD0464" w:rsidRPr="00FC5FB9" w14:paraId="2DEA767F" w14:textId="77777777" w:rsidTr="00FC5FB9">
              <w:tc>
                <w:tcPr>
                  <w:tcW w:w="1156" w:type="dxa"/>
                  <w:vAlign w:val="center"/>
                </w:tcPr>
                <w:p w14:paraId="60F0E3D2" w14:textId="0D4DF926"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43</w:t>
                  </w:r>
                </w:p>
              </w:tc>
              <w:tc>
                <w:tcPr>
                  <w:tcW w:w="3863" w:type="dxa"/>
                  <w:vAlign w:val="center"/>
                </w:tcPr>
                <w:p w14:paraId="1460D44C" w14:textId="00DB8EB3"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0.0137</w:t>
                  </w:r>
                </w:p>
              </w:tc>
              <w:tc>
                <w:tcPr>
                  <w:tcW w:w="3864" w:type="dxa"/>
                  <w:vAlign w:val="center"/>
                </w:tcPr>
                <w:p w14:paraId="61BD1564" w14:textId="1DEAE377"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0.1382</w:t>
                  </w:r>
                </w:p>
              </w:tc>
            </w:tr>
            <w:tr w:rsidR="00CD0464" w:rsidRPr="00FC5FB9" w14:paraId="7A276781" w14:textId="77777777" w:rsidTr="00FC5FB9">
              <w:tc>
                <w:tcPr>
                  <w:tcW w:w="1156" w:type="dxa"/>
                  <w:vAlign w:val="center"/>
                </w:tcPr>
                <w:p w14:paraId="3A5AD324" w14:textId="52934A4E"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lang w:val="ro-RO"/>
                    </w:rPr>
                    <w:t>44</w:t>
                  </w:r>
                </w:p>
              </w:tc>
              <w:tc>
                <w:tcPr>
                  <w:tcW w:w="3863" w:type="dxa"/>
                  <w:vAlign w:val="center"/>
                </w:tcPr>
                <w:p w14:paraId="4962E1B9" w14:textId="7F5D1B35" w:rsidR="00CD0464" w:rsidRPr="00FC5FB9" w:rsidRDefault="00CD0464" w:rsidP="00FC5FB9">
                  <w:pPr>
                    <w:ind w:firstLine="0"/>
                    <w:jc w:val="center"/>
                    <w:rPr>
                      <w:rFonts w:ascii="Times New Roman" w:hAnsi="Times New Roman"/>
                      <w:sz w:val="24"/>
                      <w:szCs w:val="24"/>
                    </w:rPr>
                  </w:pPr>
                  <w:r w:rsidRPr="00FC5FB9">
                    <w:rPr>
                      <w:rFonts w:ascii="Times New Roman" w:hAnsi="Times New Roman"/>
                      <w:sz w:val="24"/>
                      <w:szCs w:val="24"/>
                    </w:rPr>
                    <w:t>0.0418</w:t>
                  </w:r>
                </w:p>
              </w:tc>
              <w:tc>
                <w:tcPr>
                  <w:tcW w:w="3864" w:type="dxa"/>
                  <w:vAlign w:val="center"/>
                </w:tcPr>
                <w:p w14:paraId="717A4148" w14:textId="5724FFA1" w:rsidR="00CD0464" w:rsidRPr="00FC5FB9" w:rsidRDefault="00CD0464" w:rsidP="00FC5FB9">
                  <w:pPr>
                    <w:ind w:firstLine="0"/>
                    <w:jc w:val="center"/>
                    <w:rPr>
                      <w:rFonts w:ascii="Times New Roman" w:hAnsi="Times New Roman"/>
                      <w:sz w:val="24"/>
                      <w:szCs w:val="24"/>
                      <w:lang w:val="ro-RO"/>
                    </w:rPr>
                  </w:pPr>
                  <w:r w:rsidRPr="00FC5FB9">
                    <w:rPr>
                      <w:rFonts w:ascii="Times New Roman" w:hAnsi="Times New Roman"/>
                      <w:sz w:val="24"/>
                      <w:szCs w:val="24"/>
                    </w:rPr>
                    <w:t>0.0735</w:t>
                  </w:r>
                </w:p>
              </w:tc>
            </w:tr>
          </w:tbl>
          <w:p w14:paraId="4A74EB49" w14:textId="77777777" w:rsidR="0025300C" w:rsidRPr="00FC5FB9" w:rsidRDefault="0025300C" w:rsidP="00EA35AD">
            <w:pPr>
              <w:ind w:firstLine="733"/>
              <w:rPr>
                <w:rFonts w:ascii="Times New Roman" w:hAnsi="Times New Roman"/>
                <w:sz w:val="24"/>
                <w:szCs w:val="24"/>
                <w:lang w:val="ro-RO"/>
              </w:rPr>
            </w:pPr>
          </w:p>
          <w:p w14:paraId="52938737" w14:textId="662729E6" w:rsidR="0087378C" w:rsidRPr="00FC5FB9" w:rsidRDefault="00977B7F" w:rsidP="0087378C">
            <w:pPr>
              <w:pStyle w:val="Listparagraf"/>
              <w:numPr>
                <w:ilvl w:val="0"/>
                <w:numId w:val="44"/>
              </w:numPr>
              <w:tabs>
                <w:tab w:val="left" w:pos="733"/>
                <w:tab w:val="left" w:pos="875"/>
              </w:tabs>
              <w:ind w:left="0" w:firstLine="591"/>
              <w:rPr>
                <w:rFonts w:ascii="Times New Roman" w:hAnsi="Times New Roman"/>
                <w:sz w:val="24"/>
                <w:szCs w:val="24"/>
                <w:lang w:val="ro-RO"/>
              </w:rPr>
            </w:pPr>
            <w:r w:rsidRPr="00FC5FB9">
              <w:rPr>
                <w:rFonts w:ascii="Times New Roman" w:hAnsi="Times New Roman"/>
                <w:sz w:val="24"/>
                <w:szCs w:val="24"/>
                <w:lang w:val="ro-RO"/>
              </w:rPr>
              <w:t xml:space="preserve"> </w:t>
            </w:r>
            <w:r w:rsidR="007C3F0C" w:rsidRPr="00FC5FB9">
              <w:rPr>
                <w:rFonts w:ascii="Times New Roman" w:hAnsi="Times New Roman"/>
                <w:b/>
                <w:bCs/>
                <w:sz w:val="24"/>
                <w:szCs w:val="24"/>
                <w:lang w:val="ro-RO"/>
              </w:rPr>
              <w:t xml:space="preserve">Modificarea </w:t>
            </w:r>
            <w:r w:rsidR="000740A1" w:rsidRPr="00FC5FB9">
              <w:rPr>
                <w:rFonts w:ascii="Times New Roman" w:hAnsi="Times New Roman"/>
                <w:b/>
                <w:bCs/>
                <w:sz w:val="24"/>
                <w:szCs w:val="24"/>
                <w:lang w:val="ro-RO"/>
              </w:rPr>
              <w:t>Anexei nr. 2</w:t>
            </w:r>
            <w:r w:rsidR="005B25C9" w:rsidRPr="00FC5FB9">
              <w:rPr>
                <w:rFonts w:ascii="Times New Roman" w:hAnsi="Times New Roman"/>
                <w:sz w:val="24"/>
                <w:szCs w:val="24"/>
                <w:lang w:val="ro-RO"/>
              </w:rPr>
              <w:t xml:space="preserve"> Lista bunurilor imobile afectate temporar de lucrările de interes național de construcție a liniei electrice aeriene (LEA) 400 kV de transport al energiei electrice Vulcănești–Chișinău</w:t>
            </w:r>
            <w:r w:rsidR="00604B48" w:rsidRPr="00FC5FB9">
              <w:rPr>
                <w:rFonts w:ascii="Times New Roman" w:hAnsi="Times New Roman"/>
                <w:sz w:val="24"/>
                <w:szCs w:val="24"/>
                <w:lang w:val="ro-RO"/>
              </w:rPr>
              <w:t>;</w:t>
            </w:r>
          </w:p>
          <w:p w14:paraId="7A789B92" w14:textId="6458425D" w:rsidR="006D0CF8" w:rsidRPr="00FC5FB9" w:rsidRDefault="00BC0E3F" w:rsidP="00BC0E3F">
            <w:pPr>
              <w:rPr>
                <w:rFonts w:ascii="Times New Roman" w:hAnsi="Times New Roman"/>
                <w:i/>
                <w:iCs/>
                <w:sz w:val="24"/>
                <w:szCs w:val="24"/>
                <w:lang w:val="ro-RO" w:eastAsia="ru-RU"/>
              </w:rPr>
            </w:pPr>
            <w:r w:rsidRPr="00FC5FB9">
              <w:rPr>
                <w:rFonts w:ascii="Times New Roman" w:hAnsi="Times New Roman"/>
                <w:sz w:val="24"/>
                <w:szCs w:val="24"/>
                <w:lang w:val="ro-RO" w:eastAsia="ro-RO"/>
              </w:rPr>
              <w:t>În Anexa nr. 2,</w:t>
            </w:r>
            <w:r w:rsidRPr="00FC5FB9">
              <w:rPr>
                <w:rFonts w:ascii="Times New Roman" w:hAnsi="Times New Roman"/>
                <w:sz w:val="24"/>
                <w:szCs w:val="24"/>
                <w:lang w:val="ro-RO"/>
              </w:rPr>
              <w:t xml:space="preserve"> </w:t>
            </w:r>
            <w:r w:rsidRPr="00FC5FB9">
              <w:rPr>
                <w:rFonts w:ascii="Times New Roman" w:hAnsi="Times New Roman"/>
                <w:sz w:val="24"/>
                <w:szCs w:val="24"/>
                <w:lang w:val="ro-RO" w:eastAsia="ro-RO"/>
              </w:rPr>
              <w:t xml:space="preserve">la compartimentul „com. Băcioi mun. Chişinău”, </w:t>
            </w:r>
            <w:r w:rsidR="00484BB8" w:rsidRPr="00FC5FB9">
              <w:rPr>
                <w:rFonts w:ascii="Times New Roman" w:hAnsi="Times New Roman"/>
                <w:sz w:val="24"/>
                <w:szCs w:val="24"/>
                <w:lang w:val="ro-RO" w:eastAsia="ro-RO"/>
              </w:rPr>
              <w:t xml:space="preserve">la </w:t>
            </w:r>
            <w:r w:rsidRPr="00FC5FB9">
              <w:rPr>
                <w:rFonts w:ascii="Times New Roman" w:hAnsi="Times New Roman"/>
                <w:sz w:val="24"/>
                <w:szCs w:val="24"/>
                <w:lang w:val="ro-RO" w:eastAsia="ro-RO"/>
              </w:rPr>
              <w:t>pozițiile nr. 135, 136, 137, 138, 139, 140, 155, 156, 157, 158</w:t>
            </w:r>
            <w:r w:rsidR="00143012">
              <w:rPr>
                <w:rFonts w:ascii="Times New Roman" w:hAnsi="Times New Roman"/>
                <w:sz w:val="24"/>
                <w:szCs w:val="24"/>
                <w:lang w:val="ro-RO" w:eastAsia="ro-RO"/>
              </w:rPr>
              <w:t xml:space="preserve"> și 169</w:t>
            </w:r>
            <w:r w:rsidRPr="00FC5FB9">
              <w:rPr>
                <w:rFonts w:ascii="Times New Roman" w:hAnsi="Times New Roman"/>
                <w:sz w:val="24"/>
                <w:szCs w:val="24"/>
                <w:lang w:val="ro-RO" w:eastAsia="ro-RO"/>
              </w:rPr>
              <w:t xml:space="preserve"> </w:t>
            </w:r>
            <w:r w:rsidR="00484BB8" w:rsidRPr="00FC5FB9">
              <w:rPr>
                <w:rFonts w:ascii="Times New Roman" w:hAnsi="Times New Roman"/>
                <w:sz w:val="24"/>
                <w:szCs w:val="24"/>
                <w:lang w:val="ro-RO" w:eastAsia="ro-RO"/>
              </w:rPr>
              <w:t>se urmărește a fi modificată suprafața de teren afectat temporar (ha), conform tabelului de mai jos.</w:t>
            </w:r>
          </w:p>
          <w:p w14:paraId="474C8945" w14:textId="77777777" w:rsidR="006D0CF8" w:rsidRPr="00FC5FB9" w:rsidRDefault="00BC0E3F" w:rsidP="00BC0E3F">
            <w:pPr>
              <w:rPr>
                <w:rFonts w:ascii="Times New Roman" w:hAnsi="Times New Roman"/>
                <w:i/>
                <w:iCs/>
                <w:sz w:val="24"/>
                <w:szCs w:val="24"/>
                <w:lang w:val="ro-RO" w:eastAsia="ru-RU"/>
              </w:rPr>
            </w:pPr>
            <w:r w:rsidRPr="00FC5FB9">
              <w:rPr>
                <w:rFonts w:ascii="Times New Roman" w:hAnsi="Times New Roman"/>
                <w:i/>
                <w:iCs/>
                <w:sz w:val="24"/>
                <w:szCs w:val="24"/>
                <w:lang w:val="ro-RO" w:eastAsia="ru-RU"/>
              </w:rPr>
              <w:t xml:space="preserve"> </w:t>
            </w:r>
          </w:p>
          <w:tbl>
            <w:tblPr>
              <w:tblStyle w:val="Tabelgril"/>
              <w:tblW w:w="0" w:type="auto"/>
              <w:tblLook w:val="04A0" w:firstRow="1" w:lastRow="0" w:firstColumn="1" w:lastColumn="0" w:noHBand="0" w:noVBand="1"/>
            </w:tblPr>
            <w:tblGrid>
              <w:gridCol w:w="1156"/>
              <w:gridCol w:w="3863"/>
              <w:gridCol w:w="3864"/>
            </w:tblGrid>
            <w:tr w:rsidR="006D0CF8" w:rsidRPr="00FC5FB9" w14:paraId="0C33E4B6" w14:textId="77777777" w:rsidTr="00D90FB6">
              <w:tc>
                <w:tcPr>
                  <w:tcW w:w="1156" w:type="dxa"/>
                  <w:shd w:val="clear" w:color="auto" w:fill="FBD4B4" w:themeFill="accent6" w:themeFillTint="66"/>
                  <w:vAlign w:val="center"/>
                </w:tcPr>
                <w:p w14:paraId="5E3B0018" w14:textId="77777777" w:rsidR="006D0CF8" w:rsidRPr="00FC5FB9" w:rsidRDefault="006D0CF8" w:rsidP="006D0CF8">
                  <w:pPr>
                    <w:ind w:firstLine="0"/>
                    <w:jc w:val="center"/>
                    <w:rPr>
                      <w:rFonts w:ascii="Times New Roman" w:hAnsi="Times New Roman"/>
                      <w:b/>
                      <w:bCs/>
                      <w:sz w:val="24"/>
                      <w:szCs w:val="24"/>
                      <w:lang w:val="ro-RO"/>
                    </w:rPr>
                  </w:pPr>
                  <w:r w:rsidRPr="00FC5FB9">
                    <w:rPr>
                      <w:rFonts w:ascii="Times New Roman" w:hAnsi="Times New Roman"/>
                      <w:b/>
                      <w:bCs/>
                      <w:sz w:val="24"/>
                      <w:szCs w:val="24"/>
                      <w:lang w:val="ro-RO"/>
                    </w:rPr>
                    <w:t>Nr.</w:t>
                  </w:r>
                </w:p>
              </w:tc>
              <w:tc>
                <w:tcPr>
                  <w:tcW w:w="3863" w:type="dxa"/>
                  <w:shd w:val="clear" w:color="auto" w:fill="FBD4B4" w:themeFill="accent6" w:themeFillTint="66"/>
                  <w:vAlign w:val="center"/>
                </w:tcPr>
                <w:p w14:paraId="187F855E" w14:textId="77777777" w:rsidR="006D0CF8" w:rsidRPr="00FC5FB9" w:rsidRDefault="006D0CF8" w:rsidP="006D0CF8">
                  <w:pPr>
                    <w:ind w:firstLine="0"/>
                    <w:jc w:val="center"/>
                    <w:rPr>
                      <w:rFonts w:ascii="Times New Roman" w:hAnsi="Times New Roman"/>
                      <w:b/>
                      <w:bCs/>
                      <w:sz w:val="24"/>
                      <w:szCs w:val="24"/>
                      <w:lang w:val="ro-RO"/>
                    </w:rPr>
                  </w:pPr>
                  <w:r w:rsidRPr="00FC5FB9">
                    <w:rPr>
                      <w:rFonts w:ascii="Times New Roman" w:hAnsi="Times New Roman"/>
                      <w:b/>
                      <w:bCs/>
                      <w:sz w:val="24"/>
                      <w:szCs w:val="24"/>
                      <w:lang w:val="ro-RO"/>
                    </w:rPr>
                    <w:t>Suprafața de teren afectată (ha) aprobată de Hotărârea de Guvern nr. 1037/2023</w:t>
                  </w:r>
                </w:p>
              </w:tc>
              <w:tc>
                <w:tcPr>
                  <w:tcW w:w="3864" w:type="dxa"/>
                  <w:shd w:val="clear" w:color="auto" w:fill="FBD4B4" w:themeFill="accent6" w:themeFillTint="66"/>
                  <w:vAlign w:val="center"/>
                </w:tcPr>
                <w:p w14:paraId="6F2C2928" w14:textId="77777777" w:rsidR="006D0CF8" w:rsidRPr="00FC5FB9" w:rsidRDefault="006D0CF8" w:rsidP="006D0CF8">
                  <w:pPr>
                    <w:ind w:firstLine="0"/>
                    <w:jc w:val="center"/>
                    <w:rPr>
                      <w:rFonts w:ascii="Times New Roman" w:hAnsi="Times New Roman"/>
                      <w:b/>
                      <w:bCs/>
                      <w:sz w:val="24"/>
                      <w:szCs w:val="24"/>
                      <w:lang w:val="ro-RO"/>
                    </w:rPr>
                  </w:pPr>
                  <w:r w:rsidRPr="00FC5FB9">
                    <w:rPr>
                      <w:rFonts w:ascii="Times New Roman" w:hAnsi="Times New Roman"/>
                      <w:b/>
                      <w:bCs/>
                      <w:sz w:val="24"/>
                      <w:szCs w:val="24"/>
                      <w:lang w:val="ro-RO"/>
                    </w:rPr>
                    <w:t xml:space="preserve">Suprafața de teren afectată (ha) </w:t>
                  </w:r>
                  <w:r w:rsidRPr="00FC5FB9">
                    <w:rPr>
                      <w:rFonts w:ascii="Times New Roman" w:hAnsi="Times New Roman"/>
                      <w:b/>
                      <w:bCs/>
                      <w:sz w:val="24"/>
                      <w:szCs w:val="24"/>
                      <w:lang w:val="ro-RO"/>
                    </w:rPr>
                    <w:br/>
                    <w:t>după modificare</w:t>
                  </w:r>
                </w:p>
              </w:tc>
            </w:tr>
            <w:tr w:rsidR="004424B3" w:rsidRPr="00FC5FB9" w14:paraId="1B4E1FA9" w14:textId="77777777" w:rsidTr="005721C0">
              <w:tc>
                <w:tcPr>
                  <w:tcW w:w="1156" w:type="dxa"/>
                  <w:vAlign w:val="bottom"/>
                </w:tcPr>
                <w:p w14:paraId="14BBB4E3" w14:textId="2EE633CD" w:rsidR="004424B3" w:rsidRPr="00FC5FB9" w:rsidRDefault="004424B3" w:rsidP="004424B3">
                  <w:pPr>
                    <w:ind w:firstLine="0"/>
                    <w:jc w:val="center"/>
                    <w:rPr>
                      <w:sz w:val="24"/>
                      <w:szCs w:val="24"/>
                      <w:lang w:val="ro-RO"/>
                    </w:rPr>
                  </w:pPr>
                  <w:r w:rsidRPr="003F561B">
                    <w:rPr>
                      <w:rFonts w:ascii="Times New Roman" w:hAnsi="Times New Roman"/>
                      <w:sz w:val="24"/>
                      <w:szCs w:val="24"/>
                    </w:rPr>
                    <w:t>131</w:t>
                  </w:r>
                </w:p>
              </w:tc>
              <w:tc>
                <w:tcPr>
                  <w:tcW w:w="3863" w:type="dxa"/>
                </w:tcPr>
                <w:p w14:paraId="001712A7" w14:textId="48106BE8"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0.0773</w:t>
                  </w:r>
                </w:p>
              </w:tc>
              <w:tc>
                <w:tcPr>
                  <w:tcW w:w="3864" w:type="dxa"/>
                </w:tcPr>
                <w:p w14:paraId="10334E43" w14:textId="7E09D7D3"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0.0861</w:t>
                  </w:r>
                </w:p>
              </w:tc>
            </w:tr>
            <w:tr w:rsidR="004424B3" w:rsidRPr="00FC5FB9" w14:paraId="55217A57" w14:textId="77777777" w:rsidTr="005721C0">
              <w:tc>
                <w:tcPr>
                  <w:tcW w:w="1156" w:type="dxa"/>
                  <w:vAlign w:val="bottom"/>
                </w:tcPr>
                <w:p w14:paraId="7967FDEF" w14:textId="45935D02" w:rsidR="004424B3" w:rsidRPr="00FC5FB9" w:rsidRDefault="004424B3" w:rsidP="004424B3">
                  <w:pPr>
                    <w:ind w:firstLine="0"/>
                    <w:jc w:val="center"/>
                    <w:rPr>
                      <w:sz w:val="24"/>
                      <w:szCs w:val="24"/>
                      <w:lang w:val="ro-RO"/>
                    </w:rPr>
                  </w:pPr>
                  <w:r w:rsidRPr="003F561B">
                    <w:rPr>
                      <w:rFonts w:ascii="Times New Roman" w:hAnsi="Times New Roman"/>
                      <w:sz w:val="24"/>
                      <w:szCs w:val="24"/>
                    </w:rPr>
                    <w:t>132</w:t>
                  </w:r>
                </w:p>
              </w:tc>
              <w:tc>
                <w:tcPr>
                  <w:tcW w:w="3863" w:type="dxa"/>
                </w:tcPr>
                <w:p w14:paraId="2585B0F6" w14:textId="17EB2676"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0.0481</w:t>
                  </w:r>
                </w:p>
              </w:tc>
              <w:tc>
                <w:tcPr>
                  <w:tcW w:w="3864" w:type="dxa"/>
                </w:tcPr>
                <w:p w14:paraId="14E2A004" w14:textId="3A888CAF"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0.0812</w:t>
                  </w:r>
                </w:p>
              </w:tc>
            </w:tr>
            <w:tr w:rsidR="004424B3" w:rsidRPr="00FC5FB9" w14:paraId="320E41D3" w14:textId="77777777" w:rsidTr="005721C0">
              <w:tc>
                <w:tcPr>
                  <w:tcW w:w="1156" w:type="dxa"/>
                  <w:vAlign w:val="bottom"/>
                </w:tcPr>
                <w:p w14:paraId="4472FE1C" w14:textId="343A84B5" w:rsidR="004424B3" w:rsidRPr="00FC5FB9" w:rsidRDefault="004424B3" w:rsidP="004424B3">
                  <w:pPr>
                    <w:ind w:firstLine="0"/>
                    <w:jc w:val="center"/>
                    <w:rPr>
                      <w:sz w:val="24"/>
                      <w:szCs w:val="24"/>
                      <w:lang w:val="ro-RO"/>
                    </w:rPr>
                  </w:pPr>
                  <w:r w:rsidRPr="003F561B">
                    <w:rPr>
                      <w:rFonts w:ascii="Times New Roman" w:hAnsi="Times New Roman"/>
                      <w:sz w:val="24"/>
                      <w:szCs w:val="24"/>
                    </w:rPr>
                    <w:t>133</w:t>
                  </w:r>
                </w:p>
              </w:tc>
              <w:tc>
                <w:tcPr>
                  <w:tcW w:w="3863" w:type="dxa"/>
                </w:tcPr>
                <w:p w14:paraId="0A8B53AA" w14:textId="335E9D27"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0.0932</w:t>
                  </w:r>
                </w:p>
              </w:tc>
              <w:tc>
                <w:tcPr>
                  <w:tcW w:w="3864" w:type="dxa"/>
                </w:tcPr>
                <w:p w14:paraId="1E154BEB" w14:textId="7EF198D2"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0.1121</w:t>
                  </w:r>
                </w:p>
              </w:tc>
            </w:tr>
            <w:tr w:rsidR="004424B3" w:rsidRPr="00FC5FB9" w14:paraId="42FCCEFB" w14:textId="77777777" w:rsidTr="000D73F5">
              <w:tc>
                <w:tcPr>
                  <w:tcW w:w="1156" w:type="dxa"/>
                  <w:vAlign w:val="center"/>
                </w:tcPr>
                <w:p w14:paraId="3DD9D34A" w14:textId="4012C454"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lang w:val="ro-RO"/>
                    </w:rPr>
                    <w:t>135</w:t>
                  </w:r>
                </w:p>
              </w:tc>
              <w:tc>
                <w:tcPr>
                  <w:tcW w:w="3863" w:type="dxa"/>
                </w:tcPr>
                <w:p w14:paraId="688B880F" w14:textId="06DE0B47"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0.0121</w:t>
                  </w:r>
                </w:p>
              </w:tc>
              <w:tc>
                <w:tcPr>
                  <w:tcW w:w="3864" w:type="dxa"/>
                </w:tcPr>
                <w:p w14:paraId="4BEFA0E8" w14:textId="055E7F2E"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0.0079</w:t>
                  </w:r>
                </w:p>
              </w:tc>
            </w:tr>
            <w:tr w:rsidR="004424B3" w:rsidRPr="00FC5FB9" w14:paraId="0FED08C6" w14:textId="77777777" w:rsidTr="00D6179A">
              <w:tc>
                <w:tcPr>
                  <w:tcW w:w="1156" w:type="dxa"/>
                </w:tcPr>
                <w:p w14:paraId="779D3FD5" w14:textId="6C199CC7"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136</w:t>
                  </w:r>
                </w:p>
              </w:tc>
              <w:tc>
                <w:tcPr>
                  <w:tcW w:w="3863" w:type="dxa"/>
                </w:tcPr>
                <w:p w14:paraId="66A6C79C" w14:textId="6FCF13CC"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0.0615</w:t>
                  </w:r>
                </w:p>
              </w:tc>
              <w:tc>
                <w:tcPr>
                  <w:tcW w:w="3864" w:type="dxa"/>
                </w:tcPr>
                <w:p w14:paraId="2744A7FB" w14:textId="184374C1"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0.0255</w:t>
                  </w:r>
                </w:p>
              </w:tc>
            </w:tr>
            <w:tr w:rsidR="004424B3" w:rsidRPr="00FC5FB9" w14:paraId="23A1FC3F" w14:textId="77777777" w:rsidTr="00D6179A">
              <w:tc>
                <w:tcPr>
                  <w:tcW w:w="1156" w:type="dxa"/>
                </w:tcPr>
                <w:p w14:paraId="13765D70" w14:textId="2DA07056"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137</w:t>
                  </w:r>
                </w:p>
              </w:tc>
              <w:tc>
                <w:tcPr>
                  <w:tcW w:w="3863" w:type="dxa"/>
                </w:tcPr>
                <w:p w14:paraId="3EEB4C6F" w14:textId="48472E78"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0.0238</w:t>
                  </w:r>
                </w:p>
              </w:tc>
              <w:tc>
                <w:tcPr>
                  <w:tcW w:w="3864" w:type="dxa"/>
                </w:tcPr>
                <w:p w14:paraId="63E00162" w14:textId="0FEE8192"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0.0098</w:t>
                  </w:r>
                </w:p>
              </w:tc>
            </w:tr>
            <w:tr w:rsidR="004424B3" w:rsidRPr="00FC5FB9" w14:paraId="02ADB855" w14:textId="77777777" w:rsidTr="00D6179A">
              <w:tc>
                <w:tcPr>
                  <w:tcW w:w="1156" w:type="dxa"/>
                </w:tcPr>
                <w:p w14:paraId="1856C917" w14:textId="7F025866"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138</w:t>
                  </w:r>
                </w:p>
              </w:tc>
              <w:tc>
                <w:tcPr>
                  <w:tcW w:w="3863" w:type="dxa"/>
                </w:tcPr>
                <w:p w14:paraId="546D46C7" w14:textId="273DF935"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0.0123</w:t>
                  </w:r>
                </w:p>
              </w:tc>
              <w:tc>
                <w:tcPr>
                  <w:tcW w:w="3864" w:type="dxa"/>
                </w:tcPr>
                <w:p w14:paraId="7F412ECF" w14:textId="6DFDB413"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0.0051</w:t>
                  </w:r>
                </w:p>
              </w:tc>
            </w:tr>
            <w:tr w:rsidR="004424B3" w:rsidRPr="00FC5FB9" w14:paraId="7939595C" w14:textId="77777777" w:rsidTr="00D6179A">
              <w:tc>
                <w:tcPr>
                  <w:tcW w:w="1156" w:type="dxa"/>
                </w:tcPr>
                <w:p w14:paraId="5D85558A" w14:textId="180633FF"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139</w:t>
                  </w:r>
                </w:p>
              </w:tc>
              <w:tc>
                <w:tcPr>
                  <w:tcW w:w="3863" w:type="dxa"/>
                </w:tcPr>
                <w:p w14:paraId="5F2F85F8" w14:textId="5A5862C6"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0.0238</w:t>
                  </w:r>
                </w:p>
              </w:tc>
              <w:tc>
                <w:tcPr>
                  <w:tcW w:w="3864" w:type="dxa"/>
                </w:tcPr>
                <w:p w14:paraId="3D336F15" w14:textId="3B4AFE2B"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0.0098</w:t>
                  </w:r>
                </w:p>
              </w:tc>
            </w:tr>
            <w:tr w:rsidR="004424B3" w:rsidRPr="00FC5FB9" w14:paraId="31A92466" w14:textId="77777777" w:rsidTr="00D6179A">
              <w:tc>
                <w:tcPr>
                  <w:tcW w:w="1156" w:type="dxa"/>
                </w:tcPr>
                <w:p w14:paraId="28260B5F" w14:textId="410589B0"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140</w:t>
                  </w:r>
                </w:p>
              </w:tc>
              <w:tc>
                <w:tcPr>
                  <w:tcW w:w="3863" w:type="dxa"/>
                </w:tcPr>
                <w:p w14:paraId="568EF32F" w14:textId="1BD6A3AA"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0.013</w:t>
                  </w:r>
                </w:p>
              </w:tc>
              <w:tc>
                <w:tcPr>
                  <w:tcW w:w="3864" w:type="dxa"/>
                </w:tcPr>
                <w:p w14:paraId="45142A57" w14:textId="37FE37D4"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0.0378</w:t>
                  </w:r>
                </w:p>
              </w:tc>
            </w:tr>
            <w:tr w:rsidR="004424B3" w:rsidRPr="00FC5FB9" w14:paraId="73F0F799" w14:textId="77777777" w:rsidTr="00D6179A">
              <w:tc>
                <w:tcPr>
                  <w:tcW w:w="1156" w:type="dxa"/>
                </w:tcPr>
                <w:p w14:paraId="40E619E6" w14:textId="0C800CCB"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155</w:t>
                  </w:r>
                </w:p>
              </w:tc>
              <w:tc>
                <w:tcPr>
                  <w:tcW w:w="3863" w:type="dxa"/>
                </w:tcPr>
                <w:p w14:paraId="567C52E9" w14:textId="1544F805"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0.0232</w:t>
                  </w:r>
                </w:p>
              </w:tc>
              <w:tc>
                <w:tcPr>
                  <w:tcW w:w="3864" w:type="dxa"/>
                </w:tcPr>
                <w:p w14:paraId="7A85A3FC" w14:textId="48B4D09A"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0.0282</w:t>
                  </w:r>
                </w:p>
              </w:tc>
            </w:tr>
            <w:tr w:rsidR="004424B3" w:rsidRPr="00FC5FB9" w14:paraId="502689EA" w14:textId="77777777" w:rsidTr="00D6179A">
              <w:tc>
                <w:tcPr>
                  <w:tcW w:w="1156" w:type="dxa"/>
                </w:tcPr>
                <w:p w14:paraId="7E57AEED" w14:textId="277771C8"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156</w:t>
                  </w:r>
                </w:p>
              </w:tc>
              <w:tc>
                <w:tcPr>
                  <w:tcW w:w="3863" w:type="dxa"/>
                </w:tcPr>
                <w:p w14:paraId="04DEAE2A" w14:textId="13B054E8"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0.0309</w:t>
                  </w:r>
                </w:p>
              </w:tc>
              <w:tc>
                <w:tcPr>
                  <w:tcW w:w="3864" w:type="dxa"/>
                </w:tcPr>
                <w:p w14:paraId="6DCC42AB" w14:textId="0DEAD0D8"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0.0187</w:t>
                  </w:r>
                </w:p>
              </w:tc>
            </w:tr>
            <w:tr w:rsidR="004424B3" w:rsidRPr="00FC5FB9" w14:paraId="283D3365" w14:textId="77777777" w:rsidTr="00D6179A">
              <w:tc>
                <w:tcPr>
                  <w:tcW w:w="1156" w:type="dxa"/>
                </w:tcPr>
                <w:p w14:paraId="7185B025" w14:textId="2C54DBAD"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157</w:t>
                  </w:r>
                </w:p>
              </w:tc>
              <w:tc>
                <w:tcPr>
                  <w:tcW w:w="3863" w:type="dxa"/>
                </w:tcPr>
                <w:p w14:paraId="30C368FD" w14:textId="5551A11D"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0.031</w:t>
                  </w:r>
                </w:p>
              </w:tc>
              <w:tc>
                <w:tcPr>
                  <w:tcW w:w="3864" w:type="dxa"/>
                </w:tcPr>
                <w:p w14:paraId="539F7AF7" w14:textId="2542A43C"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0.0190</w:t>
                  </w:r>
                </w:p>
              </w:tc>
            </w:tr>
            <w:tr w:rsidR="004424B3" w:rsidRPr="00FC5FB9" w14:paraId="55B6CAB6" w14:textId="77777777" w:rsidTr="00D6179A">
              <w:tc>
                <w:tcPr>
                  <w:tcW w:w="1156" w:type="dxa"/>
                </w:tcPr>
                <w:p w14:paraId="4EE95F1D" w14:textId="4E7C4367" w:rsidR="004424B3" w:rsidRPr="00FC5FB9" w:rsidRDefault="004424B3" w:rsidP="004424B3">
                  <w:pPr>
                    <w:ind w:firstLine="0"/>
                    <w:jc w:val="center"/>
                    <w:rPr>
                      <w:rFonts w:ascii="Times New Roman" w:hAnsi="Times New Roman"/>
                      <w:sz w:val="24"/>
                      <w:szCs w:val="24"/>
                      <w:lang w:val="ro-RO"/>
                    </w:rPr>
                  </w:pPr>
                  <w:r w:rsidRPr="00FC5FB9">
                    <w:rPr>
                      <w:rFonts w:ascii="Times New Roman" w:hAnsi="Times New Roman"/>
                      <w:sz w:val="24"/>
                      <w:szCs w:val="24"/>
                    </w:rPr>
                    <w:t>158</w:t>
                  </w:r>
                </w:p>
              </w:tc>
              <w:tc>
                <w:tcPr>
                  <w:tcW w:w="3863" w:type="dxa"/>
                </w:tcPr>
                <w:p w14:paraId="69F2C8EE" w14:textId="6124A03B"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0.0145</w:t>
                  </w:r>
                </w:p>
              </w:tc>
              <w:tc>
                <w:tcPr>
                  <w:tcW w:w="3864" w:type="dxa"/>
                </w:tcPr>
                <w:p w14:paraId="221333CC" w14:textId="7B043BD5"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0.0186</w:t>
                  </w:r>
                </w:p>
              </w:tc>
            </w:tr>
            <w:tr w:rsidR="004424B3" w:rsidRPr="00FC5FB9" w14:paraId="58A98175" w14:textId="77777777" w:rsidTr="000D73F5">
              <w:tc>
                <w:tcPr>
                  <w:tcW w:w="1156" w:type="dxa"/>
                </w:tcPr>
                <w:p w14:paraId="290F0DF8" w14:textId="2BCAEF81" w:rsidR="004424B3" w:rsidRPr="007440F6" w:rsidRDefault="004424B3" w:rsidP="004424B3">
                  <w:pPr>
                    <w:ind w:firstLine="0"/>
                    <w:jc w:val="center"/>
                    <w:rPr>
                      <w:rFonts w:ascii="Times New Roman" w:hAnsi="Times New Roman"/>
                      <w:sz w:val="24"/>
                      <w:szCs w:val="24"/>
                    </w:rPr>
                  </w:pPr>
                  <w:r w:rsidRPr="007440F6">
                    <w:rPr>
                      <w:rFonts w:ascii="Times New Roman" w:hAnsi="Times New Roman"/>
                      <w:sz w:val="24"/>
                      <w:szCs w:val="24"/>
                    </w:rPr>
                    <w:t>159</w:t>
                  </w:r>
                </w:p>
              </w:tc>
              <w:tc>
                <w:tcPr>
                  <w:tcW w:w="3863" w:type="dxa"/>
                </w:tcPr>
                <w:p w14:paraId="4197B0A5" w14:textId="5523DE02" w:rsidR="004424B3" w:rsidRPr="004424B3" w:rsidRDefault="004424B3" w:rsidP="004424B3">
                  <w:pPr>
                    <w:ind w:firstLine="0"/>
                    <w:jc w:val="center"/>
                    <w:rPr>
                      <w:rFonts w:ascii="Times New Roman" w:hAnsi="Times New Roman"/>
                      <w:color w:val="000000"/>
                      <w:sz w:val="24"/>
                      <w:szCs w:val="24"/>
                      <w:lang w:val="ro-RO"/>
                    </w:rPr>
                  </w:pPr>
                  <w:r w:rsidRPr="004424B3">
                    <w:rPr>
                      <w:rFonts w:ascii="Times New Roman" w:hAnsi="Times New Roman"/>
                      <w:sz w:val="24"/>
                      <w:szCs w:val="24"/>
                    </w:rPr>
                    <w:t>0.0975</w:t>
                  </w:r>
                </w:p>
              </w:tc>
              <w:tc>
                <w:tcPr>
                  <w:tcW w:w="3864" w:type="dxa"/>
                </w:tcPr>
                <w:p w14:paraId="736083B4" w14:textId="5D049CCF"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0.1107</w:t>
                  </w:r>
                </w:p>
              </w:tc>
            </w:tr>
            <w:tr w:rsidR="004424B3" w:rsidRPr="00FC5FB9" w14:paraId="2B9D140A" w14:textId="77777777" w:rsidTr="000D73F5">
              <w:tc>
                <w:tcPr>
                  <w:tcW w:w="1156" w:type="dxa"/>
                </w:tcPr>
                <w:p w14:paraId="24B7F993" w14:textId="15C9AB43" w:rsidR="004424B3" w:rsidRPr="007440F6" w:rsidRDefault="004424B3" w:rsidP="004424B3">
                  <w:pPr>
                    <w:ind w:firstLine="0"/>
                    <w:jc w:val="center"/>
                    <w:rPr>
                      <w:rFonts w:ascii="Times New Roman" w:hAnsi="Times New Roman"/>
                      <w:sz w:val="24"/>
                      <w:szCs w:val="24"/>
                    </w:rPr>
                  </w:pPr>
                  <w:r w:rsidRPr="007440F6">
                    <w:rPr>
                      <w:rFonts w:ascii="Times New Roman" w:hAnsi="Times New Roman"/>
                      <w:sz w:val="24"/>
                      <w:szCs w:val="24"/>
                    </w:rPr>
                    <w:t>160</w:t>
                  </w:r>
                </w:p>
              </w:tc>
              <w:tc>
                <w:tcPr>
                  <w:tcW w:w="3863" w:type="dxa"/>
                </w:tcPr>
                <w:p w14:paraId="40EE532B" w14:textId="5C08E61D" w:rsidR="004424B3" w:rsidRPr="004424B3" w:rsidRDefault="004424B3" w:rsidP="004424B3">
                  <w:pPr>
                    <w:ind w:firstLine="0"/>
                    <w:jc w:val="center"/>
                    <w:rPr>
                      <w:rFonts w:ascii="Times New Roman" w:hAnsi="Times New Roman"/>
                      <w:color w:val="000000"/>
                      <w:sz w:val="24"/>
                      <w:szCs w:val="24"/>
                      <w:lang w:val="ro-RO"/>
                    </w:rPr>
                  </w:pPr>
                  <w:r w:rsidRPr="004424B3">
                    <w:rPr>
                      <w:rFonts w:ascii="Times New Roman" w:hAnsi="Times New Roman"/>
                      <w:sz w:val="24"/>
                      <w:szCs w:val="24"/>
                    </w:rPr>
                    <w:t>0.0164</w:t>
                  </w:r>
                </w:p>
              </w:tc>
              <w:tc>
                <w:tcPr>
                  <w:tcW w:w="3864" w:type="dxa"/>
                </w:tcPr>
                <w:p w14:paraId="11F97F80" w14:textId="50B4D260"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0.0182</w:t>
                  </w:r>
                </w:p>
              </w:tc>
            </w:tr>
            <w:tr w:rsidR="004424B3" w:rsidRPr="00FC5FB9" w14:paraId="490D83B6" w14:textId="77777777" w:rsidTr="000D73F5">
              <w:tc>
                <w:tcPr>
                  <w:tcW w:w="1156" w:type="dxa"/>
                </w:tcPr>
                <w:p w14:paraId="798181E8" w14:textId="74BBDEB0" w:rsidR="004424B3" w:rsidRPr="007440F6" w:rsidRDefault="004424B3" w:rsidP="004424B3">
                  <w:pPr>
                    <w:ind w:firstLine="0"/>
                    <w:jc w:val="center"/>
                    <w:rPr>
                      <w:rFonts w:ascii="Times New Roman" w:hAnsi="Times New Roman"/>
                      <w:sz w:val="24"/>
                      <w:szCs w:val="24"/>
                    </w:rPr>
                  </w:pPr>
                  <w:r w:rsidRPr="007440F6">
                    <w:rPr>
                      <w:rFonts w:ascii="Times New Roman" w:hAnsi="Times New Roman"/>
                      <w:sz w:val="24"/>
                      <w:szCs w:val="24"/>
                    </w:rPr>
                    <w:t>161</w:t>
                  </w:r>
                </w:p>
              </w:tc>
              <w:tc>
                <w:tcPr>
                  <w:tcW w:w="3863" w:type="dxa"/>
                </w:tcPr>
                <w:p w14:paraId="786189BA" w14:textId="5C70DC3F" w:rsidR="004424B3" w:rsidRPr="004424B3" w:rsidRDefault="004424B3" w:rsidP="004424B3">
                  <w:pPr>
                    <w:ind w:firstLine="0"/>
                    <w:jc w:val="center"/>
                    <w:rPr>
                      <w:rFonts w:ascii="Times New Roman" w:hAnsi="Times New Roman"/>
                      <w:color w:val="000000"/>
                      <w:sz w:val="24"/>
                      <w:szCs w:val="24"/>
                      <w:lang w:val="ro-RO"/>
                    </w:rPr>
                  </w:pPr>
                  <w:r w:rsidRPr="004424B3">
                    <w:rPr>
                      <w:rFonts w:ascii="Times New Roman" w:hAnsi="Times New Roman"/>
                      <w:sz w:val="24"/>
                      <w:szCs w:val="24"/>
                    </w:rPr>
                    <w:t>0.1206</w:t>
                  </w:r>
                </w:p>
              </w:tc>
              <w:tc>
                <w:tcPr>
                  <w:tcW w:w="3864" w:type="dxa"/>
                </w:tcPr>
                <w:p w14:paraId="50EDACDD" w14:textId="0848BF8E"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0.1361</w:t>
                  </w:r>
                </w:p>
              </w:tc>
            </w:tr>
            <w:tr w:rsidR="004424B3" w:rsidRPr="00FC5FB9" w14:paraId="7A09E4C4" w14:textId="77777777" w:rsidTr="000D73F5">
              <w:tc>
                <w:tcPr>
                  <w:tcW w:w="1156" w:type="dxa"/>
                </w:tcPr>
                <w:p w14:paraId="73324AF5" w14:textId="665AEC5D" w:rsidR="004424B3" w:rsidRPr="007440F6" w:rsidRDefault="004424B3" w:rsidP="004424B3">
                  <w:pPr>
                    <w:ind w:firstLine="0"/>
                    <w:jc w:val="center"/>
                    <w:rPr>
                      <w:rFonts w:ascii="Times New Roman" w:hAnsi="Times New Roman"/>
                      <w:sz w:val="24"/>
                      <w:szCs w:val="24"/>
                    </w:rPr>
                  </w:pPr>
                  <w:r w:rsidRPr="007440F6">
                    <w:rPr>
                      <w:rFonts w:ascii="Times New Roman" w:hAnsi="Times New Roman"/>
                      <w:sz w:val="24"/>
                      <w:szCs w:val="24"/>
                    </w:rPr>
                    <w:t>167</w:t>
                  </w:r>
                </w:p>
              </w:tc>
              <w:tc>
                <w:tcPr>
                  <w:tcW w:w="3863" w:type="dxa"/>
                </w:tcPr>
                <w:p w14:paraId="6B729D2D" w14:textId="70BE446F" w:rsidR="004424B3" w:rsidRPr="004424B3" w:rsidRDefault="004424B3" w:rsidP="004424B3">
                  <w:pPr>
                    <w:ind w:firstLine="0"/>
                    <w:jc w:val="center"/>
                    <w:rPr>
                      <w:rFonts w:ascii="Times New Roman" w:hAnsi="Times New Roman"/>
                      <w:color w:val="000000"/>
                      <w:sz w:val="24"/>
                      <w:szCs w:val="24"/>
                      <w:lang w:val="ro-RO"/>
                    </w:rPr>
                  </w:pPr>
                  <w:r w:rsidRPr="004424B3">
                    <w:rPr>
                      <w:rFonts w:ascii="Times New Roman" w:hAnsi="Times New Roman"/>
                      <w:sz w:val="24"/>
                      <w:szCs w:val="24"/>
                    </w:rPr>
                    <w:t>0.105</w:t>
                  </w:r>
                </w:p>
              </w:tc>
              <w:tc>
                <w:tcPr>
                  <w:tcW w:w="3864" w:type="dxa"/>
                </w:tcPr>
                <w:p w14:paraId="2704B113" w14:textId="395FD6C3"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0.1387</w:t>
                  </w:r>
                </w:p>
              </w:tc>
            </w:tr>
            <w:tr w:rsidR="004424B3" w:rsidRPr="00FC5FB9" w14:paraId="30900691" w14:textId="77777777" w:rsidTr="000D73F5">
              <w:tc>
                <w:tcPr>
                  <w:tcW w:w="1156" w:type="dxa"/>
                </w:tcPr>
                <w:p w14:paraId="19AA24D7" w14:textId="492A9150" w:rsidR="004424B3" w:rsidRPr="007440F6" w:rsidRDefault="004424B3" w:rsidP="004424B3">
                  <w:pPr>
                    <w:ind w:firstLine="0"/>
                    <w:jc w:val="center"/>
                    <w:rPr>
                      <w:rFonts w:ascii="Times New Roman" w:hAnsi="Times New Roman"/>
                      <w:sz w:val="24"/>
                      <w:szCs w:val="24"/>
                    </w:rPr>
                  </w:pPr>
                  <w:r w:rsidRPr="007440F6">
                    <w:rPr>
                      <w:rFonts w:ascii="Times New Roman" w:hAnsi="Times New Roman"/>
                      <w:sz w:val="24"/>
                      <w:szCs w:val="24"/>
                    </w:rPr>
                    <w:t>168</w:t>
                  </w:r>
                </w:p>
              </w:tc>
              <w:tc>
                <w:tcPr>
                  <w:tcW w:w="3863" w:type="dxa"/>
                </w:tcPr>
                <w:p w14:paraId="2F541D41" w14:textId="4E545793" w:rsidR="004424B3" w:rsidRPr="004424B3" w:rsidRDefault="004424B3" w:rsidP="004424B3">
                  <w:pPr>
                    <w:ind w:firstLine="0"/>
                    <w:jc w:val="center"/>
                    <w:rPr>
                      <w:rFonts w:ascii="Times New Roman" w:hAnsi="Times New Roman"/>
                      <w:color w:val="000000"/>
                      <w:sz w:val="24"/>
                      <w:szCs w:val="24"/>
                      <w:lang w:val="ro-RO"/>
                    </w:rPr>
                  </w:pPr>
                  <w:r w:rsidRPr="004424B3">
                    <w:rPr>
                      <w:rFonts w:ascii="Times New Roman" w:hAnsi="Times New Roman"/>
                      <w:sz w:val="24"/>
                      <w:szCs w:val="24"/>
                    </w:rPr>
                    <w:t>0.0852</w:t>
                  </w:r>
                </w:p>
              </w:tc>
              <w:tc>
                <w:tcPr>
                  <w:tcW w:w="3864" w:type="dxa"/>
                </w:tcPr>
                <w:p w14:paraId="48F31596" w14:textId="2BE8DC75" w:rsidR="004424B3" w:rsidRPr="004424B3" w:rsidRDefault="004424B3" w:rsidP="004424B3">
                  <w:pPr>
                    <w:ind w:firstLine="0"/>
                    <w:jc w:val="center"/>
                    <w:rPr>
                      <w:rFonts w:ascii="Times New Roman" w:hAnsi="Times New Roman"/>
                      <w:sz w:val="24"/>
                      <w:szCs w:val="24"/>
                    </w:rPr>
                  </w:pPr>
                  <w:r w:rsidRPr="004424B3">
                    <w:rPr>
                      <w:rFonts w:ascii="Times New Roman" w:hAnsi="Times New Roman"/>
                      <w:sz w:val="24"/>
                      <w:szCs w:val="24"/>
                    </w:rPr>
                    <w:t>0.1408</w:t>
                  </w:r>
                </w:p>
              </w:tc>
            </w:tr>
            <w:tr w:rsidR="004424B3" w:rsidRPr="00FC5FB9" w14:paraId="6EECA6EE" w14:textId="77777777" w:rsidTr="00D6179A">
              <w:tc>
                <w:tcPr>
                  <w:tcW w:w="1156" w:type="dxa"/>
                </w:tcPr>
                <w:p w14:paraId="608B8B65" w14:textId="1032B22B" w:rsidR="004424B3" w:rsidRPr="007440F6" w:rsidRDefault="004424B3" w:rsidP="004424B3">
                  <w:pPr>
                    <w:ind w:firstLine="0"/>
                    <w:jc w:val="center"/>
                    <w:rPr>
                      <w:rFonts w:ascii="Times New Roman" w:hAnsi="Times New Roman"/>
                      <w:sz w:val="24"/>
                      <w:szCs w:val="24"/>
                    </w:rPr>
                  </w:pPr>
                  <w:r w:rsidRPr="00FC5FB9">
                    <w:rPr>
                      <w:rFonts w:ascii="Times New Roman" w:hAnsi="Times New Roman"/>
                      <w:sz w:val="24"/>
                      <w:szCs w:val="24"/>
                    </w:rPr>
                    <w:t>169</w:t>
                  </w:r>
                </w:p>
              </w:tc>
              <w:tc>
                <w:tcPr>
                  <w:tcW w:w="3863" w:type="dxa"/>
                </w:tcPr>
                <w:p w14:paraId="646F9561" w14:textId="5383D236"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0.0418</w:t>
                  </w:r>
                </w:p>
              </w:tc>
              <w:tc>
                <w:tcPr>
                  <w:tcW w:w="3864" w:type="dxa"/>
                </w:tcPr>
                <w:p w14:paraId="27C29576" w14:textId="7F2160F3" w:rsidR="004424B3" w:rsidRPr="004424B3" w:rsidRDefault="004424B3" w:rsidP="004424B3">
                  <w:pPr>
                    <w:ind w:firstLine="0"/>
                    <w:jc w:val="center"/>
                    <w:rPr>
                      <w:rFonts w:ascii="Times New Roman" w:hAnsi="Times New Roman"/>
                      <w:sz w:val="24"/>
                      <w:szCs w:val="24"/>
                      <w:lang w:val="ro-RO"/>
                    </w:rPr>
                  </w:pPr>
                  <w:r w:rsidRPr="004424B3">
                    <w:rPr>
                      <w:rFonts w:ascii="Times New Roman" w:hAnsi="Times New Roman"/>
                      <w:sz w:val="24"/>
                      <w:szCs w:val="24"/>
                    </w:rPr>
                    <w:t>0.2148</w:t>
                  </w:r>
                </w:p>
              </w:tc>
            </w:tr>
          </w:tbl>
          <w:p w14:paraId="6BAB574B" w14:textId="2740BDB3" w:rsidR="008D6A4A" w:rsidRPr="00FC5FB9" w:rsidRDefault="008D6A4A" w:rsidP="008D6A4A">
            <w:pPr>
              <w:ind w:firstLine="0"/>
              <w:rPr>
                <w:rFonts w:ascii="Times New Roman" w:hAnsi="Times New Roman"/>
                <w:i/>
                <w:iCs/>
                <w:sz w:val="24"/>
                <w:szCs w:val="24"/>
                <w:lang w:val="ro-RO" w:eastAsia="ru-RU"/>
              </w:rPr>
            </w:pPr>
          </w:p>
          <w:p w14:paraId="51754964" w14:textId="58868052" w:rsidR="008D6A4A" w:rsidRPr="00FC5FB9" w:rsidRDefault="008D6A4A" w:rsidP="008D6A4A">
            <w:pPr>
              <w:pStyle w:val="Listparagraf"/>
              <w:numPr>
                <w:ilvl w:val="0"/>
                <w:numId w:val="44"/>
              </w:numPr>
              <w:tabs>
                <w:tab w:val="left" w:pos="733"/>
                <w:tab w:val="left" w:pos="875"/>
              </w:tabs>
              <w:ind w:left="0" w:firstLine="591"/>
              <w:rPr>
                <w:rFonts w:ascii="Times New Roman" w:hAnsi="Times New Roman"/>
                <w:sz w:val="24"/>
                <w:szCs w:val="24"/>
                <w:lang w:val="ro-RO"/>
              </w:rPr>
            </w:pPr>
            <w:r w:rsidRPr="00FC5FB9">
              <w:rPr>
                <w:rFonts w:ascii="Times New Roman" w:hAnsi="Times New Roman"/>
                <w:b/>
                <w:bCs/>
                <w:sz w:val="24"/>
                <w:szCs w:val="24"/>
                <w:lang w:val="ro-RO"/>
              </w:rPr>
              <w:t>Modificarea Anexei nr. 2</w:t>
            </w:r>
            <w:r w:rsidRPr="00FC5FB9">
              <w:rPr>
                <w:rFonts w:ascii="Times New Roman" w:hAnsi="Times New Roman"/>
                <w:sz w:val="24"/>
                <w:szCs w:val="24"/>
                <w:lang w:val="ro-RO"/>
              </w:rPr>
              <w:t xml:space="preserve"> Lista bunurilor imobile afectate temporar de lucrările de interes național de construcție a liniei electrice aeriene (LEA) 400 kV de transport al energiei electrice Vulcănești–Chișinău;</w:t>
            </w:r>
          </w:p>
          <w:p w14:paraId="3AF5B7DC" w14:textId="630C45A4" w:rsidR="008D6A4A" w:rsidRPr="00FC5FB9" w:rsidRDefault="008D6A4A" w:rsidP="00FC5FB9">
            <w:pPr>
              <w:tabs>
                <w:tab w:val="left" w:pos="733"/>
                <w:tab w:val="left" w:pos="875"/>
              </w:tabs>
              <w:ind w:firstLine="591"/>
              <w:rPr>
                <w:rFonts w:ascii="Times New Roman" w:hAnsi="Times New Roman"/>
                <w:sz w:val="24"/>
                <w:szCs w:val="24"/>
                <w:lang w:val="ro-RO"/>
              </w:rPr>
            </w:pPr>
            <w:r w:rsidRPr="00FC5FB9">
              <w:rPr>
                <w:rFonts w:ascii="Times New Roman" w:hAnsi="Times New Roman"/>
                <w:sz w:val="24"/>
                <w:szCs w:val="24"/>
                <w:lang w:val="ro-RO"/>
              </w:rPr>
              <w:t xml:space="preserve">În Anexa nr. 2, la compartimentul „com. Băcioi mun. Chişinău”, pozițiile nr. 126, 127, 128, 129, 162, 163, 164, 165, 166 se exclud, având în vedere </w:t>
            </w:r>
            <w:r w:rsidR="00520D4C" w:rsidRPr="00FC5FB9">
              <w:rPr>
                <w:rFonts w:ascii="Times New Roman" w:hAnsi="Times New Roman"/>
                <w:sz w:val="24"/>
                <w:szCs w:val="24"/>
                <w:lang w:val="ro-RO"/>
              </w:rPr>
              <w:t>exproprierea totală a terenurilor.</w:t>
            </w:r>
          </w:p>
          <w:p w14:paraId="61EDCB8B" w14:textId="03CC230F" w:rsidR="00385903" w:rsidRPr="00FC5FB9" w:rsidRDefault="00385903">
            <w:pPr>
              <w:tabs>
                <w:tab w:val="left" w:pos="733"/>
                <w:tab w:val="left" w:pos="875"/>
              </w:tabs>
              <w:ind w:firstLine="0"/>
              <w:rPr>
                <w:rFonts w:ascii="Times New Roman" w:hAnsi="Times New Roman"/>
                <w:sz w:val="24"/>
                <w:szCs w:val="24"/>
                <w:lang w:val="ro-RO"/>
              </w:rPr>
            </w:pPr>
          </w:p>
          <w:p w14:paraId="359BFBFF" w14:textId="2ACDBF46" w:rsidR="00520D4C" w:rsidRPr="00FC5FB9" w:rsidRDefault="00520D4C" w:rsidP="00FC5FB9">
            <w:pPr>
              <w:tabs>
                <w:tab w:val="left" w:pos="733"/>
                <w:tab w:val="left" w:pos="875"/>
              </w:tabs>
              <w:ind w:firstLine="591"/>
              <w:rPr>
                <w:rFonts w:ascii="Times New Roman" w:hAnsi="Times New Roman"/>
                <w:sz w:val="24"/>
                <w:szCs w:val="24"/>
                <w:lang w:val="ro-RO"/>
              </w:rPr>
            </w:pPr>
            <w:r w:rsidRPr="00FC5FB9">
              <w:rPr>
                <w:rFonts w:ascii="Times New Roman" w:hAnsi="Times New Roman"/>
                <w:sz w:val="24"/>
                <w:szCs w:val="24"/>
                <w:lang w:val="ro-RO"/>
              </w:rPr>
              <w:t xml:space="preserve">Totodată, având în vedere importanța </w:t>
            </w:r>
            <w:r w:rsidR="003D3395" w:rsidRPr="00FC5FB9">
              <w:rPr>
                <w:rFonts w:ascii="Times New Roman" w:hAnsi="Times New Roman"/>
                <w:sz w:val="24"/>
                <w:szCs w:val="24"/>
                <w:lang w:val="ro-RO"/>
              </w:rPr>
              <w:t xml:space="preserve">realizării în termen a proiectului strategic de infrastructură se propune intrarea în vigoare </w:t>
            </w:r>
            <w:r w:rsidR="005C10B6" w:rsidRPr="00FC5FB9">
              <w:rPr>
                <w:rFonts w:ascii="Times New Roman" w:hAnsi="Times New Roman"/>
                <w:sz w:val="24"/>
                <w:szCs w:val="24"/>
                <w:lang w:val="ro-RO"/>
              </w:rPr>
              <w:t xml:space="preserve">a </w:t>
            </w:r>
            <w:r w:rsidR="003D3395" w:rsidRPr="00FC5FB9">
              <w:rPr>
                <w:rFonts w:ascii="Times New Roman" w:hAnsi="Times New Roman"/>
                <w:sz w:val="24"/>
                <w:szCs w:val="24"/>
                <w:lang w:val="ro-RO"/>
              </w:rPr>
              <w:t>Hotărârii de Guvern la data publicării în Monitorul Oficial al Republicii Moldova.</w:t>
            </w:r>
          </w:p>
        </w:tc>
      </w:tr>
      <w:tr w:rsidR="007B69FD" w:rsidRPr="00FC5FB9" w14:paraId="7889D23C" w14:textId="77777777" w:rsidTr="00BA2590">
        <w:tc>
          <w:tcPr>
            <w:tcW w:w="9109" w:type="dxa"/>
            <w:shd w:val="clear" w:color="auto" w:fill="F2F2F2" w:themeFill="background1" w:themeFillShade="F2"/>
            <w:tcMar>
              <w:top w:w="0" w:type="dxa"/>
              <w:left w:w="108" w:type="dxa"/>
              <w:bottom w:w="0" w:type="dxa"/>
              <w:right w:w="108" w:type="dxa"/>
            </w:tcMar>
          </w:tcPr>
          <w:p w14:paraId="6630C887"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lastRenderedPageBreak/>
              <w:t>3.2. Opțiunile alternative analizate și motivele pentru care acestea nu au fost luate în considerare</w:t>
            </w:r>
          </w:p>
        </w:tc>
      </w:tr>
      <w:tr w:rsidR="007B69FD" w:rsidRPr="00FC5FB9" w14:paraId="456E973C" w14:textId="77777777" w:rsidTr="00BA2590">
        <w:tc>
          <w:tcPr>
            <w:tcW w:w="9109" w:type="dxa"/>
            <w:tcMar>
              <w:top w:w="0" w:type="dxa"/>
              <w:left w:w="108" w:type="dxa"/>
              <w:bottom w:w="0" w:type="dxa"/>
              <w:right w:w="108" w:type="dxa"/>
            </w:tcMar>
          </w:tcPr>
          <w:p w14:paraId="1346A57E" w14:textId="74C5A4FC" w:rsidR="005E2764" w:rsidRPr="00FC5FB9" w:rsidRDefault="005E2764" w:rsidP="00E37F00">
            <w:pPr>
              <w:rPr>
                <w:rFonts w:ascii="Times New Roman" w:hAnsi="Times New Roman"/>
                <w:sz w:val="24"/>
                <w:szCs w:val="24"/>
                <w:lang w:val="ro-RO"/>
              </w:rPr>
            </w:pPr>
            <w:r w:rsidRPr="00FC5FB9">
              <w:rPr>
                <w:rFonts w:ascii="Times New Roman" w:hAnsi="Times New Roman"/>
                <w:sz w:val="24"/>
                <w:szCs w:val="24"/>
                <w:lang w:val="ro-RO"/>
              </w:rPr>
              <w:t>În cadrul ședinței de lucru sus-menționate au fost discutate opțiuni suplimentare după cum urmează:</w:t>
            </w:r>
          </w:p>
          <w:p w14:paraId="22C7A4C3" w14:textId="3AE1B010" w:rsidR="00A70FCB" w:rsidRPr="00FC5FB9" w:rsidRDefault="005E2764" w:rsidP="00A70FCB">
            <w:pPr>
              <w:pStyle w:val="Listparagraf"/>
              <w:numPr>
                <w:ilvl w:val="0"/>
                <w:numId w:val="50"/>
              </w:numPr>
              <w:tabs>
                <w:tab w:val="left" w:pos="1158"/>
              </w:tabs>
              <w:ind w:left="0" w:firstLine="875"/>
              <w:rPr>
                <w:rFonts w:ascii="Times New Roman" w:hAnsi="Times New Roman"/>
                <w:sz w:val="24"/>
                <w:szCs w:val="24"/>
                <w:lang w:val="ro-RO"/>
              </w:rPr>
            </w:pPr>
            <w:r w:rsidRPr="00FC5FB9">
              <w:rPr>
                <w:rFonts w:ascii="Times New Roman" w:hAnsi="Times New Roman"/>
                <w:sz w:val="24"/>
                <w:szCs w:val="24"/>
                <w:lang w:val="ro-RO"/>
              </w:rPr>
              <w:t>Aplicarea mecanismului Grupului Banca Mondială, care permite oferirea de despăgubiri echivalente valorii întregii suprafețe a terenului afectat, fără a implica transferul dreptului de proprietate, acesta fiind păstrat de proprietar după finalizarea lucrărilor, pentru partea care nu este expropriată permanen</w:t>
            </w:r>
            <w:r w:rsidR="00A70FCB" w:rsidRPr="00FC5FB9">
              <w:rPr>
                <w:rFonts w:ascii="Times New Roman" w:hAnsi="Times New Roman"/>
                <w:sz w:val="24"/>
                <w:szCs w:val="24"/>
                <w:lang w:val="ro-RO"/>
              </w:rPr>
              <w:t>t; și</w:t>
            </w:r>
          </w:p>
          <w:p w14:paraId="7B75A46A" w14:textId="77777777" w:rsidR="008D0904" w:rsidRPr="00FC5FB9" w:rsidRDefault="00A70FCB" w:rsidP="008D0904">
            <w:pPr>
              <w:pStyle w:val="Listparagraf"/>
              <w:numPr>
                <w:ilvl w:val="0"/>
                <w:numId w:val="50"/>
              </w:numPr>
              <w:tabs>
                <w:tab w:val="left" w:pos="1158"/>
              </w:tabs>
              <w:ind w:left="0" w:firstLine="875"/>
              <w:rPr>
                <w:rFonts w:ascii="Times New Roman" w:hAnsi="Times New Roman"/>
                <w:sz w:val="24"/>
                <w:szCs w:val="24"/>
                <w:lang w:val="ro-RO"/>
              </w:rPr>
            </w:pPr>
            <w:r w:rsidRPr="00FC5FB9">
              <w:rPr>
                <w:rFonts w:ascii="Times New Roman" w:hAnsi="Times New Roman"/>
                <w:sz w:val="24"/>
                <w:szCs w:val="24"/>
                <w:lang w:val="ro-RO"/>
              </w:rPr>
              <w:t>Opțiune de a nu face nimic, care prevedea reluarea dialogului cu proprietarii, pentru a se ajunge la un consens privind cuantumul despăgubirilor, în vederea evitării</w:t>
            </w:r>
            <w:r w:rsidR="004E5A35" w:rsidRPr="00FC5FB9">
              <w:rPr>
                <w:rFonts w:ascii="Times New Roman" w:hAnsi="Times New Roman"/>
                <w:sz w:val="24"/>
                <w:szCs w:val="24"/>
                <w:lang w:val="ro-RO"/>
              </w:rPr>
              <w:t xml:space="preserve"> exproprierii întregului teren</w:t>
            </w:r>
            <w:r w:rsidRPr="00FC5FB9">
              <w:rPr>
                <w:rFonts w:ascii="Times New Roman" w:hAnsi="Times New Roman"/>
                <w:sz w:val="24"/>
                <w:szCs w:val="24"/>
                <w:lang w:val="ro-RO"/>
              </w:rPr>
              <w:t xml:space="preserve">. </w:t>
            </w:r>
            <w:r w:rsidR="004E5A35" w:rsidRPr="00FC5FB9">
              <w:rPr>
                <w:rFonts w:ascii="Times New Roman" w:hAnsi="Times New Roman"/>
                <w:sz w:val="24"/>
                <w:szCs w:val="24"/>
                <w:lang w:val="ro-RO"/>
              </w:rPr>
              <w:t>C</w:t>
            </w:r>
            <w:r w:rsidRPr="00FC5FB9">
              <w:rPr>
                <w:rFonts w:ascii="Times New Roman" w:hAnsi="Times New Roman"/>
                <w:sz w:val="24"/>
                <w:szCs w:val="24"/>
                <w:lang w:val="ro-RO"/>
              </w:rPr>
              <w:t>onform celor relatate de UCIPE</w:t>
            </w:r>
            <w:r w:rsidR="004E5A35" w:rsidRPr="00FC5FB9">
              <w:rPr>
                <w:rFonts w:ascii="Times New Roman" w:hAnsi="Times New Roman"/>
                <w:sz w:val="24"/>
                <w:szCs w:val="24"/>
              </w:rPr>
              <w:t xml:space="preserve"> </w:t>
            </w:r>
            <w:r w:rsidR="004E5A35" w:rsidRPr="00FC5FB9">
              <w:rPr>
                <w:rFonts w:ascii="Times New Roman" w:hAnsi="Times New Roman"/>
                <w:sz w:val="24"/>
                <w:szCs w:val="24"/>
                <w:lang w:val="ro-RO"/>
              </w:rPr>
              <w:t xml:space="preserve">aceste discuții au avut deja loc, fără a conduce la schimbarea poziției proprietarilor. Respectiv, oferirea propunerii de despăgubire doar pentru </w:t>
            </w:r>
            <w:r w:rsidR="00820409" w:rsidRPr="00FC5FB9">
              <w:rPr>
                <w:rFonts w:ascii="Times New Roman" w:hAnsi="Times New Roman"/>
                <w:sz w:val="24"/>
                <w:szCs w:val="24"/>
                <w:lang w:val="ro-RO"/>
              </w:rPr>
              <w:t xml:space="preserve">porțiunea/suprafața de teren aprobată prin Hotărârea de Guvern </w:t>
            </w:r>
            <w:r w:rsidR="00820409" w:rsidRPr="00FC5FB9">
              <w:rPr>
                <w:rFonts w:ascii="Times New Roman" w:hAnsi="Times New Roman"/>
                <w:sz w:val="24"/>
                <w:szCs w:val="24"/>
                <w:lang w:val="ro-RO"/>
              </w:rPr>
              <w:br/>
              <w:t xml:space="preserve">nr. 1037/2023 ar putea ducă la </w:t>
            </w:r>
            <w:r w:rsidR="00D100F0" w:rsidRPr="00FC5FB9">
              <w:rPr>
                <w:rFonts w:ascii="Times New Roman" w:hAnsi="Times New Roman"/>
                <w:sz w:val="24"/>
                <w:szCs w:val="24"/>
                <w:lang w:val="ro-RO"/>
              </w:rPr>
              <w:t xml:space="preserve">refuzul din partea proprietarului la cuantumul despăgubirii cu posibila apelare la instanța de judecată, fapt care a r afecta extrem termeni de realizare </w:t>
            </w:r>
            <w:r w:rsidR="008D0904" w:rsidRPr="00FC5FB9">
              <w:rPr>
                <w:rFonts w:ascii="Times New Roman" w:hAnsi="Times New Roman"/>
                <w:sz w:val="24"/>
                <w:szCs w:val="24"/>
                <w:lang w:val="ro-RO"/>
              </w:rPr>
              <w:t>a lucrărilor de interes național de construcție a liniei electrice aeriene (LEA) 400 kV de transport al energiei electrice Vulcănești – Chișinău.</w:t>
            </w:r>
          </w:p>
          <w:p w14:paraId="5A5336EA" w14:textId="69FBE71C" w:rsidR="007B69FD" w:rsidRPr="00FC5FB9" w:rsidRDefault="002E70E6" w:rsidP="00EF0709">
            <w:pPr>
              <w:rPr>
                <w:rFonts w:ascii="Times New Roman" w:hAnsi="Times New Roman"/>
                <w:sz w:val="24"/>
                <w:szCs w:val="24"/>
                <w:lang w:val="ro-RO"/>
              </w:rPr>
            </w:pPr>
            <w:r w:rsidRPr="002E70E6">
              <w:rPr>
                <w:rFonts w:ascii="Times New Roman" w:hAnsi="Times New Roman"/>
                <w:sz w:val="24"/>
                <w:szCs w:val="24"/>
                <w:lang w:val="ro-RO"/>
              </w:rPr>
              <w:t>Respectiv, exproprierea integrală a terenurilor, în conformitate cu solicitările proprietarilor, soluție ce presupune modificarea Hotărârii Guvernului nr. 1037/2023 prin ajustarea suprafețelor de teren supuse exproprierii, reprezintă varianta optimă atât din punct de vedere financiar, cât și ca durată de realizare. Această abordare asigură păstrarea terenurilor în proprietatea statului, generând astfel economii pe termen lung, întrucât la realizarea lucrărilor statul nu va suporta cheltuieli suplimentare legate de despăgubirea pentru exproprierea temporară</w:t>
            </w:r>
            <w:r w:rsidR="00704A70">
              <w:rPr>
                <w:rFonts w:ascii="Times New Roman" w:hAnsi="Times New Roman"/>
                <w:sz w:val="24"/>
                <w:szCs w:val="24"/>
                <w:lang w:val="ro-RO"/>
              </w:rPr>
              <w:t xml:space="preserve"> pentru terenuri expropriate total</w:t>
            </w:r>
            <w:r w:rsidRPr="002E70E6">
              <w:rPr>
                <w:rFonts w:ascii="Times New Roman" w:hAnsi="Times New Roman"/>
                <w:sz w:val="24"/>
                <w:szCs w:val="24"/>
                <w:lang w:val="ro-RO"/>
              </w:rPr>
              <w:t>.</w:t>
            </w:r>
          </w:p>
        </w:tc>
      </w:tr>
      <w:tr w:rsidR="007B69FD" w:rsidRPr="00FC5FB9" w14:paraId="005C9F44" w14:textId="77777777" w:rsidTr="00BA2590">
        <w:trPr>
          <w:trHeight w:val="381"/>
        </w:trPr>
        <w:tc>
          <w:tcPr>
            <w:tcW w:w="9109" w:type="dxa"/>
            <w:shd w:val="clear" w:color="BFBFBF" w:fill="BFBFBF"/>
            <w:tcMar>
              <w:top w:w="0" w:type="dxa"/>
              <w:left w:w="108" w:type="dxa"/>
              <w:bottom w:w="0" w:type="dxa"/>
              <w:right w:w="108" w:type="dxa"/>
            </w:tcMar>
          </w:tcPr>
          <w:p w14:paraId="3EACA5AC"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 xml:space="preserve">4. Analiza impactului de reglementare </w:t>
            </w:r>
          </w:p>
        </w:tc>
      </w:tr>
      <w:tr w:rsidR="007B69FD" w:rsidRPr="00FC5FB9" w14:paraId="20E2DDB5" w14:textId="77777777" w:rsidTr="00BA2590">
        <w:tc>
          <w:tcPr>
            <w:tcW w:w="9109" w:type="dxa"/>
            <w:shd w:val="clear" w:color="EDEDED" w:fill="EDEDED"/>
            <w:tcMar>
              <w:top w:w="0" w:type="dxa"/>
              <w:left w:w="108" w:type="dxa"/>
              <w:bottom w:w="0" w:type="dxa"/>
              <w:right w:w="108" w:type="dxa"/>
            </w:tcMar>
          </w:tcPr>
          <w:p w14:paraId="7C5696C4"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4.1. Impactul asupra sectorului public</w:t>
            </w:r>
          </w:p>
        </w:tc>
      </w:tr>
      <w:tr w:rsidR="004B53A1" w:rsidRPr="00FC5FB9" w14:paraId="3515E102" w14:textId="77777777" w:rsidTr="00462126">
        <w:tc>
          <w:tcPr>
            <w:tcW w:w="9109" w:type="dxa"/>
            <w:shd w:val="clear" w:color="auto" w:fill="FFFFFF" w:themeFill="background1"/>
            <w:tcMar>
              <w:top w:w="0" w:type="dxa"/>
              <w:left w:w="108" w:type="dxa"/>
              <w:bottom w:w="0" w:type="dxa"/>
              <w:right w:w="108" w:type="dxa"/>
            </w:tcMar>
          </w:tcPr>
          <w:p w14:paraId="6995DB95" w14:textId="1194B124" w:rsidR="004B53A1" w:rsidRPr="00FC5FB9" w:rsidRDefault="004B53A1" w:rsidP="00E37F00">
            <w:pPr>
              <w:rPr>
                <w:rFonts w:ascii="Times New Roman" w:hAnsi="Times New Roman"/>
                <w:sz w:val="24"/>
                <w:szCs w:val="24"/>
                <w:lang w:val="ro-RO"/>
              </w:rPr>
            </w:pPr>
            <w:r w:rsidRPr="00FC5FB9">
              <w:rPr>
                <w:rFonts w:ascii="Times New Roman" w:hAnsi="Times New Roman"/>
                <w:sz w:val="24"/>
                <w:szCs w:val="24"/>
                <w:lang w:val="ro-RO"/>
              </w:rPr>
              <w:t>Nu este aplicabil.</w:t>
            </w:r>
          </w:p>
        </w:tc>
      </w:tr>
      <w:tr w:rsidR="007B69FD" w:rsidRPr="00FC5FB9" w14:paraId="19469A23" w14:textId="77777777" w:rsidTr="00BA2590">
        <w:tc>
          <w:tcPr>
            <w:tcW w:w="9109" w:type="dxa"/>
            <w:shd w:val="clear" w:color="EDEDED" w:fill="EDEDED"/>
            <w:tcMar>
              <w:top w:w="0" w:type="dxa"/>
              <w:left w:w="108" w:type="dxa"/>
              <w:bottom w:w="0" w:type="dxa"/>
              <w:right w:w="108" w:type="dxa"/>
            </w:tcMar>
          </w:tcPr>
          <w:p w14:paraId="3A603E66"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4.2. Impactul financiar și argumentarea costurilor estimative</w:t>
            </w:r>
          </w:p>
        </w:tc>
      </w:tr>
      <w:tr w:rsidR="004B53A1" w:rsidRPr="00FC5FB9" w14:paraId="54F4936E" w14:textId="77777777" w:rsidTr="00462126">
        <w:tc>
          <w:tcPr>
            <w:tcW w:w="9109" w:type="dxa"/>
            <w:shd w:val="clear" w:color="auto" w:fill="FFFFFF" w:themeFill="background1"/>
            <w:tcMar>
              <w:top w:w="0" w:type="dxa"/>
              <w:left w:w="108" w:type="dxa"/>
              <w:bottom w:w="0" w:type="dxa"/>
              <w:right w:w="108" w:type="dxa"/>
            </w:tcMar>
          </w:tcPr>
          <w:p w14:paraId="5F0168CD" w14:textId="1147B815" w:rsidR="006006DF" w:rsidRDefault="00704A70" w:rsidP="00C2497C">
            <w:pPr>
              <w:ind w:firstLine="589"/>
              <w:rPr>
                <w:rFonts w:ascii="Times New Roman" w:hAnsi="Times New Roman"/>
                <w:sz w:val="24"/>
                <w:szCs w:val="24"/>
                <w:lang w:val="ro-RO"/>
              </w:rPr>
            </w:pPr>
            <w:r w:rsidRPr="00704A70">
              <w:rPr>
                <w:rFonts w:ascii="Times New Roman" w:hAnsi="Times New Roman"/>
                <w:sz w:val="24"/>
                <w:szCs w:val="24"/>
                <w:lang w:val="ro-RO"/>
              </w:rPr>
              <w:t>Diferența aferentă exproprierii permanente, care urmează a fi achitată, este în cuantum de 728 mii lei</w:t>
            </w:r>
            <w:r w:rsidR="007B5F2A">
              <w:rPr>
                <w:rFonts w:ascii="Times New Roman" w:hAnsi="Times New Roman"/>
                <w:sz w:val="24"/>
                <w:szCs w:val="24"/>
                <w:lang w:val="ro-RO"/>
              </w:rPr>
              <w:t>, care</w:t>
            </w:r>
            <w:r w:rsidR="0099067C">
              <w:rPr>
                <w:rFonts w:ascii="Times New Roman" w:hAnsi="Times New Roman"/>
                <w:sz w:val="24"/>
                <w:szCs w:val="24"/>
                <w:lang w:val="ro-RO"/>
              </w:rPr>
              <w:t xml:space="preserve"> urmează a fi acoperite din bugetul de stat</w:t>
            </w:r>
            <w:r w:rsidRPr="00704A70">
              <w:rPr>
                <w:rFonts w:ascii="Times New Roman" w:hAnsi="Times New Roman"/>
                <w:sz w:val="24"/>
                <w:szCs w:val="24"/>
                <w:lang w:val="ro-RO"/>
              </w:rPr>
              <w:t>. Totodată, pentru parcelele respective urmează a fi efectuate recalculări aferente suprafeței afectate temporar. Astfel, în cazul terenurilor ce vor fi achiziționate integral (100%), despăgubirea pentru exproprierea temporară se exclude integral, iar pentru celelalte parcele cuantumul acesteia se va diminua corespunzător. Respectiv, impactul financiar al acestei opțiuni este unul relativ echilibrat, permițând realizarea obiectivului de interes național fără prejudicierea intereselor private ale cetățenilor, garantate prin Constituția Republicii Moldova.</w:t>
            </w:r>
            <w:r w:rsidR="006006DF">
              <w:rPr>
                <w:rFonts w:ascii="Times New Roman" w:hAnsi="Times New Roman"/>
                <w:sz w:val="24"/>
                <w:szCs w:val="24"/>
                <w:lang w:val="ro-RO"/>
              </w:rPr>
              <w:t xml:space="preserve"> </w:t>
            </w:r>
          </w:p>
          <w:p w14:paraId="6D45F947" w14:textId="77777777" w:rsidR="0025553F" w:rsidRDefault="00B30C77" w:rsidP="0025553F">
            <w:pPr>
              <w:ind w:firstLine="589"/>
              <w:rPr>
                <w:rFonts w:ascii="Times New Roman" w:hAnsi="Times New Roman"/>
                <w:sz w:val="24"/>
                <w:szCs w:val="24"/>
                <w:lang w:val="ro-RO"/>
              </w:rPr>
            </w:pPr>
            <w:r>
              <w:rPr>
                <w:rFonts w:ascii="Times New Roman" w:hAnsi="Times New Roman"/>
                <w:sz w:val="24"/>
                <w:szCs w:val="24"/>
                <w:lang w:val="ro-RO"/>
              </w:rPr>
              <w:t>De asemenea</w:t>
            </w:r>
            <w:r w:rsidR="001C3421" w:rsidRPr="00FC5FB9">
              <w:rPr>
                <w:rFonts w:ascii="Times New Roman" w:hAnsi="Times New Roman"/>
                <w:sz w:val="24"/>
                <w:szCs w:val="24"/>
                <w:lang w:val="ro-RO"/>
              </w:rPr>
              <w:t>, mențio</w:t>
            </w:r>
            <w:r>
              <w:rPr>
                <w:rFonts w:ascii="Times New Roman" w:hAnsi="Times New Roman"/>
                <w:sz w:val="24"/>
                <w:szCs w:val="24"/>
                <w:lang w:val="ro-RO"/>
              </w:rPr>
              <w:t>năm</w:t>
            </w:r>
            <w:r w:rsidR="001C3421" w:rsidRPr="00FC5FB9">
              <w:rPr>
                <w:rFonts w:ascii="Times New Roman" w:hAnsi="Times New Roman"/>
                <w:sz w:val="24"/>
                <w:szCs w:val="24"/>
                <w:lang w:val="ro-RO"/>
              </w:rPr>
              <w:t xml:space="preserve"> că mijloacele financiare pentru exproprierea persoanelor afectate cât și pentru serviciile privind lucrările cadastrale au fost planificate în bugetul de stat atât pentru anul</w:t>
            </w:r>
            <w:r w:rsidR="002D6C9A">
              <w:rPr>
                <w:rFonts w:ascii="Times New Roman" w:hAnsi="Times New Roman"/>
                <w:sz w:val="24"/>
                <w:szCs w:val="24"/>
                <w:lang w:val="ro-RO"/>
              </w:rPr>
              <w:t xml:space="preserve"> 2025 conform </w:t>
            </w:r>
            <w:r w:rsidR="002D6C9A" w:rsidRPr="002D6C9A">
              <w:rPr>
                <w:rFonts w:ascii="Times New Roman" w:hAnsi="Times New Roman"/>
                <w:sz w:val="24"/>
                <w:szCs w:val="24"/>
                <w:lang w:val="ro-RO"/>
              </w:rPr>
              <w:t>Legii bugetului de stat pentru anul 2025</w:t>
            </w:r>
            <w:r w:rsidR="002D6C9A">
              <w:rPr>
                <w:rFonts w:ascii="Times New Roman" w:hAnsi="Times New Roman"/>
                <w:sz w:val="24"/>
                <w:szCs w:val="24"/>
                <w:lang w:val="ro-RO"/>
              </w:rPr>
              <w:t xml:space="preserve"> </w:t>
            </w:r>
            <w:r w:rsidR="002D6C9A" w:rsidRPr="002D6C9A">
              <w:rPr>
                <w:rFonts w:ascii="Times New Roman" w:hAnsi="Times New Roman"/>
                <w:sz w:val="24"/>
                <w:szCs w:val="24"/>
                <w:lang w:val="ro-RO"/>
              </w:rPr>
              <w:t>nr. 310/2024</w:t>
            </w:r>
            <w:r w:rsidR="000C1BF2">
              <w:rPr>
                <w:rFonts w:ascii="Times New Roman" w:hAnsi="Times New Roman"/>
                <w:sz w:val="24"/>
                <w:szCs w:val="24"/>
                <w:lang w:val="ro-RO"/>
              </w:rPr>
              <w:t>.</w:t>
            </w:r>
          </w:p>
          <w:p w14:paraId="1D9414F4" w14:textId="3079151A" w:rsidR="0025553F" w:rsidRPr="00FC5FB9" w:rsidRDefault="0025553F" w:rsidP="0025553F">
            <w:pPr>
              <w:ind w:firstLine="589"/>
              <w:rPr>
                <w:rFonts w:ascii="Times New Roman" w:hAnsi="Times New Roman"/>
                <w:sz w:val="24"/>
                <w:szCs w:val="24"/>
                <w:lang w:val="ro-RO"/>
              </w:rPr>
            </w:pPr>
            <w:r w:rsidRPr="0025553F">
              <w:rPr>
                <w:rFonts w:ascii="Times New Roman" w:hAnsi="Times New Roman"/>
                <w:sz w:val="24"/>
                <w:szCs w:val="24"/>
                <w:lang w:val="ro-RO"/>
              </w:rPr>
              <w:t>Cuantumul despăgubirilor va fi stabilit în conformitate cu prevederile art. 15 alin. (5) din Legea nr. 488/1999 privind exproprierea pentru cauză de utilitate publică</w:t>
            </w:r>
            <w:r>
              <w:rPr>
                <w:rFonts w:ascii="Times New Roman" w:hAnsi="Times New Roman"/>
                <w:sz w:val="24"/>
                <w:szCs w:val="24"/>
                <w:lang w:val="ro-RO"/>
              </w:rPr>
              <w:t>.</w:t>
            </w:r>
          </w:p>
        </w:tc>
      </w:tr>
      <w:tr w:rsidR="007B69FD" w:rsidRPr="00FC5FB9" w14:paraId="78ABBD36" w14:textId="77777777" w:rsidTr="00BA2590">
        <w:tc>
          <w:tcPr>
            <w:tcW w:w="9109" w:type="dxa"/>
            <w:shd w:val="clear" w:color="EDEDED" w:fill="EDEDED"/>
            <w:tcMar>
              <w:top w:w="0" w:type="dxa"/>
              <w:left w:w="108" w:type="dxa"/>
              <w:bottom w:w="0" w:type="dxa"/>
              <w:right w:w="108" w:type="dxa"/>
            </w:tcMar>
          </w:tcPr>
          <w:p w14:paraId="4493E457"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4.3. Impactul asupra sectorului privat</w:t>
            </w:r>
          </w:p>
        </w:tc>
      </w:tr>
      <w:tr w:rsidR="004B53A1" w:rsidRPr="00FC5FB9" w14:paraId="1408A2CF" w14:textId="77777777" w:rsidTr="00462126">
        <w:tc>
          <w:tcPr>
            <w:tcW w:w="9109" w:type="dxa"/>
            <w:shd w:val="clear" w:color="auto" w:fill="FFFFFF" w:themeFill="background1"/>
            <w:tcMar>
              <w:top w:w="0" w:type="dxa"/>
              <w:left w:w="108" w:type="dxa"/>
              <w:bottom w:w="0" w:type="dxa"/>
              <w:right w:w="108" w:type="dxa"/>
            </w:tcMar>
          </w:tcPr>
          <w:p w14:paraId="423C07EB" w14:textId="354969B8" w:rsidR="004B53A1" w:rsidRPr="00FC5FB9" w:rsidRDefault="004B53A1" w:rsidP="00E37F00">
            <w:pPr>
              <w:rPr>
                <w:rFonts w:ascii="Times New Roman" w:hAnsi="Times New Roman"/>
                <w:sz w:val="24"/>
                <w:szCs w:val="24"/>
                <w:lang w:val="ro-RO"/>
              </w:rPr>
            </w:pPr>
            <w:r w:rsidRPr="00FC5FB9">
              <w:rPr>
                <w:rFonts w:ascii="Times New Roman" w:hAnsi="Times New Roman"/>
                <w:sz w:val="24"/>
                <w:szCs w:val="24"/>
                <w:lang w:val="ro-RO"/>
              </w:rPr>
              <w:t>Nu este aplicabil.</w:t>
            </w:r>
            <w:r w:rsidR="00536246" w:rsidRPr="00FC5FB9">
              <w:rPr>
                <w:rFonts w:ascii="Times New Roman" w:hAnsi="Times New Roman"/>
                <w:sz w:val="24"/>
                <w:szCs w:val="24"/>
                <w:lang w:val="ro-RO"/>
              </w:rPr>
              <w:t xml:space="preserve"> </w:t>
            </w:r>
          </w:p>
        </w:tc>
      </w:tr>
      <w:tr w:rsidR="004B53A1" w:rsidRPr="00FC5FB9" w14:paraId="13172EAC" w14:textId="77777777" w:rsidTr="00BA2590">
        <w:tc>
          <w:tcPr>
            <w:tcW w:w="9109" w:type="dxa"/>
            <w:shd w:val="clear" w:color="EDEDED" w:fill="EDEDED"/>
            <w:tcMar>
              <w:top w:w="0" w:type="dxa"/>
              <w:left w:w="108" w:type="dxa"/>
              <w:bottom w:w="0" w:type="dxa"/>
              <w:right w:w="108" w:type="dxa"/>
            </w:tcMar>
          </w:tcPr>
          <w:p w14:paraId="61EE6EA2" w14:textId="219D5B9A" w:rsidR="004B53A1" w:rsidRPr="00FC5FB9" w:rsidRDefault="004B53A1" w:rsidP="00E37F00">
            <w:pPr>
              <w:rPr>
                <w:rFonts w:ascii="Times New Roman" w:hAnsi="Times New Roman"/>
                <w:sz w:val="24"/>
                <w:szCs w:val="24"/>
                <w:lang w:val="ro-RO"/>
              </w:rPr>
            </w:pPr>
            <w:r w:rsidRPr="00FC5FB9">
              <w:rPr>
                <w:rFonts w:ascii="Times New Roman" w:hAnsi="Times New Roman"/>
                <w:sz w:val="24"/>
                <w:szCs w:val="24"/>
                <w:lang w:val="ro-RO"/>
              </w:rPr>
              <w:t>4.4. Impactul social</w:t>
            </w:r>
          </w:p>
        </w:tc>
      </w:tr>
      <w:tr w:rsidR="004B53A1" w:rsidRPr="00FC5FB9" w14:paraId="4239D681" w14:textId="77777777" w:rsidTr="00462126">
        <w:tc>
          <w:tcPr>
            <w:tcW w:w="9109" w:type="dxa"/>
            <w:shd w:val="clear" w:color="auto" w:fill="FFFFFF" w:themeFill="background1"/>
            <w:tcMar>
              <w:top w:w="0" w:type="dxa"/>
              <w:left w:w="108" w:type="dxa"/>
              <w:bottom w:w="0" w:type="dxa"/>
              <w:right w:w="108" w:type="dxa"/>
            </w:tcMar>
          </w:tcPr>
          <w:p w14:paraId="251F70DF" w14:textId="513ED301" w:rsidR="004B53A1" w:rsidRPr="00FC5FB9" w:rsidRDefault="00413518" w:rsidP="00E37F00">
            <w:pPr>
              <w:rPr>
                <w:rFonts w:ascii="Times New Roman" w:hAnsi="Times New Roman"/>
                <w:sz w:val="24"/>
                <w:szCs w:val="24"/>
                <w:lang w:val="ro-RO"/>
              </w:rPr>
            </w:pPr>
            <w:r w:rsidRPr="00FC5FB9">
              <w:rPr>
                <w:rFonts w:ascii="Times New Roman" w:hAnsi="Times New Roman"/>
                <w:sz w:val="24"/>
                <w:szCs w:val="24"/>
                <w:lang w:val="ro-RO"/>
              </w:rPr>
              <w:lastRenderedPageBreak/>
              <w:t xml:space="preserve">Nu este aplicabil. Proiectul de modificare propus nu prevede aplicarea </w:t>
            </w:r>
            <w:r w:rsidR="003679C6" w:rsidRPr="00FC5FB9">
              <w:rPr>
                <w:rFonts w:ascii="Times New Roman" w:hAnsi="Times New Roman"/>
                <w:sz w:val="24"/>
                <w:szCs w:val="24"/>
                <w:lang w:val="ro-RO"/>
              </w:rPr>
              <w:t>elementelor noi</w:t>
            </w:r>
            <w:r w:rsidR="00FF46DF" w:rsidRPr="00FC5FB9">
              <w:rPr>
                <w:rFonts w:ascii="Times New Roman" w:hAnsi="Times New Roman"/>
                <w:sz w:val="24"/>
                <w:szCs w:val="24"/>
                <w:lang w:val="ro-RO"/>
              </w:rPr>
              <w:t xml:space="preserve"> de reglementare,</w:t>
            </w:r>
            <w:r w:rsidR="00003B3F" w:rsidRPr="00FC5FB9">
              <w:rPr>
                <w:rFonts w:ascii="Times New Roman" w:hAnsi="Times New Roman"/>
                <w:sz w:val="24"/>
                <w:szCs w:val="24"/>
                <w:lang w:val="ro-RO"/>
              </w:rPr>
              <w:t xml:space="preserve"> bunurile imobile ce urmează a fi incluse în listele din Anexa nr. 1 și nr. 2 se află pe amplasamentele lucrărilor de utilitate publică din extravilanul și/sau intravilanul acestora, astfel cum a fost stabilit de traseului LEA, impactul social pentru aceste lucrări fiind evaluat și prezentat în </w:t>
            </w:r>
            <w:hyperlink r:id="rId12" w:history="1">
              <w:r w:rsidR="00003B3F" w:rsidRPr="00FC5FB9">
                <w:rPr>
                  <w:rStyle w:val="Hyperlink"/>
                  <w:rFonts w:ascii="Times New Roman" w:hAnsi="Times New Roman"/>
                  <w:sz w:val="24"/>
                  <w:szCs w:val="24"/>
                  <w:lang w:val="ro-RO"/>
                </w:rPr>
                <w:t>Raport privind impactul asupra mediului și impactul social</w:t>
              </w:r>
            </w:hyperlink>
            <w:r w:rsidR="00003B3F" w:rsidRPr="00FC5FB9">
              <w:rPr>
                <w:rFonts w:ascii="Times New Roman" w:hAnsi="Times New Roman"/>
                <w:sz w:val="24"/>
                <w:szCs w:val="24"/>
                <w:lang w:val="ro-RO"/>
              </w:rPr>
              <w:t>.</w:t>
            </w:r>
            <w:r w:rsidR="008E3AD8">
              <w:t xml:space="preserve"> </w:t>
            </w:r>
            <w:r w:rsidR="008E3AD8" w:rsidRPr="008E3AD8">
              <w:rPr>
                <w:rFonts w:ascii="Times New Roman" w:hAnsi="Times New Roman"/>
                <w:sz w:val="24"/>
                <w:szCs w:val="24"/>
                <w:lang w:val="ro-RO"/>
              </w:rPr>
              <w:t>Prin urmare, modificarea propusă va asigura un echilibru între interesul național de realizare a proiectului și tratarea echitabilă a cetățenilor, ale căror proprietăți urmau a fi parcelate într-o manieră care îngreuna utilizarea agricolă. Astfel, modificarea dată contribuie direct la obținerea unui impact social pozitiv.</w:t>
            </w:r>
          </w:p>
        </w:tc>
      </w:tr>
      <w:tr w:rsidR="004B53A1" w:rsidRPr="00FC5FB9" w14:paraId="388C71BD" w14:textId="77777777" w:rsidTr="00BA2590">
        <w:tc>
          <w:tcPr>
            <w:tcW w:w="9109" w:type="dxa"/>
            <w:shd w:val="clear" w:color="EDEDED" w:fill="EDEDED"/>
            <w:tcMar>
              <w:top w:w="0" w:type="dxa"/>
              <w:left w:w="108" w:type="dxa"/>
              <w:bottom w:w="0" w:type="dxa"/>
              <w:right w:w="108" w:type="dxa"/>
            </w:tcMar>
          </w:tcPr>
          <w:p w14:paraId="1A5B3852" w14:textId="7B957BAC" w:rsidR="004B53A1" w:rsidRPr="00FC5FB9" w:rsidRDefault="004B53A1" w:rsidP="00E37F00">
            <w:pPr>
              <w:rPr>
                <w:rFonts w:ascii="Times New Roman" w:hAnsi="Times New Roman"/>
                <w:sz w:val="24"/>
                <w:szCs w:val="24"/>
                <w:lang w:val="ro-RO"/>
              </w:rPr>
            </w:pPr>
            <w:r w:rsidRPr="00FC5FB9">
              <w:rPr>
                <w:rFonts w:ascii="Times New Roman" w:hAnsi="Times New Roman"/>
                <w:sz w:val="24"/>
                <w:szCs w:val="24"/>
                <w:lang w:val="ro-RO"/>
              </w:rPr>
              <w:t>4.4.1. Impactul asupra datelor cu caracter personal</w:t>
            </w:r>
          </w:p>
        </w:tc>
      </w:tr>
      <w:tr w:rsidR="004B53A1" w:rsidRPr="00FC5FB9" w14:paraId="1889DAA4" w14:textId="77777777" w:rsidTr="00462126">
        <w:tc>
          <w:tcPr>
            <w:tcW w:w="9109" w:type="dxa"/>
            <w:shd w:val="clear" w:color="auto" w:fill="FFFFFF" w:themeFill="background1"/>
            <w:tcMar>
              <w:top w:w="0" w:type="dxa"/>
              <w:left w:w="108" w:type="dxa"/>
              <w:bottom w:w="0" w:type="dxa"/>
              <w:right w:w="108" w:type="dxa"/>
            </w:tcMar>
          </w:tcPr>
          <w:p w14:paraId="213565A9" w14:textId="47A726C6" w:rsidR="004B53A1" w:rsidRPr="00FC5FB9" w:rsidRDefault="0099342F" w:rsidP="00E37F00">
            <w:pPr>
              <w:rPr>
                <w:rFonts w:ascii="Times New Roman" w:hAnsi="Times New Roman"/>
                <w:sz w:val="24"/>
                <w:szCs w:val="24"/>
                <w:lang w:val="ro-RO"/>
              </w:rPr>
            </w:pPr>
            <w:r w:rsidRPr="00FC5FB9">
              <w:rPr>
                <w:rFonts w:ascii="Times New Roman" w:hAnsi="Times New Roman"/>
                <w:sz w:val="24"/>
                <w:szCs w:val="24"/>
                <w:lang w:val="ro-RO"/>
              </w:rPr>
              <w:t>Nu este aplicabil.</w:t>
            </w:r>
          </w:p>
        </w:tc>
      </w:tr>
      <w:tr w:rsidR="007B69FD" w:rsidRPr="00FC5FB9" w14:paraId="7F3E01F0" w14:textId="77777777" w:rsidTr="00BA2590">
        <w:tc>
          <w:tcPr>
            <w:tcW w:w="9109" w:type="dxa"/>
            <w:shd w:val="clear" w:color="EDEDED" w:fill="EDEDED"/>
            <w:tcMar>
              <w:top w:w="0" w:type="dxa"/>
              <w:left w:w="108" w:type="dxa"/>
              <w:bottom w:w="0" w:type="dxa"/>
              <w:right w:w="108" w:type="dxa"/>
            </w:tcMar>
          </w:tcPr>
          <w:p w14:paraId="61C5E062"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4.4.2. Impactul asupra echității și egalității de gen</w:t>
            </w:r>
          </w:p>
        </w:tc>
      </w:tr>
      <w:tr w:rsidR="004B53A1" w:rsidRPr="00FC5FB9" w14:paraId="5DA5E36C" w14:textId="77777777" w:rsidTr="00462126">
        <w:tc>
          <w:tcPr>
            <w:tcW w:w="9109" w:type="dxa"/>
            <w:shd w:val="clear" w:color="auto" w:fill="FFFFFF" w:themeFill="background1"/>
            <w:tcMar>
              <w:top w:w="0" w:type="dxa"/>
              <w:left w:w="108" w:type="dxa"/>
              <w:bottom w:w="0" w:type="dxa"/>
              <w:right w:w="108" w:type="dxa"/>
            </w:tcMar>
          </w:tcPr>
          <w:p w14:paraId="45C625D3" w14:textId="5C125DD9" w:rsidR="004B53A1" w:rsidRPr="00FC5FB9" w:rsidRDefault="0099342F" w:rsidP="00E37F00">
            <w:pPr>
              <w:rPr>
                <w:rFonts w:ascii="Times New Roman" w:hAnsi="Times New Roman"/>
                <w:sz w:val="24"/>
                <w:szCs w:val="24"/>
                <w:lang w:val="ro-RO"/>
              </w:rPr>
            </w:pPr>
            <w:r w:rsidRPr="00FC5FB9">
              <w:rPr>
                <w:rFonts w:ascii="Times New Roman" w:hAnsi="Times New Roman"/>
                <w:sz w:val="24"/>
                <w:szCs w:val="24"/>
                <w:lang w:val="ro-RO"/>
              </w:rPr>
              <w:t>Nu este aplicabil.</w:t>
            </w:r>
          </w:p>
        </w:tc>
      </w:tr>
      <w:tr w:rsidR="007B69FD" w:rsidRPr="00FC5FB9" w14:paraId="2F0985EB" w14:textId="77777777" w:rsidTr="00BA2590">
        <w:tc>
          <w:tcPr>
            <w:tcW w:w="9109" w:type="dxa"/>
            <w:shd w:val="clear" w:color="EDEDED" w:fill="EDEDED"/>
            <w:tcMar>
              <w:top w:w="0" w:type="dxa"/>
              <w:left w:w="108" w:type="dxa"/>
              <w:bottom w:w="0" w:type="dxa"/>
              <w:right w:w="108" w:type="dxa"/>
            </w:tcMar>
          </w:tcPr>
          <w:p w14:paraId="08DD5B70"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4.5. Impactul asupra mediului</w:t>
            </w:r>
          </w:p>
        </w:tc>
      </w:tr>
      <w:tr w:rsidR="0099342F" w:rsidRPr="00FC5FB9" w14:paraId="676B9AC1" w14:textId="77777777" w:rsidTr="00462126">
        <w:tc>
          <w:tcPr>
            <w:tcW w:w="9109" w:type="dxa"/>
            <w:shd w:val="clear" w:color="auto" w:fill="FFFFFF" w:themeFill="background1"/>
            <w:tcMar>
              <w:top w:w="0" w:type="dxa"/>
              <w:left w:w="108" w:type="dxa"/>
              <w:bottom w:w="0" w:type="dxa"/>
              <w:right w:w="108" w:type="dxa"/>
            </w:tcMar>
          </w:tcPr>
          <w:p w14:paraId="68108D60" w14:textId="0AE2776C" w:rsidR="00F44940" w:rsidRPr="00FC5FB9" w:rsidRDefault="0099342F" w:rsidP="00E37F00">
            <w:pPr>
              <w:rPr>
                <w:rFonts w:ascii="Times New Roman" w:hAnsi="Times New Roman"/>
                <w:sz w:val="24"/>
                <w:szCs w:val="24"/>
                <w:lang w:val="ro-RO"/>
              </w:rPr>
            </w:pPr>
            <w:r w:rsidRPr="00FC5FB9">
              <w:rPr>
                <w:rFonts w:ascii="Times New Roman" w:hAnsi="Times New Roman"/>
                <w:sz w:val="24"/>
                <w:szCs w:val="24"/>
                <w:lang w:val="ro-RO"/>
              </w:rPr>
              <w:t xml:space="preserve">Nu este aplicabil. </w:t>
            </w:r>
            <w:r w:rsidR="00990DFB" w:rsidRPr="00FC5FB9">
              <w:rPr>
                <w:rFonts w:ascii="Times New Roman" w:hAnsi="Times New Roman"/>
                <w:sz w:val="24"/>
                <w:szCs w:val="24"/>
                <w:lang w:val="ro-RO"/>
              </w:rPr>
              <w:t>Bunurile imobile</w:t>
            </w:r>
            <w:r w:rsidRPr="00FC5FB9">
              <w:rPr>
                <w:rFonts w:ascii="Times New Roman" w:hAnsi="Times New Roman"/>
                <w:sz w:val="24"/>
                <w:szCs w:val="24"/>
                <w:lang w:val="ro-RO"/>
              </w:rPr>
              <w:t xml:space="preserve"> </w:t>
            </w:r>
            <w:r w:rsidR="00281213" w:rsidRPr="00FC5FB9">
              <w:rPr>
                <w:rFonts w:ascii="Times New Roman" w:hAnsi="Times New Roman"/>
                <w:sz w:val="24"/>
                <w:szCs w:val="24"/>
                <w:lang w:val="ro-RO"/>
              </w:rPr>
              <w:t xml:space="preserve">la care se operează modificări </w:t>
            </w:r>
            <w:r w:rsidR="00C532E8" w:rsidRPr="00FC5FB9">
              <w:rPr>
                <w:rFonts w:ascii="Times New Roman" w:hAnsi="Times New Roman"/>
                <w:sz w:val="24"/>
                <w:szCs w:val="24"/>
                <w:lang w:val="ro-RO"/>
              </w:rPr>
              <w:t xml:space="preserve">din </w:t>
            </w:r>
            <w:r w:rsidR="000D0A2E" w:rsidRPr="00FC5FB9">
              <w:rPr>
                <w:rFonts w:ascii="Times New Roman" w:hAnsi="Times New Roman"/>
                <w:sz w:val="24"/>
                <w:szCs w:val="24"/>
                <w:lang w:val="ro-RO"/>
              </w:rPr>
              <w:t>Anex</w:t>
            </w:r>
            <w:r w:rsidR="00B828B0" w:rsidRPr="00FC5FB9">
              <w:rPr>
                <w:rFonts w:ascii="Times New Roman" w:hAnsi="Times New Roman"/>
                <w:sz w:val="24"/>
                <w:szCs w:val="24"/>
                <w:lang w:val="ro-RO"/>
              </w:rPr>
              <w:t>ele citate</w:t>
            </w:r>
            <w:r w:rsidR="000D0A2E" w:rsidRPr="00FC5FB9">
              <w:rPr>
                <w:rFonts w:ascii="Times New Roman" w:hAnsi="Times New Roman"/>
                <w:sz w:val="24"/>
                <w:szCs w:val="24"/>
                <w:lang w:val="ro-RO"/>
              </w:rPr>
              <w:t xml:space="preserve"> </w:t>
            </w:r>
            <w:r w:rsidR="00DD001E" w:rsidRPr="00FC5FB9">
              <w:rPr>
                <w:rFonts w:ascii="Times New Roman" w:hAnsi="Times New Roman"/>
                <w:sz w:val="24"/>
                <w:szCs w:val="24"/>
                <w:lang w:val="ro-RO"/>
              </w:rPr>
              <w:t xml:space="preserve">se </w:t>
            </w:r>
            <w:r w:rsidR="000D0A2E" w:rsidRPr="00FC5FB9">
              <w:rPr>
                <w:rFonts w:ascii="Times New Roman" w:hAnsi="Times New Roman"/>
                <w:sz w:val="24"/>
                <w:szCs w:val="24"/>
                <w:lang w:val="ro-RO"/>
              </w:rPr>
              <w:t>afl</w:t>
            </w:r>
            <w:r w:rsidR="00DD001E" w:rsidRPr="00FC5FB9">
              <w:rPr>
                <w:rFonts w:ascii="Times New Roman" w:hAnsi="Times New Roman"/>
                <w:sz w:val="24"/>
                <w:szCs w:val="24"/>
                <w:lang w:val="ro-RO"/>
              </w:rPr>
              <w:t>ă</w:t>
            </w:r>
            <w:r w:rsidR="000D0A2E" w:rsidRPr="00FC5FB9">
              <w:rPr>
                <w:rFonts w:ascii="Times New Roman" w:hAnsi="Times New Roman"/>
                <w:sz w:val="24"/>
                <w:szCs w:val="24"/>
                <w:lang w:val="ro-RO"/>
              </w:rPr>
              <w:t xml:space="preserve"> pe amplasamentele lucrărilor de utilitate publică din extravilanul și/sau intravilanul acestora</w:t>
            </w:r>
            <w:r w:rsidR="00DD001E" w:rsidRPr="00FC5FB9">
              <w:rPr>
                <w:rFonts w:ascii="Times New Roman" w:hAnsi="Times New Roman"/>
                <w:sz w:val="24"/>
                <w:szCs w:val="24"/>
                <w:lang w:val="ro-RO"/>
              </w:rPr>
              <w:t xml:space="preserve">, astfel cum a fost stabilit </w:t>
            </w:r>
            <w:r w:rsidR="00703432" w:rsidRPr="00FC5FB9">
              <w:rPr>
                <w:rFonts w:ascii="Times New Roman" w:hAnsi="Times New Roman"/>
                <w:sz w:val="24"/>
                <w:szCs w:val="24"/>
                <w:lang w:val="ro-RO"/>
              </w:rPr>
              <w:t>de traseului LEA</w:t>
            </w:r>
            <w:r w:rsidR="005F1444" w:rsidRPr="00FC5FB9">
              <w:rPr>
                <w:rFonts w:ascii="Times New Roman" w:hAnsi="Times New Roman"/>
                <w:sz w:val="24"/>
                <w:szCs w:val="24"/>
                <w:lang w:val="ro-RO"/>
              </w:rPr>
              <w:t xml:space="preserve">, </w:t>
            </w:r>
            <w:r w:rsidR="00E8193B" w:rsidRPr="00FC5FB9">
              <w:rPr>
                <w:rFonts w:ascii="Times New Roman" w:hAnsi="Times New Roman"/>
                <w:sz w:val="24"/>
                <w:szCs w:val="24"/>
                <w:lang w:val="ro-RO"/>
              </w:rPr>
              <w:t>impactul asupra mediului pentru aceste lucrări fiind evaluat și prezentat în Raport privind impactul asupra mediului și impactul social</w:t>
            </w:r>
            <w:r w:rsidR="00536246" w:rsidRPr="00FC5FB9">
              <w:rPr>
                <w:rFonts w:ascii="Times New Roman" w:hAnsi="Times New Roman"/>
                <w:sz w:val="24"/>
                <w:szCs w:val="24"/>
                <w:lang w:val="ro-RO"/>
              </w:rPr>
              <w:t xml:space="preserve">. </w:t>
            </w:r>
          </w:p>
          <w:p w14:paraId="120BBD58" w14:textId="47C7FF2A" w:rsidR="0099342F" w:rsidRPr="00FC5FB9" w:rsidRDefault="001E3FE7" w:rsidP="00E37F00">
            <w:pPr>
              <w:rPr>
                <w:rFonts w:ascii="Times New Roman" w:hAnsi="Times New Roman"/>
                <w:sz w:val="24"/>
                <w:szCs w:val="24"/>
                <w:lang w:val="ro-RO"/>
              </w:rPr>
            </w:pPr>
            <w:r w:rsidRPr="00FC5FB9">
              <w:rPr>
                <w:rFonts w:ascii="Times New Roman" w:hAnsi="Times New Roman"/>
                <w:sz w:val="24"/>
                <w:szCs w:val="24"/>
                <w:lang w:val="ro-RO"/>
              </w:rPr>
              <w:t>Totodată</w:t>
            </w:r>
            <w:r w:rsidR="00F44940" w:rsidRPr="00FC5FB9">
              <w:rPr>
                <w:rFonts w:ascii="Times New Roman" w:hAnsi="Times New Roman"/>
                <w:sz w:val="24"/>
                <w:szCs w:val="24"/>
                <w:lang w:val="ro-RO"/>
              </w:rPr>
              <w:t>,</w:t>
            </w:r>
            <w:r w:rsidRPr="00FC5FB9">
              <w:rPr>
                <w:rFonts w:ascii="Times New Roman" w:hAnsi="Times New Roman"/>
                <w:sz w:val="24"/>
                <w:szCs w:val="24"/>
                <w:lang w:val="ro-RO"/>
              </w:rPr>
              <w:t xml:space="preserve"> fiind obținut și </w:t>
            </w:r>
            <w:hyperlink r:id="rId13" w:history="1">
              <w:r w:rsidRPr="00FC5FB9">
                <w:rPr>
                  <w:rStyle w:val="Hyperlink"/>
                  <w:rFonts w:ascii="Times New Roman" w:hAnsi="Times New Roman"/>
                  <w:sz w:val="24"/>
                  <w:szCs w:val="24"/>
                  <w:lang w:val="ro-RO"/>
                </w:rPr>
                <w:t>Acordul de Mediu nr. 01/4745</w:t>
              </w:r>
            </w:hyperlink>
            <w:r w:rsidRPr="00FC5FB9">
              <w:rPr>
                <w:rFonts w:ascii="Times New Roman" w:hAnsi="Times New Roman"/>
                <w:sz w:val="24"/>
                <w:szCs w:val="24"/>
                <w:lang w:val="ro-RO"/>
              </w:rPr>
              <w:t xml:space="preserve"> pentru </w:t>
            </w:r>
            <w:r w:rsidR="00752657" w:rsidRPr="00FC5FB9">
              <w:rPr>
                <w:rFonts w:ascii="Times New Roman" w:hAnsi="Times New Roman"/>
                <w:sz w:val="24"/>
                <w:szCs w:val="24"/>
                <w:lang w:val="ro-RO"/>
              </w:rPr>
              <w:t>activitatea</w:t>
            </w:r>
            <w:r w:rsidRPr="00FC5FB9">
              <w:rPr>
                <w:rFonts w:ascii="Times New Roman" w:hAnsi="Times New Roman"/>
                <w:sz w:val="24"/>
                <w:szCs w:val="24"/>
                <w:lang w:val="ro-RO"/>
              </w:rPr>
              <w:t xml:space="preserve"> planificată „Interconectarea </w:t>
            </w:r>
            <w:r w:rsidR="00752657" w:rsidRPr="00FC5FB9">
              <w:rPr>
                <w:rFonts w:ascii="Times New Roman" w:hAnsi="Times New Roman"/>
                <w:sz w:val="24"/>
                <w:szCs w:val="24"/>
                <w:lang w:val="ro-RO"/>
              </w:rPr>
              <w:t>sistemelor electroenergetice ale Republicii Moldova și României prin construcția LEA 400 kV Vulcănești - Chișinău</w:t>
            </w:r>
            <w:r w:rsidRPr="00FC5FB9">
              <w:rPr>
                <w:rFonts w:ascii="Times New Roman" w:hAnsi="Times New Roman"/>
                <w:sz w:val="24"/>
                <w:szCs w:val="24"/>
                <w:lang w:val="ro-RO"/>
              </w:rPr>
              <w:t>”</w:t>
            </w:r>
            <w:r w:rsidR="00A33F5A" w:rsidRPr="00FC5FB9">
              <w:rPr>
                <w:rFonts w:ascii="Times New Roman" w:hAnsi="Times New Roman"/>
                <w:sz w:val="24"/>
                <w:szCs w:val="24"/>
                <w:lang w:val="ro-RO"/>
              </w:rPr>
              <w:t>.</w:t>
            </w:r>
          </w:p>
        </w:tc>
      </w:tr>
      <w:tr w:rsidR="007B69FD" w:rsidRPr="00FC5FB9" w14:paraId="4F25DE81" w14:textId="77777777" w:rsidTr="00BA2590">
        <w:tc>
          <w:tcPr>
            <w:tcW w:w="9109" w:type="dxa"/>
            <w:shd w:val="clear" w:color="EDEDED" w:fill="EDEDED"/>
            <w:tcMar>
              <w:top w:w="0" w:type="dxa"/>
              <w:left w:w="108" w:type="dxa"/>
              <w:bottom w:w="0" w:type="dxa"/>
              <w:right w:w="108" w:type="dxa"/>
            </w:tcMar>
          </w:tcPr>
          <w:p w14:paraId="1B6364FC"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4.6. Alte impacturi și informații relevante</w:t>
            </w:r>
          </w:p>
        </w:tc>
      </w:tr>
      <w:tr w:rsidR="007B69FD" w:rsidRPr="00FC5FB9" w14:paraId="7861EE27" w14:textId="77777777" w:rsidTr="00BA2590">
        <w:tc>
          <w:tcPr>
            <w:tcW w:w="9109" w:type="dxa"/>
            <w:tcMar>
              <w:top w:w="0" w:type="dxa"/>
              <w:left w:w="108" w:type="dxa"/>
              <w:bottom w:w="0" w:type="dxa"/>
              <w:right w:w="108" w:type="dxa"/>
            </w:tcMar>
          </w:tcPr>
          <w:p w14:paraId="7AD5D539" w14:textId="2E940AA5" w:rsidR="007B69FD" w:rsidRPr="00FC5FB9" w:rsidRDefault="003C3375" w:rsidP="00E37F00">
            <w:pPr>
              <w:rPr>
                <w:rFonts w:ascii="Times New Roman" w:hAnsi="Times New Roman"/>
                <w:sz w:val="24"/>
                <w:szCs w:val="24"/>
                <w:lang w:val="ro-RO"/>
              </w:rPr>
            </w:pPr>
            <w:r w:rsidRPr="00FC5FB9">
              <w:rPr>
                <w:rFonts w:ascii="Times New Roman" w:hAnsi="Times New Roman"/>
                <w:sz w:val="24"/>
                <w:szCs w:val="24"/>
                <w:lang w:val="ro-RO"/>
              </w:rPr>
              <w:t>Nu au fost identificate.</w:t>
            </w:r>
          </w:p>
        </w:tc>
      </w:tr>
      <w:tr w:rsidR="007B69FD" w:rsidRPr="00FC5FB9" w14:paraId="21FC147C" w14:textId="77777777" w:rsidTr="00BA2590">
        <w:tc>
          <w:tcPr>
            <w:tcW w:w="9109" w:type="dxa"/>
            <w:shd w:val="clear" w:color="BFBFBF" w:fill="BFBFBF"/>
            <w:tcMar>
              <w:top w:w="0" w:type="dxa"/>
              <w:left w:w="108" w:type="dxa"/>
              <w:bottom w:w="0" w:type="dxa"/>
              <w:right w:w="108" w:type="dxa"/>
            </w:tcMar>
          </w:tcPr>
          <w:p w14:paraId="5FFA5783"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 xml:space="preserve">5. Compatibilitatea proiectului actului normativ cu legislația UE </w:t>
            </w:r>
          </w:p>
        </w:tc>
      </w:tr>
      <w:tr w:rsidR="007B69FD" w:rsidRPr="00FC5FB9" w14:paraId="503C9E15" w14:textId="77777777" w:rsidTr="00BA2590">
        <w:tc>
          <w:tcPr>
            <w:tcW w:w="9109" w:type="dxa"/>
            <w:shd w:val="clear" w:color="EDEDED" w:fill="EDEDED"/>
            <w:tcMar>
              <w:top w:w="0" w:type="dxa"/>
              <w:left w:w="108" w:type="dxa"/>
              <w:bottom w:w="0" w:type="dxa"/>
              <w:right w:w="108" w:type="dxa"/>
            </w:tcMar>
          </w:tcPr>
          <w:p w14:paraId="5EAA8EFE"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5.1. Măsuri normative necesare pentru transpunerea actelor juridice ale UE în legislația națională</w:t>
            </w:r>
          </w:p>
        </w:tc>
      </w:tr>
      <w:tr w:rsidR="007B69FD" w:rsidRPr="00FC5FB9" w14:paraId="749300E8" w14:textId="77777777" w:rsidTr="00BA2590">
        <w:tc>
          <w:tcPr>
            <w:tcW w:w="9109" w:type="dxa"/>
            <w:shd w:val="clear" w:color="EDEDED" w:fill="EDEDED"/>
            <w:tcMar>
              <w:top w:w="0" w:type="dxa"/>
              <w:left w:w="108" w:type="dxa"/>
              <w:bottom w:w="0" w:type="dxa"/>
              <w:right w:w="108" w:type="dxa"/>
            </w:tcMar>
          </w:tcPr>
          <w:p w14:paraId="4089767A" w14:textId="77777777"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5.2. Măsuri normative care urmăresc crearea cadrului juridic intern necesar pentru implementarea legislației UE</w:t>
            </w:r>
          </w:p>
        </w:tc>
      </w:tr>
      <w:tr w:rsidR="007B69FD" w:rsidRPr="00FC5FB9" w14:paraId="1EB514F9" w14:textId="77777777" w:rsidTr="00BA2590">
        <w:tc>
          <w:tcPr>
            <w:tcW w:w="9109" w:type="dxa"/>
            <w:tcMar>
              <w:top w:w="0" w:type="dxa"/>
              <w:left w:w="108" w:type="dxa"/>
              <w:bottom w:w="0" w:type="dxa"/>
              <w:right w:w="108" w:type="dxa"/>
            </w:tcMar>
          </w:tcPr>
          <w:p w14:paraId="4696B546" w14:textId="6F73AE78" w:rsidR="009661B9" w:rsidRPr="00FC5FB9" w:rsidRDefault="00EA56DE" w:rsidP="000C1BF2">
            <w:pPr>
              <w:rPr>
                <w:rFonts w:ascii="Times New Roman" w:hAnsi="Times New Roman"/>
                <w:sz w:val="24"/>
                <w:szCs w:val="24"/>
                <w:lang w:val="ro-RO"/>
              </w:rPr>
            </w:pPr>
            <w:r w:rsidRPr="00FC5FB9">
              <w:rPr>
                <w:rFonts w:ascii="Times New Roman" w:hAnsi="Times New Roman"/>
                <w:sz w:val="24"/>
                <w:szCs w:val="24"/>
                <w:lang w:val="ro-RO"/>
              </w:rPr>
              <w:t xml:space="preserve"> </w:t>
            </w:r>
            <w:r w:rsidR="00F44940" w:rsidRPr="00FC5FB9">
              <w:rPr>
                <w:rFonts w:ascii="Times New Roman" w:hAnsi="Times New Roman"/>
                <w:sz w:val="24"/>
                <w:szCs w:val="24"/>
                <w:lang w:val="ro-RO"/>
              </w:rPr>
              <w:t>Nu este aplicabil. Proiectul nu presupune transpunerea actelor juridice ale UE.</w:t>
            </w:r>
          </w:p>
        </w:tc>
      </w:tr>
      <w:tr w:rsidR="007B69FD" w:rsidRPr="00FC5FB9" w14:paraId="255058DD" w14:textId="77777777" w:rsidTr="00BA2590">
        <w:tc>
          <w:tcPr>
            <w:tcW w:w="9109" w:type="dxa"/>
            <w:shd w:val="clear" w:color="BFBFBF" w:fill="BFBFBF"/>
            <w:tcMar>
              <w:top w:w="0" w:type="dxa"/>
              <w:left w:w="108" w:type="dxa"/>
              <w:bottom w:w="0" w:type="dxa"/>
              <w:right w:w="108" w:type="dxa"/>
            </w:tcMar>
          </w:tcPr>
          <w:p w14:paraId="23F2666E"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6. Avizarea și consultarea publică a proiectului actului normativ</w:t>
            </w:r>
          </w:p>
        </w:tc>
      </w:tr>
      <w:tr w:rsidR="007B69FD" w:rsidRPr="00FC5FB9" w14:paraId="0E6BDDCC" w14:textId="77777777" w:rsidTr="00BA2590">
        <w:tc>
          <w:tcPr>
            <w:tcW w:w="9109" w:type="dxa"/>
            <w:tcMar>
              <w:top w:w="0" w:type="dxa"/>
              <w:left w:w="108" w:type="dxa"/>
              <w:bottom w:w="0" w:type="dxa"/>
              <w:right w:w="108" w:type="dxa"/>
            </w:tcMar>
          </w:tcPr>
          <w:p w14:paraId="70D8CAA2" w14:textId="0A93078D" w:rsidR="00556353" w:rsidRDefault="00556353" w:rsidP="00CE506C">
            <w:pPr>
              <w:rPr>
                <w:rFonts w:ascii="Times New Roman" w:hAnsi="Times New Roman"/>
                <w:sz w:val="24"/>
                <w:szCs w:val="24"/>
                <w:lang w:val="ro-RO"/>
              </w:rPr>
            </w:pPr>
            <w:r>
              <w:rPr>
                <w:rFonts w:ascii="Times New Roman" w:hAnsi="Times New Roman"/>
                <w:sz w:val="24"/>
                <w:szCs w:val="24"/>
                <w:lang w:val="ro-RO"/>
              </w:rPr>
              <w:t>Î</w:t>
            </w:r>
            <w:r w:rsidRPr="00556353">
              <w:rPr>
                <w:rFonts w:ascii="Times New Roman" w:hAnsi="Times New Roman"/>
                <w:sz w:val="24"/>
                <w:szCs w:val="24"/>
                <w:lang w:val="ro-RO"/>
              </w:rPr>
              <w:t xml:space="preserve">n conformitate cu prevederile art. 20 alin. (1) din Legea cu privire la actele normative nr. 100/2017, </w:t>
            </w:r>
            <w:r>
              <w:rPr>
                <w:rFonts w:ascii="Times New Roman" w:hAnsi="Times New Roman"/>
                <w:sz w:val="24"/>
                <w:szCs w:val="24"/>
                <w:lang w:val="ro-RO"/>
              </w:rPr>
              <w:t xml:space="preserve">a fost plasat </w:t>
            </w:r>
            <w:r w:rsidRPr="00556353">
              <w:rPr>
                <w:rFonts w:ascii="Times New Roman" w:hAnsi="Times New Roman"/>
                <w:sz w:val="24"/>
                <w:szCs w:val="24"/>
                <w:lang w:val="ro-RO"/>
              </w:rPr>
              <w:t>anunț</w:t>
            </w:r>
            <w:r>
              <w:rPr>
                <w:rFonts w:ascii="Times New Roman" w:hAnsi="Times New Roman"/>
                <w:sz w:val="24"/>
                <w:szCs w:val="24"/>
                <w:lang w:val="ro-RO"/>
              </w:rPr>
              <w:t>ul</w:t>
            </w:r>
            <w:r w:rsidRPr="00556353">
              <w:rPr>
                <w:rFonts w:ascii="Times New Roman" w:hAnsi="Times New Roman"/>
                <w:sz w:val="24"/>
                <w:szCs w:val="24"/>
                <w:lang w:val="ro-RO"/>
              </w:rPr>
              <w:t xml:space="preserve"> despre inițierea procesului de elaborare a proiectului Hotărârii Guvernului</w:t>
            </w:r>
            <w:r w:rsidR="007B5F2A">
              <w:rPr>
                <w:rFonts w:ascii="Times New Roman" w:hAnsi="Times New Roman"/>
                <w:sz w:val="24"/>
                <w:szCs w:val="24"/>
                <w:lang w:val="ro-RO"/>
              </w:rPr>
              <w:t xml:space="preserve"> (</w:t>
            </w:r>
            <w:hyperlink r:id="rId14" w:history="1">
              <w:r w:rsidR="007B5F2A" w:rsidRPr="007B5F2A">
                <w:rPr>
                  <w:rStyle w:val="Hyperlink"/>
                  <w:rFonts w:ascii="Times New Roman" w:hAnsi="Times New Roman"/>
                  <w:sz w:val="24"/>
                  <w:szCs w:val="24"/>
                  <w:lang w:val="ro-RO"/>
                </w:rPr>
                <w:t>link</w:t>
              </w:r>
            </w:hyperlink>
            <w:r w:rsidR="007B5F2A">
              <w:rPr>
                <w:rFonts w:ascii="Times New Roman" w:hAnsi="Times New Roman"/>
                <w:sz w:val="24"/>
                <w:szCs w:val="24"/>
                <w:lang w:val="ro-RO"/>
              </w:rPr>
              <w:t>).</w:t>
            </w:r>
          </w:p>
          <w:p w14:paraId="7A517151" w14:textId="77777777" w:rsidR="007B69FD" w:rsidRDefault="00EA56DE" w:rsidP="00CE506C">
            <w:pPr>
              <w:rPr>
                <w:rFonts w:ascii="Times New Roman" w:hAnsi="Times New Roman"/>
                <w:sz w:val="24"/>
                <w:szCs w:val="24"/>
                <w:lang w:val="ro-RO"/>
              </w:rPr>
            </w:pPr>
            <w:r w:rsidRPr="00FC5FB9">
              <w:rPr>
                <w:rFonts w:ascii="Times New Roman" w:hAnsi="Times New Roman"/>
                <w:sz w:val="24"/>
                <w:szCs w:val="24"/>
                <w:lang w:val="ro-RO"/>
              </w:rPr>
              <w:t xml:space="preserve"> </w:t>
            </w:r>
            <w:r w:rsidR="002A4222" w:rsidRPr="00FC5FB9">
              <w:rPr>
                <w:rFonts w:ascii="Times New Roman" w:hAnsi="Times New Roman"/>
                <w:sz w:val="24"/>
                <w:szCs w:val="24"/>
                <w:lang w:val="ro-RO"/>
              </w:rPr>
              <w:t>În conformitate cu art. 9 din Legea nr. 239/2008 privind transparența în procesul decizional, odată cu transmiterea de către Cancelaria de  Stat  spre  avizare/expertizare, proiectul hotărârii Guvernului și nota</w:t>
            </w:r>
            <w:r w:rsidR="005E63E0" w:rsidRPr="00FC5FB9">
              <w:rPr>
                <w:rFonts w:ascii="Times New Roman" w:hAnsi="Times New Roman"/>
                <w:sz w:val="24"/>
                <w:szCs w:val="24"/>
                <w:lang w:val="ro-RO"/>
              </w:rPr>
              <w:t xml:space="preserve"> de</w:t>
            </w:r>
            <w:r w:rsidR="002A4222" w:rsidRPr="00FC5FB9">
              <w:rPr>
                <w:rFonts w:ascii="Times New Roman" w:hAnsi="Times New Roman"/>
                <w:sz w:val="24"/>
                <w:szCs w:val="24"/>
                <w:lang w:val="ro-RO"/>
              </w:rPr>
              <w:t xml:space="preserve"> </w:t>
            </w:r>
            <w:r w:rsidR="005E63E0" w:rsidRPr="00FC5FB9">
              <w:rPr>
                <w:rFonts w:ascii="Times New Roman" w:hAnsi="Times New Roman"/>
                <w:sz w:val="24"/>
                <w:szCs w:val="24"/>
                <w:lang w:val="ro-RO"/>
              </w:rPr>
              <w:t>fundamentare</w:t>
            </w:r>
            <w:r w:rsidR="002A4222" w:rsidRPr="00FC5FB9">
              <w:rPr>
                <w:rFonts w:ascii="Times New Roman" w:hAnsi="Times New Roman"/>
                <w:sz w:val="24"/>
                <w:szCs w:val="24"/>
                <w:lang w:val="ro-RO"/>
              </w:rPr>
              <w:t xml:space="preserve"> la acesta </w:t>
            </w:r>
            <w:r w:rsidR="00B85690">
              <w:rPr>
                <w:rFonts w:ascii="Times New Roman" w:hAnsi="Times New Roman"/>
                <w:sz w:val="24"/>
                <w:szCs w:val="24"/>
                <w:lang w:val="ro-RO"/>
              </w:rPr>
              <w:t>au fost</w:t>
            </w:r>
            <w:r w:rsidR="002A4222" w:rsidRPr="00FC5FB9">
              <w:rPr>
                <w:rFonts w:ascii="Times New Roman" w:hAnsi="Times New Roman"/>
                <w:sz w:val="24"/>
                <w:szCs w:val="24"/>
                <w:lang w:val="ro-RO"/>
              </w:rPr>
              <w:t xml:space="preserve"> publicate spre consultare publică pe pagina web oficială a Ministerului Energiei și pe portalul consultativ </w:t>
            </w:r>
            <w:hyperlink r:id="rId15" w:history="1">
              <w:r w:rsidR="00AA71C3" w:rsidRPr="00897BDE">
                <w:rPr>
                  <w:rFonts w:ascii="Times New Roman" w:hAnsi="Times New Roman"/>
                  <w:sz w:val="24"/>
                  <w:szCs w:val="24"/>
                  <w:lang w:val="ro-RO"/>
                </w:rPr>
                <w:t>www.particip.gov.md</w:t>
              </w:r>
            </w:hyperlink>
            <w:r w:rsidR="00897BDE" w:rsidRPr="00897BDE">
              <w:rPr>
                <w:rFonts w:ascii="Times New Roman" w:hAnsi="Times New Roman"/>
                <w:sz w:val="24"/>
                <w:szCs w:val="24"/>
                <w:lang w:val="ro-RO"/>
              </w:rPr>
              <w:t xml:space="preserve"> (</w:t>
            </w:r>
            <w:hyperlink r:id="rId16" w:history="1">
              <w:r w:rsidR="00897BDE" w:rsidRPr="00897BDE">
                <w:rPr>
                  <w:rStyle w:val="Hyperlink"/>
                  <w:rFonts w:ascii="Times New Roman" w:hAnsi="Times New Roman"/>
                  <w:sz w:val="24"/>
                  <w:szCs w:val="24"/>
                  <w:lang w:val="ro-RO"/>
                </w:rPr>
                <w:t>link</w:t>
              </w:r>
            </w:hyperlink>
            <w:r w:rsidR="00897BDE" w:rsidRPr="00897BDE">
              <w:rPr>
                <w:rFonts w:ascii="Times New Roman" w:hAnsi="Times New Roman"/>
                <w:sz w:val="24"/>
                <w:szCs w:val="24"/>
                <w:lang w:val="ro-RO"/>
              </w:rPr>
              <w:t>)</w:t>
            </w:r>
            <w:r w:rsidR="002A4222" w:rsidRPr="00897BDE">
              <w:rPr>
                <w:rFonts w:ascii="Times New Roman" w:hAnsi="Times New Roman"/>
                <w:sz w:val="24"/>
                <w:szCs w:val="24"/>
                <w:lang w:val="ro-RO"/>
              </w:rPr>
              <w:t>.</w:t>
            </w:r>
            <w:r w:rsidR="002A4222" w:rsidRPr="00FC5FB9">
              <w:rPr>
                <w:rFonts w:ascii="Times New Roman" w:hAnsi="Times New Roman"/>
                <w:sz w:val="24"/>
                <w:szCs w:val="24"/>
                <w:lang w:val="ro-RO"/>
              </w:rPr>
              <w:t xml:space="preserve"> Astfel, propunerile și obiecțiile aferente proiectului </w:t>
            </w:r>
            <w:r w:rsidR="00B85690">
              <w:rPr>
                <w:rFonts w:ascii="Times New Roman" w:hAnsi="Times New Roman"/>
                <w:sz w:val="24"/>
                <w:szCs w:val="24"/>
                <w:lang w:val="ro-RO"/>
              </w:rPr>
              <w:t xml:space="preserve">au fost </w:t>
            </w:r>
            <w:r w:rsidR="002A4222" w:rsidRPr="00FC5FB9">
              <w:rPr>
                <w:rFonts w:ascii="Times New Roman" w:hAnsi="Times New Roman"/>
                <w:sz w:val="24"/>
                <w:szCs w:val="24"/>
                <w:lang w:val="ro-RO"/>
              </w:rPr>
              <w:t>luate în calcul, în procesul de definitivare al acestuia</w:t>
            </w:r>
            <w:r w:rsidR="00245248" w:rsidRPr="00FC5FB9">
              <w:rPr>
                <w:rFonts w:ascii="Times New Roman" w:hAnsi="Times New Roman"/>
                <w:sz w:val="24"/>
                <w:szCs w:val="24"/>
                <w:lang w:val="ro-RO"/>
              </w:rPr>
              <w:t xml:space="preserve">. </w:t>
            </w:r>
          </w:p>
          <w:p w14:paraId="166DD407" w14:textId="4DF01E21" w:rsidR="00BB7FB2" w:rsidRPr="00FC5FB9" w:rsidRDefault="00BB7FB2" w:rsidP="00CE506C">
            <w:pPr>
              <w:rPr>
                <w:rFonts w:ascii="Times New Roman" w:hAnsi="Times New Roman"/>
                <w:sz w:val="24"/>
                <w:szCs w:val="24"/>
                <w:lang w:val="ro-RO"/>
              </w:rPr>
            </w:pPr>
            <w:r>
              <w:rPr>
                <w:rFonts w:ascii="Times New Roman" w:hAnsi="Times New Roman"/>
                <w:sz w:val="24"/>
                <w:szCs w:val="24"/>
                <w:lang w:val="ro-RO"/>
              </w:rPr>
              <w:t xml:space="preserve">Proiectul definitivat urmare a expertizării a fost publicat </w:t>
            </w:r>
            <w:r w:rsidRPr="00FC5FB9">
              <w:rPr>
                <w:rFonts w:ascii="Times New Roman" w:hAnsi="Times New Roman"/>
                <w:sz w:val="24"/>
                <w:szCs w:val="24"/>
                <w:lang w:val="ro-RO"/>
              </w:rPr>
              <w:t xml:space="preserve">pe portalul consultativ </w:t>
            </w:r>
            <w:hyperlink r:id="rId17" w:history="1">
              <w:r w:rsidRPr="00897BDE">
                <w:rPr>
                  <w:rFonts w:ascii="Times New Roman" w:hAnsi="Times New Roman"/>
                  <w:sz w:val="24"/>
                  <w:szCs w:val="24"/>
                  <w:lang w:val="ro-RO"/>
                </w:rPr>
                <w:t>www.particip.gov.md</w:t>
              </w:r>
            </w:hyperlink>
            <w:r w:rsidRPr="00897BDE">
              <w:rPr>
                <w:rFonts w:ascii="Times New Roman" w:hAnsi="Times New Roman"/>
                <w:sz w:val="24"/>
                <w:szCs w:val="24"/>
                <w:lang w:val="ro-RO"/>
              </w:rPr>
              <w:t xml:space="preserve"> (</w:t>
            </w:r>
            <w:r w:rsidRPr="00BB7FB2">
              <w:rPr>
                <w:rFonts w:ascii="Times New Roman" w:hAnsi="Times New Roman"/>
                <w:sz w:val="24"/>
                <w:szCs w:val="24"/>
                <w:lang w:val="ro-RO"/>
              </w:rPr>
              <w:t>link</w:t>
            </w:r>
            <w:r w:rsidRPr="00897BDE">
              <w:rPr>
                <w:rFonts w:ascii="Times New Roman" w:hAnsi="Times New Roman"/>
                <w:sz w:val="24"/>
                <w:szCs w:val="24"/>
                <w:lang w:val="ro-RO"/>
              </w:rPr>
              <w:t>)</w:t>
            </w:r>
            <w:r>
              <w:rPr>
                <w:rFonts w:ascii="Times New Roman" w:hAnsi="Times New Roman"/>
                <w:sz w:val="24"/>
                <w:szCs w:val="24"/>
                <w:lang w:val="ro-RO"/>
              </w:rPr>
              <w:t>.</w:t>
            </w:r>
          </w:p>
        </w:tc>
      </w:tr>
      <w:tr w:rsidR="007B69FD" w:rsidRPr="00FC5FB9" w14:paraId="3F827030" w14:textId="77777777" w:rsidTr="00FB079A">
        <w:trPr>
          <w:trHeight w:val="64"/>
        </w:trPr>
        <w:tc>
          <w:tcPr>
            <w:tcW w:w="9109" w:type="dxa"/>
            <w:shd w:val="clear" w:color="BFBFBF" w:fill="BFBFBF"/>
            <w:tcMar>
              <w:top w:w="0" w:type="dxa"/>
              <w:left w:w="108" w:type="dxa"/>
              <w:bottom w:w="0" w:type="dxa"/>
              <w:right w:w="108" w:type="dxa"/>
            </w:tcMar>
          </w:tcPr>
          <w:p w14:paraId="5B289900"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7. Concluziile expertizelor</w:t>
            </w:r>
          </w:p>
        </w:tc>
      </w:tr>
      <w:tr w:rsidR="007B69FD" w:rsidRPr="00FC5FB9" w14:paraId="256EC0B7" w14:textId="77777777" w:rsidTr="00BA2590">
        <w:tc>
          <w:tcPr>
            <w:tcW w:w="9109" w:type="dxa"/>
            <w:shd w:val="clear" w:color="FFFFFF" w:fill="FFFFFF"/>
            <w:tcMar>
              <w:top w:w="0" w:type="dxa"/>
              <w:left w:w="108" w:type="dxa"/>
              <w:bottom w:w="0" w:type="dxa"/>
              <w:right w:w="108" w:type="dxa"/>
            </w:tcMar>
          </w:tcPr>
          <w:p w14:paraId="0B43034E" w14:textId="43889A0A" w:rsidR="00197FE7" w:rsidRPr="00FC5FB9" w:rsidRDefault="00197FE7" w:rsidP="00F53F10">
            <w:pPr>
              <w:rPr>
                <w:rFonts w:ascii="Times New Roman" w:hAnsi="Times New Roman"/>
                <w:sz w:val="24"/>
                <w:szCs w:val="24"/>
                <w:lang w:val="ro-RO"/>
              </w:rPr>
            </w:pPr>
            <w:r w:rsidRPr="00FC5FB9">
              <w:rPr>
                <w:rFonts w:ascii="Times New Roman" w:hAnsi="Times New Roman"/>
                <w:sz w:val="24"/>
                <w:szCs w:val="24"/>
                <w:lang w:val="ro-RO"/>
              </w:rPr>
              <w:t xml:space="preserve">Proiectul de hotărâre </w:t>
            </w:r>
            <w:r w:rsidR="00BB7FB2">
              <w:rPr>
                <w:rFonts w:ascii="Times New Roman" w:hAnsi="Times New Roman"/>
                <w:sz w:val="24"/>
                <w:szCs w:val="24"/>
                <w:lang w:val="ro-RO"/>
              </w:rPr>
              <w:t>a fost</w:t>
            </w:r>
            <w:r w:rsidRPr="00FC5FB9">
              <w:rPr>
                <w:rFonts w:ascii="Times New Roman" w:hAnsi="Times New Roman"/>
                <w:sz w:val="24"/>
                <w:szCs w:val="24"/>
                <w:lang w:val="ro-RO"/>
              </w:rPr>
              <w:t xml:space="preserve"> remis Centrului Național Anticorupție pentru efectuarea expertizei anticorupție, conform prevederilor art. 3</w:t>
            </w:r>
            <w:r w:rsidR="00601784" w:rsidRPr="00FC5FB9">
              <w:rPr>
                <w:rFonts w:ascii="Times New Roman" w:hAnsi="Times New Roman"/>
                <w:sz w:val="24"/>
                <w:szCs w:val="24"/>
                <w:lang w:val="ro-RO"/>
              </w:rPr>
              <w:t>6</w:t>
            </w:r>
            <w:r w:rsidRPr="00FC5FB9">
              <w:rPr>
                <w:rFonts w:ascii="Times New Roman" w:hAnsi="Times New Roman"/>
                <w:sz w:val="24"/>
                <w:szCs w:val="24"/>
                <w:lang w:val="ro-RO"/>
              </w:rPr>
              <w:t xml:space="preserve"> din Legea nr. 100/2017 cu privire la actele normative.</w:t>
            </w:r>
            <w:r w:rsidR="00245248" w:rsidRPr="00FC5FB9">
              <w:rPr>
                <w:rFonts w:ascii="Times New Roman" w:hAnsi="Times New Roman"/>
                <w:sz w:val="24"/>
                <w:szCs w:val="24"/>
                <w:lang w:val="ro-RO"/>
              </w:rPr>
              <w:t xml:space="preserve"> </w:t>
            </w:r>
            <w:r w:rsidR="00F53F10">
              <w:rPr>
                <w:rFonts w:ascii="Times New Roman" w:hAnsi="Times New Roman"/>
                <w:sz w:val="24"/>
                <w:szCs w:val="24"/>
                <w:lang w:val="ro-RO"/>
              </w:rPr>
              <w:t xml:space="preserve">Prin demersul </w:t>
            </w:r>
            <w:r w:rsidR="00F53F10" w:rsidRPr="00F53F10">
              <w:rPr>
                <w:rFonts w:ascii="Times New Roman" w:hAnsi="Times New Roman"/>
                <w:sz w:val="24"/>
                <w:szCs w:val="24"/>
                <w:lang w:val="ro-RO"/>
              </w:rPr>
              <w:t>Nr. 06/2/8538 din 22 mai 2025</w:t>
            </w:r>
            <w:r w:rsidR="00F53F10">
              <w:rPr>
                <w:rFonts w:ascii="Times New Roman" w:hAnsi="Times New Roman"/>
                <w:sz w:val="24"/>
                <w:szCs w:val="24"/>
                <w:lang w:val="ro-RO"/>
              </w:rPr>
              <w:t xml:space="preserve"> </w:t>
            </w:r>
            <w:r w:rsidR="00F53F10" w:rsidRPr="00F53F10">
              <w:rPr>
                <w:rFonts w:ascii="Times New Roman" w:hAnsi="Times New Roman"/>
                <w:sz w:val="24"/>
                <w:szCs w:val="24"/>
                <w:lang w:val="ro-RO"/>
              </w:rPr>
              <w:t>Centrului Național Anticorupție</w:t>
            </w:r>
            <w:r w:rsidR="00F53F10">
              <w:rPr>
                <w:rFonts w:ascii="Times New Roman" w:hAnsi="Times New Roman"/>
                <w:sz w:val="24"/>
                <w:szCs w:val="24"/>
                <w:lang w:val="ro-RO"/>
              </w:rPr>
              <w:t xml:space="preserve"> a remis </w:t>
            </w:r>
            <w:r w:rsidR="00F53F10" w:rsidRPr="00F53F10">
              <w:rPr>
                <w:rFonts w:ascii="Times New Roman" w:hAnsi="Times New Roman"/>
                <w:sz w:val="24"/>
                <w:szCs w:val="24"/>
                <w:lang w:val="ro-RO"/>
              </w:rPr>
              <w:t>Raportul de expertiză anticorupție Nr. EHG25/10577 din 22 mai 2025</w:t>
            </w:r>
            <w:r w:rsidR="0069020E">
              <w:rPr>
                <w:rFonts w:ascii="Times New Roman" w:hAnsi="Times New Roman"/>
                <w:sz w:val="24"/>
                <w:szCs w:val="24"/>
                <w:lang w:val="ro-RO"/>
              </w:rPr>
              <w:t xml:space="preserve"> și în conformitate cu concluziile acestuia i</w:t>
            </w:r>
            <w:r w:rsidR="0069020E" w:rsidRPr="0069020E">
              <w:rPr>
                <w:rFonts w:ascii="Times New Roman" w:hAnsi="Times New Roman"/>
                <w:sz w:val="24"/>
                <w:szCs w:val="24"/>
                <w:lang w:val="ro-RO"/>
              </w:rPr>
              <w:t xml:space="preserve">mplementarea prevederilor propuse, poate contribui la realizarea interesului public vizat de proiect, fapt care nu este detrimentul interesului public general (în sensul prevăzut de prevederile Legii </w:t>
            </w:r>
            <w:r w:rsidR="0059607F" w:rsidRPr="0069020E">
              <w:rPr>
                <w:rFonts w:ascii="Times New Roman" w:hAnsi="Times New Roman"/>
                <w:sz w:val="24"/>
                <w:szCs w:val="24"/>
                <w:lang w:val="ro-RO"/>
              </w:rPr>
              <w:t>integrității</w:t>
            </w:r>
            <w:r w:rsidR="0069020E" w:rsidRPr="0069020E">
              <w:rPr>
                <w:rFonts w:ascii="Times New Roman" w:hAnsi="Times New Roman"/>
                <w:sz w:val="24"/>
                <w:szCs w:val="24"/>
                <w:lang w:val="ro-RO"/>
              </w:rPr>
              <w:t xml:space="preserve"> nr.82 din 25 mai 2017)</w:t>
            </w:r>
            <w:r w:rsidR="0059607F">
              <w:rPr>
                <w:rFonts w:ascii="Times New Roman" w:hAnsi="Times New Roman"/>
                <w:sz w:val="24"/>
                <w:szCs w:val="24"/>
                <w:lang w:val="ro-RO"/>
              </w:rPr>
              <w:t>, concluziile fiind reflectate în tabelul de sinteză la proiect</w:t>
            </w:r>
            <w:r w:rsidR="0069020E" w:rsidRPr="0069020E">
              <w:rPr>
                <w:rFonts w:ascii="Times New Roman" w:hAnsi="Times New Roman"/>
                <w:sz w:val="24"/>
                <w:szCs w:val="24"/>
                <w:lang w:val="ro-RO"/>
              </w:rPr>
              <w:t>.</w:t>
            </w:r>
          </w:p>
          <w:p w14:paraId="0A16BD74" w14:textId="466501A3" w:rsidR="00B828B0" w:rsidRPr="00FC5FB9" w:rsidRDefault="0069020E">
            <w:pPr>
              <w:rPr>
                <w:rFonts w:ascii="Times New Roman" w:hAnsi="Times New Roman"/>
                <w:b/>
                <w:bCs/>
                <w:sz w:val="24"/>
                <w:szCs w:val="24"/>
                <w:lang w:val="ro-RO"/>
              </w:rPr>
            </w:pPr>
            <w:r>
              <w:rPr>
                <w:rFonts w:ascii="Times New Roman" w:hAnsi="Times New Roman"/>
                <w:sz w:val="24"/>
                <w:szCs w:val="24"/>
                <w:lang w:val="ro-RO"/>
              </w:rPr>
              <w:lastRenderedPageBreak/>
              <w:t>Totodată</w:t>
            </w:r>
            <w:r w:rsidR="0059607F">
              <w:rPr>
                <w:rFonts w:ascii="Times New Roman" w:hAnsi="Times New Roman"/>
                <w:sz w:val="24"/>
                <w:szCs w:val="24"/>
                <w:lang w:val="ro-RO"/>
              </w:rPr>
              <w:t>,</w:t>
            </w:r>
            <w:r>
              <w:rPr>
                <w:rFonts w:ascii="Times New Roman" w:hAnsi="Times New Roman"/>
                <w:sz w:val="24"/>
                <w:szCs w:val="24"/>
                <w:lang w:val="ro-RO"/>
              </w:rPr>
              <w:t xml:space="preserve"> </w:t>
            </w:r>
            <w:r w:rsidR="00197FE7" w:rsidRPr="00FC5FB9">
              <w:rPr>
                <w:rFonts w:ascii="Times New Roman" w:hAnsi="Times New Roman"/>
                <w:sz w:val="24"/>
                <w:szCs w:val="24"/>
                <w:lang w:val="ro-RO"/>
              </w:rPr>
              <w:t xml:space="preserve">Proiectul de hotărâre </w:t>
            </w:r>
            <w:r w:rsidR="0059607F">
              <w:rPr>
                <w:rFonts w:ascii="Times New Roman" w:hAnsi="Times New Roman"/>
                <w:sz w:val="24"/>
                <w:szCs w:val="24"/>
                <w:lang w:val="ro-RO"/>
              </w:rPr>
              <w:t>a fost</w:t>
            </w:r>
            <w:r w:rsidR="0020383D" w:rsidRPr="00FC5FB9">
              <w:rPr>
                <w:rFonts w:ascii="Times New Roman" w:hAnsi="Times New Roman"/>
                <w:sz w:val="24"/>
                <w:szCs w:val="24"/>
                <w:lang w:val="ro-RO"/>
              </w:rPr>
              <w:t xml:space="preserve"> remis </w:t>
            </w:r>
            <w:r w:rsidR="00197FE7" w:rsidRPr="00FC5FB9">
              <w:rPr>
                <w:rFonts w:ascii="Times New Roman" w:hAnsi="Times New Roman"/>
                <w:sz w:val="24"/>
                <w:szCs w:val="24"/>
                <w:lang w:val="ro-RO"/>
              </w:rPr>
              <w:t>Ministerului Justiției pentru efectuarea expertizei juridice, conform prevederilor art. 37 din Legea nr. 100/2017 cu privire la actele normative.</w:t>
            </w:r>
            <w:r w:rsidR="0041066A" w:rsidRPr="00FC5FB9">
              <w:rPr>
                <w:rFonts w:ascii="Times New Roman" w:hAnsi="Times New Roman"/>
                <w:sz w:val="24"/>
                <w:szCs w:val="24"/>
                <w:lang w:val="ro-RO"/>
              </w:rPr>
              <w:t xml:space="preserve"> </w:t>
            </w:r>
            <w:r w:rsidR="0059607F">
              <w:rPr>
                <w:rFonts w:ascii="Times New Roman" w:hAnsi="Times New Roman"/>
                <w:sz w:val="24"/>
                <w:szCs w:val="24"/>
                <w:lang w:val="ro-RO"/>
              </w:rPr>
              <w:t>Conform demersului n</w:t>
            </w:r>
            <w:r w:rsidR="0059607F" w:rsidRPr="0059607F">
              <w:rPr>
                <w:rFonts w:ascii="Times New Roman" w:hAnsi="Times New Roman"/>
                <w:sz w:val="24"/>
                <w:szCs w:val="24"/>
                <w:lang w:val="ro-RO"/>
              </w:rPr>
              <w:t>r. 06/2/8538 din 22 mai 2025</w:t>
            </w:r>
            <w:r w:rsidR="00D771BB">
              <w:rPr>
                <w:rFonts w:ascii="Times New Roman" w:hAnsi="Times New Roman"/>
                <w:sz w:val="24"/>
                <w:szCs w:val="24"/>
                <w:lang w:val="ro-RO"/>
              </w:rPr>
              <w:t xml:space="preserve"> Ministerul Justiției a comunicat despre lipsa de </w:t>
            </w:r>
            <w:r w:rsidR="00D771BB" w:rsidRPr="00D771BB">
              <w:rPr>
                <w:rFonts w:ascii="Times New Roman" w:hAnsi="Times New Roman"/>
                <w:sz w:val="24"/>
                <w:szCs w:val="24"/>
                <w:lang w:val="ro-RO"/>
              </w:rPr>
              <w:t>obiecții de ordin conceptual.</w:t>
            </w:r>
            <w:r w:rsidR="00D771BB">
              <w:rPr>
                <w:rFonts w:ascii="Times New Roman" w:hAnsi="Times New Roman"/>
                <w:sz w:val="24"/>
                <w:szCs w:val="24"/>
                <w:lang w:val="ro-RO"/>
              </w:rPr>
              <w:t xml:space="preserve"> Propunerile aferente</w:t>
            </w:r>
            <w:r w:rsidR="00D771BB">
              <w:t xml:space="preserve"> </w:t>
            </w:r>
            <w:r w:rsidR="00D771BB" w:rsidRPr="00D771BB">
              <w:rPr>
                <w:rFonts w:ascii="Times New Roman" w:hAnsi="Times New Roman"/>
                <w:sz w:val="24"/>
                <w:szCs w:val="24"/>
                <w:lang w:val="ro-RO"/>
              </w:rPr>
              <w:t>rigorilor normative</w:t>
            </w:r>
            <w:r w:rsidR="00D771BB">
              <w:rPr>
                <w:rFonts w:ascii="Times New Roman" w:hAnsi="Times New Roman"/>
                <w:sz w:val="24"/>
                <w:szCs w:val="24"/>
                <w:lang w:val="ro-RO"/>
              </w:rPr>
              <w:t xml:space="preserve"> au fost </w:t>
            </w:r>
            <w:r w:rsidR="00DE4B3E">
              <w:rPr>
                <w:rFonts w:ascii="Times New Roman" w:hAnsi="Times New Roman"/>
                <w:sz w:val="24"/>
                <w:szCs w:val="24"/>
                <w:lang w:val="ro-RO"/>
              </w:rPr>
              <w:t xml:space="preserve">reflectate în tabelul de sinteză la proiect, cu acceptarea acestora de către autor și aplicarea modificărilor </w:t>
            </w:r>
            <w:r w:rsidR="00023A0A">
              <w:rPr>
                <w:rFonts w:ascii="Times New Roman" w:hAnsi="Times New Roman"/>
                <w:sz w:val="24"/>
                <w:szCs w:val="24"/>
                <w:lang w:val="ro-RO"/>
              </w:rPr>
              <w:t>în</w:t>
            </w:r>
            <w:r w:rsidR="00DE4B3E">
              <w:rPr>
                <w:rFonts w:ascii="Times New Roman" w:hAnsi="Times New Roman"/>
                <w:sz w:val="24"/>
                <w:szCs w:val="24"/>
                <w:lang w:val="ro-RO"/>
              </w:rPr>
              <w:t xml:space="preserve"> proiect.</w:t>
            </w:r>
          </w:p>
        </w:tc>
      </w:tr>
      <w:tr w:rsidR="007B69FD" w:rsidRPr="00FC5FB9" w14:paraId="5A1871DE" w14:textId="77777777" w:rsidTr="00BA2590">
        <w:tc>
          <w:tcPr>
            <w:tcW w:w="9109" w:type="dxa"/>
            <w:shd w:val="clear" w:color="BFBFBF" w:fill="BFBFBF"/>
            <w:tcMar>
              <w:top w:w="0" w:type="dxa"/>
              <w:left w:w="108" w:type="dxa"/>
              <w:bottom w:w="0" w:type="dxa"/>
              <w:right w:w="108" w:type="dxa"/>
            </w:tcMar>
          </w:tcPr>
          <w:p w14:paraId="24E40173" w14:textId="77777777"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lastRenderedPageBreak/>
              <w:t>8. Modul de încorporare a actului în cadrul normativ existent</w:t>
            </w:r>
          </w:p>
        </w:tc>
      </w:tr>
      <w:tr w:rsidR="007B69FD" w:rsidRPr="00FC5FB9" w14:paraId="6AC70E05" w14:textId="77777777" w:rsidTr="00BA2590">
        <w:tc>
          <w:tcPr>
            <w:tcW w:w="9109" w:type="dxa"/>
            <w:tcMar>
              <w:top w:w="0" w:type="dxa"/>
              <w:left w:w="108" w:type="dxa"/>
              <w:bottom w:w="0" w:type="dxa"/>
              <w:right w:w="108" w:type="dxa"/>
            </w:tcMar>
          </w:tcPr>
          <w:p w14:paraId="76D52A5C" w14:textId="4CE0BEA1" w:rsidR="007B69FD" w:rsidRPr="00FC5FB9" w:rsidRDefault="00AF2D60" w:rsidP="00E37F00">
            <w:pPr>
              <w:rPr>
                <w:rFonts w:ascii="Times New Roman" w:hAnsi="Times New Roman"/>
                <w:sz w:val="24"/>
                <w:szCs w:val="24"/>
                <w:lang w:val="ro-RO"/>
              </w:rPr>
            </w:pPr>
            <w:r>
              <w:rPr>
                <w:rFonts w:ascii="Times New Roman" w:hAnsi="Times New Roman"/>
                <w:sz w:val="24"/>
                <w:szCs w:val="24"/>
                <w:lang w:val="ro-RO"/>
              </w:rPr>
              <w:t xml:space="preserve">Nu este aplicabil. </w:t>
            </w:r>
            <w:r w:rsidR="00197FE7" w:rsidRPr="00FC5FB9">
              <w:rPr>
                <w:rFonts w:ascii="Times New Roman" w:hAnsi="Times New Roman"/>
                <w:sz w:val="24"/>
                <w:szCs w:val="24"/>
                <w:lang w:val="ro-RO"/>
              </w:rPr>
              <w:t xml:space="preserve">Urmare a aprobării proiectul de hotărâre </w:t>
            </w:r>
            <w:r w:rsidR="00F84D2B">
              <w:rPr>
                <w:rFonts w:ascii="Times New Roman" w:hAnsi="Times New Roman"/>
                <w:sz w:val="24"/>
                <w:szCs w:val="24"/>
                <w:lang w:val="ro-RO"/>
              </w:rPr>
              <w:t xml:space="preserve">nu sunt necesare acțiuni suplimentare de </w:t>
            </w:r>
            <w:r w:rsidR="00F84D2B" w:rsidRPr="00F84D2B">
              <w:rPr>
                <w:rFonts w:ascii="Times New Roman" w:hAnsi="Times New Roman"/>
                <w:sz w:val="24"/>
                <w:szCs w:val="24"/>
                <w:lang w:val="ro-RO"/>
              </w:rPr>
              <w:t>încorporare a actului în cadrul normativ existent</w:t>
            </w:r>
            <w:r w:rsidR="00D973F2">
              <w:rPr>
                <w:rFonts w:ascii="Times New Roman" w:hAnsi="Times New Roman"/>
                <w:sz w:val="24"/>
                <w:szCs w:val="24"/>
                <w:lang w:val="ro-RO"/>
              </w:rPr>
              <w:t>.</w:t>
            </w:r>
          </w:p>
        </w:tc>
      </w:tr>
      <w:tr w:rsidR="007B69FD" w:rsidRPr="00FC5FB9" w14:paraId="34E1E9F2" w14:textId="77777777" w:rsidTr="00BA2590">
        <w:tc>
          <w:tcPr>
            <w:tcW w:w="9109" w:type="dxa"/>
            <w:shd w:val="clear" w:color="BFBFBF" w:fill="BFBFBF"/>
            <w:tcMar>
              <w:top w:w="0" w:type="dxa"/>
              <w:left w:w="108" w:type="dxa"/>
              <w:bottom w:w="0" w:type="dxa"/>
              <w:right w:w="108" w:type="dxa"/>
            </w:tcMar>
          </w:tcPr>
          <w:p w14:paraId="7171C6BB" w14:textId="26754C6B" w:rsidR="007B69FD" w:rsidRPr="00FC5FB9" w:rsidRDefault="00EA56DE" w:rsidP="00E37F00">
            <w:pPr>
              <w:rPr>
                <w:rFonts w:ascii="Times New Roman" w:hAnsi="Times New Roman"/>
                <w:b/>
                <w:bCs/>
                <w:sz w:val="24"/>
                <w:szCs w:val="24"/>
                <w:lang w:val="ro-RO"/>
              </w:rPr>
            </w:pPr>
            <w:r w:rsidRPr="00FC5FB9">
              <w:rPr>
                <w:rFonts w:ascii="Times New Roman" w:hAnsi="Times New Roman"/>
                <w:b/>
                <w:bCs/>
                <w:sz w:val="24"/>
                <w:szCs w:val="24"/>
                <w:lang w:val="ro-RO"/>
              </w:rPr>
              <w:t>9. Măsurile necesare pentru implementarea prevederilor proiectului actului normativ</w:t>
            </w:r>
            <w:r w:rsidR="0099667D" w:rsidRPr="00FC5FB9">
              <w:rPr>
                <w:rFonts w:ascii="Times New Roman" w:hAnsi="Times New Roman"/>
                <w:b/>
                <w:bCs/>
                <w:sz w:val="24"/>
                <w:szCs w:val="24"/>
                <w:lang w:val="ro-RO"/>
              </w:rPr>
              <w:t>.</w:t>
            </w:r>
          </w:p>
        </w:tc>
      </w:tr>
      <w:tr w:rsidR="007B69FD" w:rsidRPr="00FC5FB9" w14:paraId="6C32B218" w14:textId="77777777" w:rsidTr="00BA2590">
        <w:tc>
          <w:tcPr>
            <w:tcW w:w="9109" w:type="dxa"/>
            <w:tcMar>
              <w:top w:w="0" w:type="dxa"/>
              <w:left w:w="108" w:type="dxa"/>
              <w:bottom w:w="0" w:type="dxa"/>
              <w:right w:w="108" w:type="dxa"/>
            </w:tcMar>
          </w:tcPr>
          <w:p w14:paraId="59D8C60C" w14:textId="6563704C" w:rsidR="007B69FD" w:rsidRPr="00FC5FB9" w:rsidRDefault="00EA56DE" w:rsidP="00E37F00">
            <w:pPr>
              <w:rPr>
                <w:rFonts w:ascii="Times New Roman" w:hAnsi="Times New Roman"/>
                <w:sz w:val="24"/>
                <w:szCs w:val="24"/>
                <w:lang w:val="ro-RO"/>
              </w:rPr>
            </w:pPr>
            <w:r w:rsidRPr="00FC5FB9">
              <w:rPr>
                <w:rFonts w:ascii="Times New Roman" w:hAnsi="Times New Roman"/>
                <w:sz w:val="24"/>
                <w:szCs w:val="24"/>
                <w:lang w:val="ro-RO"/>
              </w:rPr>
              <w:t xml:space="preserve"> </w:t>
            </w:r>
            <w:r w:rsidR="00D973F2">
              <w:rPr>
                <w:rFonts w:ascii="Times New Roman" w:hAnsi="Times New Roman"/>
                <w:sz w:val="24"/>
                <w:szCs w:val="24"/>
                <w:lang w:val="ro-RO"/>
              </w:rPr>
              <w:t xml:space="preserve">Nu este aplicabil. </w:t>
            </w:r>
          </w:p>
        </w:tc>
      </w:tr>
    </w:tbl>
    <w:p w14:paraId="711B0350" w14:textId="436044B0" w:rsidR="007B69FD" w:rsidRPr="0041066A" w:rsidRDefault="007B69FD" w:rsidP="00E37F00">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p>
    <w:p w14:paraId="4D2457E0" w14:textId="5BA4025B" w:rsidR="00642FCA" w:rsidRDefault="00642FCA" w:rsidP="00E37F00">
      <w:pPr>
        <w:pBdr>
          <w:top w:val="none" w:sz="4" w:space="0" w:color="000000"/>
          <w:left w:val="none" w:sz="4" w:space="0" w:color="000000"/>
          <w:bottom w:val="none" w:sz="4" w:space="0" w:color="000000"/>
          <w:right w:val="none" w:sz="4" w:space="0" w:color="000000"/>
        </w:pBdr>
        <w:tabs>
          <w:tab w:val="left" w:pos="884"/>
          <w:tab w:val="left" w:pos="1196"/>
        </w:tabs>
        <w:ind w:firstLine="567"/>
        <w:rPr>
          <w:b/>
          <w:bCs/>
          <w:sz w:val="24"/>
          <w:szCs w:val="24"/>
          <w:lang w:val="ro-RO"/>
        </w:rPr>
      </w:pPr>
    </w:p>
    <w:p w14:paraId="3DFB3AB8" w14:textId="77777777" w:rsidR="00F530DD" w:rsidRPr="0041066A" w:rsidRDefault="00F530DD" w:rsidP="00E37F00">
      <w:pPr>
        <w:pBdr>
          <w:top w:val="none" w:sz="4" w:space="0" w:color="000000"/>
          <w:left w:val="none" w:sz="4" w:space="0" w:color="000000"/>
          <w:bottom w:val="none" w:sz="4" w:space="0" w:color="000000"/>
          <w:right w:val="none" w:sz="4" w:space="0" w:color="000000"/>
        </w:pBdr>
        <w:tabs>
          <w:tab w:val="left" w:pos="884"/>
          <w:tab w:val="left" w:pos="1196"/>
        </w:tabs>
        <w:ind w:firstLine="567"/>
        <w:rPr>
          <w:b/>
          <w:bCs/>
          <w:sz w:val="24"/>
          <w:szCs w:val="24"/>
          <w:lang w:val="ro-RO"/>
        </w:rPr>
      </w:pPr>
    </w:p>
    <w:p w14:paraId="3B6A354B" w14:textId="43554A19" w:rsidR="0041066A" w:rsidRPr="0041066A" w:rsidRDefault="007B0DB3" w:rsidP="0041066A">
      <w:pPr>
        <w:ind w:right="850" w:firstLine="567"/>
        <w:rPr>
          <w:b/>
          <w:sz w:val="26"/>
          <w:szCs w:val="26"/>
          <w:lang w:val="ro-RO"/>
        </w:rPr>
      </w:pPr>
      <w:r>
        <w:rPr>
          <w:b/>
          <w:sz w:val="26"/>
          <w:szCs w:val="26"/>
          <w:lang w:val="ro-RO"/>
        </w:rPr>
        <w:t xml:space="preserve">Secretar de stat        </w:t>
      </w:r>
      <w:r w:rsidR="0041066A" w:rsidRPr="0041066A">
        <w:rPr>
          <w:bCs/>
          <w:i/>
          <w:iCs/>
          <w:sz w:val="26"/>
          <w:szCs w:val="26"/>
          <w:lang w:val="ro-RO"/>
        </w:rPr>
        <w:t>/</w:t>
      </w:r>
      <w:r w:rsidR="0065151C">
        <w:rPr>
          <w:bCs/>
          <w:i/>
          <w:iCs/>
          <w:sz w:val="26"/>
          <w:szCs w:val="26"/>
          <w:lang w:val="ro-RO"/>
        </w:rPr>
        <w:t>s</w:t>
      </w:r>
      <w:r w:rsidR="0041066A" w:rsidRPr="0041066A">
        <w:rPr>
          <w:bCs/>
          <w:i/>
          <w:iCs/>
          <w:sz w:val="26"/>
          <w:szCs w:val="26"/>
          <w:lang w:val="ro-RO"/>
        </w:rPr>
        <w:t>emnat electronic/</w:t>
      </w:r>
      <w:r>
        <w:rPr>
          <w:bCs/>
          <w:i/>
          <w:iCs/>
          <w:sz w:val="26"/>
          <w:szCs w:val="26"/>
          <w:lang w:val="ro-RO"/>
        </w:rPr>
        <w:t xml:space="preserve">   </w:t>
      </w:r>
      <w:r w:rsidR="0041066A" w:rsidRPr="0041066A">
        <w:rPr>
          <w:bCs/>
          <w:i/>
          <w:iCs/>
          <w:sz w:val="26"/>
          <w:szCs w:val="26"/>
          <w:lang w:val="ro-RO"/>
        </w:rPr>
        <w:t xml:space="preserve">   </w:t>
      </w:r>
      <w:r w:rsidRPr="007B0DB3">
        <w:rPr>
          <w:b/>
          <w:sz w:val="26"/>
          <w:szCs w:val="26"/>
          <w:lang w:val="ro-RO"/>
        </w:rPr>
        <w:t xml:space="preserve">Constantin BOROSAN </w:t>
      </w:r>
      <w:r w:rsidRPr="0041066A">
        <w:rPr>
          <w:b/>
          <w:sz w:val="26"/>
          <w:szCs w:val="26"/>
          <w:lang w:val="ro-RO"/>
        </w:rPr>
        <w:br/>
      </w:r>
    </w:p>
    <w:p w14:paraId="5F37E502" w14:textId="2FFF6974" w:rsidR="00642FCA" w:rsidRPr="0041066A" w:rsidRDefault="00C41752" w:rsidP="00E37F00">
      <w:pPr>
        <w:pBdr>
          <w:top w:val="none" w:sz="4" w:space="0" w:color="000000"/>
          <w:left w:val="none" w:sz="4" w:space="0" w:color="000000"/>
          <w:bottom w:val="none" w:sz="4" w:space="0" w:color="000000"/>
          <w:right w:val="none" w:sz="4" w:space="0" w:color="000000"/>
        </w:pBdr>
        <w:tabs>
          <w:tab w:val="left" w:pos="884"/>
          <w:tab w:val="left" w:pos="1196"/>
        </w:tabs>
        <w:ind w:firstLine="567"/>
        <w:rPr>
          <w:b/>
          <w:bCs/>
          <w:sz w:val="24"/>
          <w:szCs w:val="24"/>
          <w:lang w:val="ro-RO"/>
        </w:rPr>
      </w:pPr>
      <w:r w:rsidRPr="0041066A">
        <w:rPr>
          <w:b/>
          <w:bCs/>
          <w:sz w:val="24"/>
          <w:szCs w:val="24"/>
          <w:lang w:val="ro-RO"/>
        </w:rPr>
        <w:t xml:space="preserve"> </w:t>
      </w:r>
    </w:p>
    <w:sectPr w:rsidR="00642FCA" w:rsidRPr="0041066A">
      <w:headerReference w:type="default" r:id="rId18"/>
      <w:headerReference w:type="first" r:id="rId19"/>
      <w:pgSz w:w="11907" w:h="16840" w:orient="landscape"/>
      <w:pgMar w:top="1418" w:right="567" w:bottom="1418"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BE11" w14:textId="77777777" w:rsidR="00B06BCE" w:rsidRDefault="00B06BCE">
      <w:r>
        <w:separator/>
      </w:r>
    </w:p>
  </w:endnote>
  <w:endnote w:type="continuationSeparator" w:id="0">
    <w:p w14:paraId="4200A915" w14:textId="77777777" w:rsidR="00B06BCE" w:rsidRDefault="00B0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73F5" w14:textId="77777777" w:rsidR="00B06BCE" w:rsidRDefault="00B06BCE">
      <w:r>
        <w:separator/>
      </w:r>
    </w:p>
  </w:footnote>
  <w:footnote w:type="continuationSeparator" w:id="0">
    <w:p w14:paraId="2A5F4133" w14:textId="77777777" w:rsidR="00B06BCE" w:rsidRDefault="00B0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CD95" w14:textId="77777777" w:rsidR="007B69FD" w:rsidRDefault="007B69FD">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89E9" w14:textId="77777777" w:rsidR="007B69FD" w:rsidRDefault="007B69FD">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D7A"/>
    <w:multiLevelType w:val="multilevel"/>
    <w:tmpl w:val="A0FC53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2610F"/>
    <w:multiLevelType w:val="hybridMultilevel"/>
    <w:tmpl w:val="A6C4156E"/>
    <w:lvl w:ilvl="0" w:tplc="86480F46">
      <w:start w:val="1"/>
      <w:numFmt w:val="bullet"/>
      <w:lvlText w:val="-"/>
      <w:lvlJc w:val="center"/>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25431A"/>
    <w:multiLevelType w:val="multilevel"/>
    <w:tmpl w:val="DB8622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97750CC"/>
    <w:multiLevelType w:val="multilevel"/>
    <w:tmpl w:val="C0C61E1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FD875EA"/>
    <w:multiLevelType w:val="multilevel"/>
    <w:tmpl w:val="E6642EC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041C1"/>
    <w:multiLevelType w:val="multilevel"/>
    <w:tmpl w:val="7134303A"/>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C3BE9"/>
    <w:multiLevelType w:val="multilevel"/>
    <w:tmpl w:val="59A0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74653"/>
    <w:multiLevelType w:val="multilevel"/>
    <w:tmpl w:val="33ACC47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7A623C"/>
    <w:multiLevelType w:val="multilevel"/>
    <w:tmpl w:val="EA6CC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8462DC"/>
    <w:multiLevelType w:val="multilevel"/>
    <w:tmpl w:val="B18CC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3D78A6"/>
    <w:multiLevelType w:val="multilevel"/>
    <w:tmpl w:val="83C0FA1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FA523D"/>
    <w:multiLevelType w:val="multilevel"/>
    <w:tmpl w:val="7A209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30C9E"/>
    <w:multiLevelType w:val="multilevel"/>
    <w:tmpl w:val="60C4A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B719EF"/>
    <w:multiLevelType w:val="multilevel"/>
    <w:tmpl w:val="44D4C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4206FE"/>
    <w:multiLevelType w:val="hybridMultilevel"/>
    <w:tmpl w:val="9C8AE33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A7F1368"/>
    <w:multiLevelType w:val="hybridMultilevel"/>
    <w:tmpl w:val="1C4C1830"/>
    <w:lvl w:ilvl="0" w:tplc="426EC878">
      <w:start w:val="1"/>
      <w:numFmt w:val="decimal"/>
      <w:lvlText w:val="%1)"/>
      <w:lvlJc w:val="left"/>
      <w:pPr>
        <w:ind w:left="1429" w:hanging="360"/>
      </w:pPr>
      <w:rPr>
        <w:rFonts w:ascii="Times New Roman" w:hAnsi="Times New Roman" w:cs="Times New Roman" w:hint="default"/>
        <w:i w:val="0"/>
        <w:i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B0223A0"/>
    <w:multiLevelType w:val="multilevel"/>
    <w:tmpl w:val="B95C6F96"/>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3EB3131D"/>
    <w:multiLevelType w:val="hybridMultilevel"/>
    <w:tmpl w:val="E00EFF78"/>
    <w:lvl w:ilvl="0" w:tplc="86480F46">
      <w:start w:val="1"/>
      <w:numFmt w:val="bullet"/>
      <w:lvlText w:val="-"/>
      <w:lvlJc w:val="center"/>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F52798A"/>
    <w:multiLevelType w:val="hybridMultilevel"/>
    <w:tmpl w:val="1C4C1830"/>
    <w:lvl w:ilvl="0" w:tplc="426EC878">
      <w:start w:val="1"/>
      <w:numFmt w:val="decimal"/>
      <w:lvlText w:val="%1)"/>
      <w:lvlJc w:val="left"/>
      <w:pPr>
        <w:ind w:left="1429" w:hanging="360"/>
      </w:pPr>
      <w:rPr>
        <w:rFonts w:ascii="Times New Roman" w:hAnsi="Times New Roman" w:cs="Times New Roman" w:hint="default"/>
        <w:i w:val="0"/>
        <w:i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42C53C2B"/>
    <w:multiLevelType w:val="multilevel"/>
    <w:tmpl w:val="EE107F16"/>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F14F94"/>
    <w:multiLevelType w:val="multilevel"/>
    <w:tmpl w:val="47782D4E"/>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2D7D65"/>
    <w:multiLevelType w:val="multilevel"/>
    <w:tmpl w:val="A72005F4"/>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CC43A8"/>
    <w:multiLevelType w:val="multilevel"/>
    <w:tmpl w:val="7624AFA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46F4423D"/>
    <w:multiLevelType w:val="multilevel"/>
    <w:tmpl w:val="E2FEAD04"/>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488E44D8"/>
    <w:multiLevelType w:val="multilevel"/>
    <w:tmpl w:val="CAAA4EE4"/>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179B3"/>
    <w:multiLevelType w:val="multilevel"/>
    <w:tmpl w:val="3A8C8DCC"/>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E31B69"/>
    <w:multiLevelType w:val="multilevel"/>
    <w:tmpl w:val="6B5ACE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311EB4"/>
    <w:multiLevelType w:val="multilevel"/>
    <w:tmpl w:val="249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A5CC7"/>
    <w:multiLevelType w:val="multilevel"/>
    <w:tmpl w:val="1BC0E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027081"/>
    <w:multiLevelType w:val="multilevel"/>
    <w:tmpl w:val="CCE63590"/>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0" w15:restartNumberingAfterBreak="0">
    <w:nsid w:val="52E0249B"/>
    <w:multiLevelType w:val="multilevel"/>
    <w:tmpl w:val="09E624E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DB2E84"/>
    <w:multiLevelType w:val="multilevel"/>
    <w:tmpl w:val="5D2CEC50"/>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55C540E6"/>
    <w:multiLevelType w:val="multilevel"/>
    <w:tmpl w:val="183C011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AC656F"/>
    <w:multiLevelType w:val="multilevel"/>
    <w:tmpl w:val="43A2F2BE"/>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CB25C4"/>
    <w:multiLevelType w:val="multilevel"/>
    <w:tmpl w:val="F1446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917EF"/>
    <w:multiLevelType w:val="hybridMultilevel"/>
    <w:tmpl w:val="C1206B28"/>
    <w:lvl w:ilvl="0" w:tplc="86480F46">
      <w:start w:val="1"/>
      <w:numFmt w:val="bullet"/>
      <w:lvlText w:val="-"/>
      <w:lvlJc w:val="center"/>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6004D67"/>
    <w:multiLevelType w:val="multilevel"/>
    <w:tmpl w:val="55309E1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173DCB"/>
    <w:multiLevelType w:val="hybridMultilevel"/>
    <w:tmpl w:val="AB42AA26"/>
    <w:lvl w:ilvl="0" w:tplc="86480F46">
      <w:start w:val="1"/>
      <w:numFmt w:val="bullet"/>
      <w:lvlText w:val="-"/>
      <w:lvlJc w:val="center"/>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719763F"/>
    <w:multiLevelType w:val="multilevel"/>
    <w:tmpl w:val="223C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0E1092"/>
    <w:multiLevelType w:val="multilevel"/>
    <w:tmpl w:val="A378C94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6E5D3D84"/>
    <w:multiLevelType w:val="multilevel"/>
    <w:tmpl w:val="449A1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91ED0"/>
    <w:multiLevelType w:val="multilevel"/>
    <w:tmpl w:val="7340DFD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15:restartNumberingAfterBreak="0">
    <w:nsid w:val="70094614"/>
    <w:multiLevelType w:val="multilevel"/>
    <w:tmpl w:val="40A6A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7F12C5"/>
    <w:multiLevelType w:val="multilevel"/>
    <w:tmpl w:val="6DEC752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DB1D3C"/>
    <w:multiLevelType w:val="multilevel"/>
    <w:tmpl w:val="6CA8D7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D85F2D"/>
    <w:multiLevelType w:val="multilevel"/>
    <w:tmpl w:val="3A58A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FE436F"/>
    <w:multiLevelType w:val="multilevel"/>
    <w:tmpl w:val="7892EAE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2E221D"/>
    <w:multiLevelType w:val="hybridMultilevel"/>
    <w:tmpl w:val="432E9EB0"/>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8" w15:restartNumberingAfterBreak="0">
    <w:nsid w:val="7D8A6B7D"/>
    <w:multiLevelType w:val="multilevel"/>
    <w:tmpl w:val="BDA86DF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1176F0"/>
    <w:multiLevelType w:val="multilevel"/>
    <w:tmpl w:val="28906F2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735184">
    <w:abstractNumId w:val="43"/>
  </w:num>
  <w:num w:numId="2" w16cid:durableId="15233466">
    <w:abstractNumId w:val="48"/>
  </w:num>
  <w:num w:numId="3" w16cid:durableId="608048776">
    <w:abstractNumId w:val="0"/>
  </w:num>
  <w:num w:numId="4" w16cid:durableId="1963144350">
    <w:abstractNumId w:val="28"/>
  </w:num>
  <w:num w:numId="5" w16cid:durableId="2107993691">
    <w:abstractNumId w:val="20"/>
  </w:num>
  <w:num w:numId="6" w16cid:durableId="1056273200">
    <w:abstractNumId w:val="13"/>
  </w:num>
  <w:num w:numId="7" w16cid:durableId="1303001469">
    <w:abstractNumId w:val="9"/>
  </w:num>
  <w:num w:numId="8" w16cid:durableId="1675063152">
    <w:abstractNumId w:val="12"/>
  </w:num>
  <w:num w:numId="9" w16cid:durableId="1286304515">
    <w:abstractNumId w:val="4"/>
  </w:num>
  <w:num w:numId="10" w16cid:durableId="2000502335">
    <w:abstractNumId w:val="2"/>
  </w:num>
  <w:num w:numId="11" w16cid:durableId="879362175">
    <w:abstractNumId w:val="22"/>
  </w:num>
  <w:num w:numId="12" w16cid:durableId="361521751">
    <w:abstractNumId w:val="21"/>
  </w:num>
  <w:num w:numId="13" w16cid:durableId="755251054">
    <w:abstractNumId w:val="30"/>
  </w:num>
  <w:num w:numId="14" w16cid:durableId="1552888249">
    <w:abstractNumId w:val="26"/>
  </w:num>
  <w:num w:numId="15" w16cid:durableId="848520161">
    <w:abstractNumId w:val="39"/>
  </w:num>
  <w:num w:numId="16" w16cid:durableId="987054615">
    <w:abstractNumId w:val="33"/>
  </w:num>
  <w:num w:numId="17" w16cid:durableId="1008295041">
    <w:abstractNumId w:val="19"/>
  </w:num>
  <w:num w:numId="18" w16cid:durableId="789008689">
    <w:abstractNumId w:val="5"/>
  </w:num>
  <w:num w:numId="19" w16cid:durableId="82772957">
    <w:abstractNumId w:val="3"/>
  </w:num>
  <w:num w:numId="20" w16cid:durableId="977875229">
    <w:abstractNumId w:val="32"/>
  </w:num>
  <w:num w:numId="21" w16cid:durableId="1418358034">
    <w:abstractNumId w:val="10"/>
  </w:num>
  <w:num w:numId="22" w16cid:durableId="1295913750">
    <w:abstractNumId w:val="44"/>
  </w:num>
  <w:num w:numId="23" w16cid:durableId="1630210307">
    <w:abstractNumId w:val="6"/>
  </w:num>
  <w:num w:numId="24" w16cid:durableId="1610354882">
    <w:abstractNumId w:val="27"/>
  </w:num>
  <w:num w:numId="25" w16cid:durableId="238446520">
    <w:abstractNumId w:val="45"/>
  </w:num>
  <w:num w:numId="26" w16cid:durableId="1481537039">
    <w:abstractNumId w:val="34"/>
  </w:num>
  <w:num w:numId="27" w16cid:durableId="1602833661">
    <w:abstractNumId w:val="8"/>
  </w:num>
  <w:num w:numId="28" w16cid:durableId="797334057">
    <w:abstractNumId w:val="24"/>
    <w:lvlOverride w:ilvl="0">
      <w:startOverride w:val="1"/>
    </w:lvlOverride>
  </w:num>
  <w:num w:numId="29" w16cid:durableId="447089905">
    <w:abstractNumId w:val="36"/>
  </w:num>
  <w:num w:numId="30" w16cid:durableId="1296258956">
    <w:abstractNumId w:val="49"/>
  </w:num>
  <w:num w:numId="31" w16cid:durableId="1419131436">
    <w:abstractNumId w:val="25"/>
  </w:num>
  <w:num w:numId="32" w16cid:durableId="1269774228">
    <w:abstractNumId w:val="24"/>
  </w:num>
  <w:num w:numId="33" w16cid:durableId="1332179962">
    <w:abstractNumId w:val="42"/>
  </w:num>
  <w:num w:numId="34" w16cid:durableId="497384759">
    <w:abstractNumId w:val="38"/>
  </w:num>
  <w:num w:numId="35" w16cid:durableId="2115320785">
    <w:abstractNumId w:val="40"/>
  </w:num>
  <w:num w:numId="36" w16cid:durableId="1554271918">
    <w:abstractNumId w:val="11"/>
  </w:num>
  <w:num w:numId="37" w16cid:durableId="255752419">
    <w:abstractNumId w:val="46"/>
  </w:num>
  <w:num w:numId="38" w16cid:durableId="109856455">
    <w:abstractNumId w:val="7"/>
  </w:num>
  <w:num w:numId="39" w16cid:durableId="1713773818">
    <w:abstractNumId w:val="31"/>
  </w:num>
  <w:num w:numId="40" w16cid:durableId="1958024052">
    <w:abstractNumId w:val="29"/>
  </w:num>
  <w:num w:numId="41" w16cid:durableId="866673161">
    <w:abstractNumId w:val="16"/>
  </w:num>
  <w:num w:numId="42" w16cid:durableId="1884249188">
    <w:abstractNumId w:val="41"/>
  </w:num>
  <w:num w:numId="43" w16cid:durableId="1860578432">
    <w:abstractNumId w:val="23"/>
  </w:num>
  <w:num w:numId="44" w16cid:durableId="1222056770">
    <w:abstractNumId w:val="18"/>
  </w:num>
  <w:num w:numId="45" w16cid:durableId="485362429">
    <w:abstractNumId w:val="14"/>
  </w:num>
  <w:num w:numId="46" w16cid:durableId="858350077">
    <w:abstractNumId w:val="35"/>
  </w:num>
  <w:num w:numId="47" w16cid:durableId="1253466677">
    <w:abstractNumId w:val="37"/>
  </w:num>
  <w:num w:numId="48" w16cid:durableId="365832220">
    <w:abstractNumId w:val="1"/>
  </w:num>
  <w:num w:numId="49" w16cid:durableId="1369067272">
    <w:abstractNumId w:val="17"/>
  </w:num>
  <w:num w:numId="50" w16cid:durableId="1886136340">
    <w:abstractNumId w:val="47"/>
  </w:num>
  <w:num w:numId="51" w16cid:durableId="106818456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FD"/>
    <w:rsid w:val="0000000B"/>
    <w:rsid w:val="0000342C"/>
    <w:rsid w:val="00003B3F"/>
    <w:rsid w:val="000212EC"/>
    <w:rsid w:val="0002152D"/>
    <w:rsid w:val="00023A0A"/>
    <w:rsid w:val="00033724"/>
    <w:rsid w:val="000432A9"/>
    <w:rsid w:val="00047EDD"/>
    <w:rsid w:val="00050019"/>
    <w:rsid w:val="000528E7"/>
    <w:rsid w:val="00056FAC"/>
    <w:rsid w:val="000574B1"/>
    <w:rsid w:val="00064B42"/>
    <w:rsid w:val="000679BB"/>
    <w:rsid w:val="0007302D"/>
    <w:rsid w:val="000740A1"/>
    <w:rsid w:val="0009439B"/>
    <w:rsid w:val="000B0125"/>
    <w:rsid w:val="000B3827"/>
    <w:rsid w:val="000B4013"/>
    <w:rsid w:val="000B42F6"/>
    <w:rsid w:val="000B790D"/>
    <w:rsid w:val="000B7DDC"/>
    <w:rsid w:val="000C1BF2"/>
    <w:rsid w:val="000D0A2E"/>
    <w:rsid w:val="000D4C35"/>
    <w:rsid w:val="000E785A"/>
    <w:rsid w:val="0010467D"/>
    <w:rsid w:val="001078C1"/>
    <w:rsid w:val="001078D1"/>
    <w:rsid w:val="0012473C"/>
    <w:rsid w:val="001350C2"/>
    <w:rsid w:val="00137429"/>
    <w:rsid w:val="00143012"/>
    <w:rsid w:val="00152736"/>
    <w:rsid w:val="00155698"/>
    <w:rsid w:val="00161363"/>
    <w:rsid w:val="0017082E"/>
    <w:rsid w:val="001717F6"/>
    <w:rsid w:val="0017406D"/>
    <w:rsid w:val="00176B25"/>
    <w:rsid w:val="001867FD"/>
    <w:rsid w:val="00194249"/>
    <w:rsid w:val="00197FE7"/>
    <w:rsid w:val="001A4483"/>
    <w:rsid w:val="001C038C"/>
    <w:rsid w:val="001C3421"/>
    <w:rsid w:val="001E3FE7"/>
    <w:rsid w:val="001E4256"/>
    <w:rsid w:val="001F4FD2"/>
    <w:rsid w:val="0020383D"/>
    <w:rsid w:val="002076EE"/>
    <w:rsid w:val="0023157C"/>
    <w:rsid w:val="002324F0"/>
    <w:rsid w:val="00245248"/>
    <w:rsid w:val="0025300C"/>
    <w:rsid w:val="0025553F"/>
    <w:rsid w:val="00257379"/>
    <w:rsid w:val="00266FBD"/>
    <w:rsid w:val="00281213"/>
    <w:rsid w:val="00281EDB"/>
    <w:rsid w:val="002A4222"/>
    <w:rsid w:val="002C394E"/>
    <w:rsid w:val="002C6FD7"/>
    <w:rsid w:val="002D6C9A"/>
    <w:rsid w:val="002E70E6"/>
    <w:rsid w:val="00320199"/>
    <w:rsid w:val="00334590"/>
    <w:rsid w:val="00340B1C"/>
    <w:rsid w:val="003679C6"/>
    <w:rsid w:val="00385903"/>
    <w:rsid w:val="00387135"/>
    <w:rsid w:val="00397F90"/>
    <w:rsid w:val="003B0EEE"/>
    <w:rsid w:val="003B1DB7"/>
    <w:rsid w:val="003C05D0"/>
    <w:rsid w:val="003C3375"/>
    <w:rsid w:val="003C715C"/>
    <w:rsid w:val="003D3395"/>
    <w:rsid w:val="003E4BFA"/>
    <w:rsid w:val="003F7A79"/>
    <w:rsid w:val="00401B4D"/>
    <w:rsid w:val="0041066A"/>
    <w:rsid w:val="00413518"/>
    <w:rsid w:val="00413E25"/>
    <w:rsid w:val="00422CE4"/>
    <w:rsid w:val="004424B3"/>
    <w:rsid w:val="00444ED1"/>
    <w:rsid w:val="00445719"/>
    <w:rsid w:val="00446353"/>
    <w:rsid w:val="00462126"/>
    <w:rsid w:val="004621FD"/>
    <w:rsid w:val="004653B2"/>
    <w:rsid w:val="00467B57"/>
    <w:rsid w:val="004708EA"/>
    <w:rsid w:val="004844C1"/>
    <w:rsid w:val="00484BB8"/>
    <w:rsid w:val="004B07F9"/>
    <w:rsid w:val="004B53A1"/>
    <w:rsid w:val="004B6071"/>
    <w:rsid w:val="004C2CBA"/>
    <w:rsid w:val="004C36BA"/>
    <w:rsid w:val="004C7438"/>
    <w:rsid w:val="004E5A35"/>
    <w:rsid w:val="00510E06"/>
    <w:rsid w:val="00520D4C"/>
    <w:rsid w:val="00533ADE"/>
    <w:rsid w:val="00536246"/>
    <w:rsid w:val="0053643B"/>
    <w:rsid w:val="00556353"/>
    <w:rsid w:val="005644B8"/>
    <w:rsid w:val="005647F0"/>
    <w:rsid w:val="0057229D"/>
    <w:rsid w:val="005906B6"/>
    <w:rsid w:val="00590E2E"/>
    <w:rsid w:val="005955FE"/>
    <w:rsid w:val="0059607F"/>
    <w:rsid w:val="005A7AAF"/>
    <w:rsid w:val="005B25C9"/>
    <w:rsid w:val="005B31B0"/>
    <w:rsid w:val="005B7EE8"/>
    <w:rsid w:val="005C10B6"/>
    <w:rsid w:val="005C4C2D"/>
    <w:rsid w:val="005C65B9"/>
    <w:rsid w:val="005D097C"/>
    <w:rsid w:val="005E2764"/>
    <w:rsid w:val="005E29D5"/>
    <w:rsid w:val="005E63E0"/>
    <w:rsid w:val="005F1444"/>
    <w:rsid w:val="006006DF"/>
    <w:rsid w:val="00601784"/>
    <w:rsid w:val="00604B48"/>
    <w:rsid w:val="006123F0"/>
    <w:rsid w:val="00615041"/>
    <w:rsid w:val="0061678D"/>
    <w:rsid w:val="00621276"/>
    <w:rsid w:val="006249A4"/>
    <w:rsid w:val="00631374"/>
    <w:rsid w:val="00631694"/>
    <w:rsid w:val="00632101"/>
    <w:rsid w:val="00642FCA"/>
    <w:rsid w:val="006459ED"/>
    <w:rsid w:val="0065151C"/>
    <w:rsid w:val="006553D8"/>
    <w:rsid w:val="00671BC3"/>
    <w:rsid w:val="00673B4A"/>
    <w:rsid w:val="0069020E"/>
    <w:rsid w:val="006A7760"/>
    <w:rsid w:val="006B04ED"/>
    <w:rsid w:val="006B4154"/>
    <w:rsid w:val="006C1546"/>
    <w:rsid w:val="006C2CD3"/>
    <w:rsid w:val="006D0CF8"/>
    <w:rsid w:val="006F61DC"/>
    <w:rsid w:val="00700AE9"/>
    <w:rsid w:val="007015CC"/>
    <w:rsid w:val="00703432"/>
    <w:rsid w:val="00704A70"/>
    <w:rsid w:val="00716987"/>
    <w:rsid w:val="007218EA"/>
    <w:rsid w:val="00723172"/>
    <w:rsid w:val="0074020F"/>
    <w:rsid w:val="00741A39"/>
    <w:rsid w:val="007440F6"/>
    <w:rsid w:val="00751D58"/>
    <w:rsid w:val="00752657"/>
    <w:rsid w:val="00765EF5"/>
    <w:rsid w:val="007705F7"/>
    <w:rsid w:val="00770EC1"/>
    <w:rsid w:val="00782B93"/>
    <w:rsid w:val="007858E2"/>
    <w:rsid w:val="00790F10"/>
    <w:rsid w:val="00796E52"/>
    <w:rsid w:val="007B0DB3"/>
    <w:rsid w:val="007B11E0"/>
    <w:rsid w:val="007B5F2A"/>
    <w:rsid w:val="007B69FD"/>
    <w:rsid w:val="007B74B7"/>
    <w:rsid w:val="007C3F0C"/>
    <w:rsid w:val="007D535C"/>
    <w:rsid w:val="007F73FB"/>
    <w:rsid w:val="00820409"/>
    <w:rsid w:val="00824F76"/>
    <w:rsid w:val="00825F84"/>
    <w:rsid w:val="00830728"/>
    <w:rsid w:val="00833CD5"/>
    <w:rsid w:val="00862695"/>
    <w:rsid w:val="008675B3"/>
    <w:rsid w:val="0087378C"/>
    <w:rsid w:val="00873F2B"/>
    <w:rsid w:val="00883DA0"/>
    <w:rsid w:val="00886853"/>
    <w:rsid w:val="00890A0F"/>
    <w:rsid w:val="008919A1"/>
    <w:rsid w:val="00893779"/>
    <w:rsid w:val="008951E4"/>
    <w:rsid w:val="00897BDE"/>
    <w:rsid w:val="008B07D3"/>
    <w:rsid w:val="008B4F26"/>
    <w:rsid w:val="008D0904"/>
    <w:rsid w:val="008D6A4A"/>
    <w:rsid w:val="008E3AD8"/>
    <w:rsid w:val="008F07A1"/>
    <w:rsid w:val="009018BC"/>
    <w:rsid w:val="00907B8C"/>
    <w:rsid w:val="00925229"/>
    <w:rsid w:val="00925E1A"/>
    <w:rsid w:val="009405C4"/>
    <w:rsid w:val="00942A3C"/>
    <w:rsid w:val="00946E4A"/>
    <w:rsid w:val="00964877"/>
    <w:rsid w:val="009661B9"/>
    <w:rsid w:val="00973F14"/>
    <w:rsid w:val="00977B7F"/>
    <w:rsid w:val="0099067C"/>
    <w:rsid w:val="00990DFB"/>
    <w:rsid w:val="0099317F"/>
    <w:rsid w:val="0099342F"/>
    <w:rsid w:val="0099667D"/>
    <w:rsid w:val="009A6185"/>
    <w:rsid w:val="009C11CF"/>
    <w:rsid w:val="009C17C7"/>
    <w:rsid w:val="009D1AC0"/>
    <w:rsid w:val="009D4279"/>
    <w:rsid w:val="009D6F3A"/>
    <w:rsid w:val="009D6FD7"/>
    <w:rsid w:val="009E4DFB"/>
    <w:rsid w:val="009F18B4"/>
    <w:rsid w:val="00A0424D"/>
    <w:rsid w:val="00A100CB"/>
    <w:rsid w:val="00A12617"/>
    <w:rsid w:val="00A15D66"/>
    <w:rsid w:val="00A20ACA"/>
    <w:rsid w:val="00A2384F"/>
    <w:rsid w:val="00A33F5A"/>
    <w:rsid w:val="00A45745"/>
    <w:rsid w:val="00A633D9"/>
    <w:rsid w:val="00A66A15"/>
    <w:rsid w:val="00A70FCB"/>
    <w:rsid w:val="00A75917"/>
    <w:rsid w:val="00AA360C"/>
    <w:rsid w:val="00AA5397"/>
    <w:rsid w:val="00AA71C3"/>
    <w:rsid w:val="00AC25D3"/>
    <w:rsid w:val="00AE671D"/>
    <w:rsid w:val="00AF2D60"/>
    <w:rsid w:val="00B00BB0"/>
    <w:rsid w:val="00B06BCE"/>
    <w:rsid w:val="00B23E5D"/>
    <w:rsid w:val="00B309D5"/>
    <w:rsid w:val="00B30C77"/>
    <w:rsid w:val="00B330C4"/>
    <w:rsid w:val="00B33AE0"/>
    <w:rsid w:val="00B400B9"/>
    <w:rsid w:val="00B74D5C"/>
    <w:rsid w:val="00B828B0"/>
    <w:rsid w:val="00B85690"/>
    <w:rsid w:val="00B87B7B"/>
    <w:rsid w:val="00B9714D"/>
    <w:rsid w:val="00BA2590"/>
    <w:rsid w:val="00BB5D44"/>
    <w:rsid w:val="00BB7FB2"/>
    <w:rsid w:val="00BC0E3F"/>
    <w:rsid w:val="00BE41D2"/>
    <w:rsid w:val="00BF02C7"/>
    <w:rsid w:val="00BF5548"/>
    <w:rsid w:val="00C13318"/>
    <w:rsid w:val="00C24222"/>
    <w:rsid w:val="00C2497C"/>
    <w:rsid w:val="00C329A0"/>
    <w:rsid w:val="00C3586B"/>
    <w:rsid w:val="00C36B20"/>
    <w:rsid w:val="00C401CC"/>
    <w:rsid w:val="00C41752"/>
    <w:rsid w:val="00C4412F"/>
    <w:rsid w:val="00C51385"/>
    <w:rsid w:val="00C532E8"/>
    <w:rsid w:val="00C679D0"/>
    <w:rsid w:val="00C72478"/>
    <w:rsid w:val="00C7270A"/>
    <w:rsid w:val="00C9636C"/>
    <w:rsid w:val="00CA5A7C"/>
    <w:rsid w:val="00CC4EB0"/>
    <w:rsid w:val="00CC525A"/>
    <w:rsid w:val="00CD0464"/>
    <w:rsid w:val="00CE506C"/>
    <w:rsid w:val="00CF116C"/>
    <w:rsid w:val="00D060C5"/>
    <w:rsid w:val="00D100F0"/>
    <w:rsid w:val="00D17CCC"/>
    <w:rsid w:val="00D21ADE"/>
    <w:rsid w:val="00D264A2"/>
    <w:rsid w:val="00D32BE2"/>
    <w:rsid w:val="00D41F19"/>
    <w:rsid w:val="00D43A59"/>
    <w:rsid w:val="00D57204"/>
    <w:rsid w:val="00D75AE1"/>
    <w:rsid w:val="00D771BB"/>
    <w:rsid w:val="00D8124F"/>
    <w:rsid w:val="00D86133"/>
    <w:rsid w:val="00D973F2"/>
    <w:rsid w:val="00DA3B0E"/>
    <w:rsid w:val="00DA5F30"/>
    <w:rsid w:val="00DA7C7E"/>
    <w:rsid w:val="00DB0170"/>
    <w:rsid w:val="00DB0B8A"/>
    <w:rsid w:val="00DB43E6"/>
    <w:rsid w:val="00DC004D"/>
    <w:rsid w:val="00DC367E"/>
    <w:rsid w:val="00DC7006"/>
    <w:rsid w:val="00DD001E"/>
    <w:rsid w:val="00DE4B3E"/>
    <w:rsid w:val="00DF05C0"/>
    <w:rsid w:val="00DF3C02"/>
    <w:rsid w:val="00DF68DE"/>
    <w:rsid w:val="00E14563"/>
    <w:rsid w:val="00E22C9C"/>
    <w:rsid w:val="00E30949"/>
    <w:rsid w:val="00E3414A"/>
    <w:rsid w:val="00E37F00"/>
    <w:rsid w:val="00E511E2"/>
    <w:rsid w:val="00E600A3"/>
    <w:rsid w:val="00E628A3"/>
    <w:rsid w:val="00E65913"/>
    <w:rsid w:val="00E75B24"/>
    <w:rsid w:val="00E8193B"/>
    <w:rsid w:val="00EA35AD"/>
    <w:rsid w:val="00EA56DE"/>
    <w:rsid w:val="00EB0B79"/>
    <w:rsid w:val="00EB5753"/>
    <w:rsid w:val="00EC4BF6"/>
    <w:rsid w:val="00ED421F"/>
    <w:rsid w:val="00EF0709"/>
    <w:rsid w:val="00EF4CBF"/>
    <w:rsid w:val="00F02368"/>
    <w:rsid w:val="00F21794"/>
    <w:rsid w:val="00F25D18"/>
    <w:rsid w:val="00F333ED"/>
    <w:rsid w:val="00F35D38"/>
    <w:rsid w:val="00F36120"/>
    <w:rsid w:val="00F40682"/>
    <w:rsid w:val="00F428D9"/>
    <w:rsid w:val="00F44940"/>
    <w:rsid w:val="00F530DD"/>
    <w:rsid w:val="00F53F10"/>
    <w:rsid w:val="00F6546C"/>
    <w:rsid w:val="00F844B7"/>
    <w:rsid w:val="00F84D2B"/>
    <w:rsid w:val="00F90CAB"/>
    <w:rsid w:val="00FA2078"/>
    <w:rsid w:val="00FA2993"/>
    <w:rsid w:val="00FA437C"/>
    <w:rsid w:val="00FB079A"/>
    <w:rsid w:val="00FB2580"/>
    <w:rsid w:val="00FC5FB9"/>
    <w:rsid w:val="00FD29F6"/>
    <w:rsid w:val="00FD7572"/>
    <w:rsid w:val="00FE13AB"/>
    <w:rsid w:val="00FF020D"/>
    <w:rsid w:val="00FF26D2"/>
    <w:rsid w:val="00FF46DF"/>
    <w:rsid w:val="00FF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1520"/>
  <w15:docId w15:val="{7BA13FD2-B281-4EC2-A624-25D7285E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A4"/>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rPr>
      <w:sz w:val="16"/>
      <w:szCs w:val="16"/>
    </w:rPr>
  </w:style>
  <w:style w:type="paragraph" w:styleId="Textcomentariu">
    <w:name w:val="annotation text"/>
    <w:basedOn w:val="Normal"/>
    <w:link w:val="TextcomentariuCaracter"/>
    <w:pPr>
      <w:ind w:firstLine="0"/>
      <w:jc w:val="left"/>
    </w:pPr>
    <w:rPr>
      <w:lang w:val="ro-RO" w:eastAsia="ru-RU"/>
    </w:rPr>
  </w:style>
  <w:style w:type="character" w:customStyle="1" w:styleId="TextcomentariuCaracter">
    <w:name w:val="Text comentariu Caracter"/>
    <w:basedOn w:val="Fontdeparagrafimplicit"/>
    <w:link w:val="Textcomentariu"/>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 w:type="character" w:styleId="HyperlinkParcurs">
    <w:name w:val="FollowedHyperlink"/>
    <w:basedOn w:val="Fontdeparagrafimplicit"/>
    <w:uiPriority w:val="99"/>
    <w:semiHidden/>
    <w:unhideWhenUsed/>
    <w:rsid w:val="00410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2421">
      <w:bodyDiv w:val="1"/>
      <w:marLeft w:val="0"/>
      <w:marRight w:val="0"/>
      <w:marTop w:val="0"/>
      <w:marBottom w:val="0"/>
      <w:divBdr>
        <w:top w:val="none" w:sz="0" w:space="0" w:color="auto"/>
        <w:left w:val="none" w:sz="0" w:space="0" w:color="auto"/>
        <w:bottom w:val="none" w:sz="0" w:space="0" w:color="auto"/>
        <w:right w:val="none" w:sz="0" w:space="0" w:color="auto"/>
      </w:divBdr>
    </w:div>
    <w:div w:id="612057365">
      <w:bodyDiv w:val="1"/>
      <w:marLeft w:val="0"/>
      <w:marRight w:val="0"/>
      <w:marTop w:val="0"/>
      <w:marBottom w:val="0"/>
      <w:divBdr>
        <w:top w:val="none" w:sz="0" w:space="0" w:color="auto"/>
        <w:left w:val="none" w:sz="0" w:space="0" w:color="auto"/>
        <w:bottom w:val="none" w:sz="0" w:space="0" w:color="auto"/>
        <w:right w:val="none" w:sz="0" w:space="0" w:color="auto"/>
      </w:divBdr>
    </w:div>
    <w:div w:id="19168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piu.md/acord-de-mediu-btb-lea-400-kv-vulcanesti-chisinau-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piu.md/en-draft-esia-esmp-specific-for-extension-of-the-vulcanesti-ss-april-2025.pdf" TargetMode="External"/><Relationship Id="rId17"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hyperlink" Target="https://particip.gov.md/ro/document/stages/proiectul-hotararii-guvernului-privind-modificarea-hotararii-de-guvern-nr-10372023-cu-privire-la-exproprierea-bunurilor-imobile-situate-pe-amplasamentul-lucrarilor-de-interes-national-de-constructie-a-liniei-electrice-aeriene-lea-400-kv-de-transport-al-energiei-electrice-vulcanesti-chisinau/144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md/cautare/getResults?doc_id=141172&amp;lang=ro" TargetMode="External"/><Relationship Id="rId5" Type="http://schemas.openxmlformats.org/officeDocument/2006/relationships/numbering" Target="numbering.xml"/><Relationship Id="rId15" Type="http://schemas.openxmlformats.org/officeDocument/2006/relationships/hyperlink" Target="http://www.particip.gov.m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ministerul-energiei-in-conformitate-cu-prevederile-art-20-alin-1-din-legea-cu-privire-la-actele-normative-nr-1002017-anunta-despre-initierea-procesului-de-elaborare-a-proiectului-hotararii-guvernului-privind-modificarea-si-completarea-hotararii-de-guvern-nr-10372023-cu-privire-la-exproprierea-pentru-cauza-de-utilitate-publica-a-bunurilor-imobile-a-dreptului-de-folosinta-asupra-bunurilor-imobile-si-a-administrarii-bunurilor-imobile-situate-pe-amplasamentul-lucrarilor-de-interes-national-de-constructie-a-liniei-electrice-aeriene-lea-400-kv-de-transport-al-energiei-electrice-vulcanesti-chisinau/1439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AC218-F79F-4F81-82EB-EE371D27FE58}">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2731</Words>
  <Characters>15573</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Gheorghe Vîrlan</cp:lastModifiedBy>
  <cp:revision>15</cp:revision>
  <cp:lastPrinted>2024-09-23T06:40:00Z</cp:lastPrinted>
  <dcterms:created xsi:type="dcterms:W3CDTF">2025-05-06T13:42:00Z</dcterms:created>
  <dcterms:modified xsi:type="dcterms:W3CDTF">2025-05-23T07:21:00Z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