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9F" w:rsidRPr="00FB5DEC" w:rsidRDefault="00D32F9F" w:rsidP="003C7B5C">
      <w:pPr>
        <w:spacing w:line="276" w:lineRule="auto"/>
        <w:ind w:firstLine="720"/>
        <w:jc w:val="center"/>
        <w:rPr>
          <w:b/>
          <w:bCs/>
          <w:sz w:val="32"/>
          <w:szCs w:val="32"/>
          <w:lang w:val="ro-RO"/>
        </w:rPr>
      </w:pPr>
      <w:r w:rsidRPr="00FB5DEC">
        <w:rPr>
          <w:b/>
          <w:bCs/>
          <w:sz w:val="32"/>
          <w:szCs w:val="32"/>
          <w:lang w:val="ro-RO"/>
        </w:rPr>
        <w:t>Notă</w:t>
      </w:r>
      <w:r>
        <w:rPr>
          <w:b/>
          <w:bCs/>
          <w:sz w:val="32"/>
          <w:szCs w:val="32"/>
          <w:lang w:val="ro-RO"/>
        </w:rPr>
        <w:t xml:space="preserve"> de argumentare</w:t>
      </w:r>
    </w:p>
    <w:p w:rsidR="00D32F9F" w:rsidRDefault="00D32F9F" w:rsidP="003C7B5C">
      <w:pPr>
        <w:pStyle w:val="tt"/>
        <w:spacing w:line="276" w:lineRule="auto"/>
        <w:rPr>
          <w:b w:val="0"/>
          <w:bCs w:val="0"/>
          <w:sz w:val="28"/>
          <w:szCs w:val="28"/>
          <w:lang w:val="ro-RO"/>
        </w:rPr>
      </w:pPr>
      <w:r w:rsidRPr="009820CC">
        <w:rPr>
          <w:b w:val="0"/>
          <w:bCs w:val="0"/>
          <w:sz w:val="28"/>
          <w:szCs w:val="28"/>
          <w:lang w:val="ro-RO"/>
        </w:rPr>
        <w:t>la proiectul de hotărîre a Guvernului „</w:t>
      </w:r>
      <w:r>
        <w:rPr>
          <w:b w:val="0"/>
          <w:bCs w:val="0"/>
          <w:sz w:val="28"/>
          <w:szCs w:val="28"/>
          <w:lang w:val="ro-RO"/>
        </w:rPr>
        <w:t>C</w:t>
      </w:r>
      <w:r w:rsidRPr="009820CC">
        <w:rPr>
          <w:b w:val="0"/>
          <w:bCs w:val="0"/>
          <w:sz w:val="28"/>
          <w:szCs w:val="28"/>
          <w:lang w:val="ro-RO"/>
        </w:rPr>
        <w:t xml:space="preserve">u privire </w:t>
      </w:r>
      <w:r>
        <w:rPr>
          <w:b w:val="0"/>
          <w:bCs w:val="0"/>
          <w:sz w:val="28"/>
          <w:szCs w:val="28"/>
          <w:lang w:val="ro-RO"/>
        </w:rPr>
        <w:t>la modificarea şi completarea</w:t>
      </w:r>
    </w:p>
    <w:p w:rsidR="00D32F9F" w:rsidRPr="009820CC" w:rsidRDefault="00D32F9F" w:rsidP="003C7B5C">
      <w:pPr>
        <w:pStyle w:val="tt"/>
        <w:spacing w:line="276" w:lineRule="auto"/>
        <w:rPr>
          <w:b w:val="0"/>
          <w:bCs w:val="0"/>
          <w:sz w:val="28"/>
          <w:szCs w:val="28"/>
          <w:lang w:val="ro-RO"/>
        </w:rPr>
      </w:pPr>
      <w:r w:rsidRPr="009820CC">
        <w:rPr>
          <w:b w:val="0"/>
          <w:bCs w:val="0"/>
          <w:sz w:val="28"/>
          <w:szCs w:val="28"/>
          <w:lang w:val="ro-RO"/>
        </w:rPr>
        <w:t xml:space="preserve"> </w:t>
      </w:r>
      <w:r>
        <w:rPr>
          <w:b w:val="0"/>
          <w:bCs w:val="0"/>
          <w:sz w:val="28"/>
          <w:szCs w:val="28"/>
          <w:lang w:val="ro-RO"/>
        </w:rPr>
        <w:t>H</w:t>
      </w:r>
      <w:r w:rsidRPr="009820CC">
        <w:rPr>
          <w:b w:val="0"/>
          <w:bCs w:val="0"/>
          <w:sz w:val="28"/>
          <w:szCs w:val="28"/>
          <w:lang w:val="ro-RO"/>
        </w:rPr>
        <w:t>otărîri</w:t>
      </w:r>
      <w:r>
        <w:rPr>
          <w:b w:val="0"/>
          <w:bCs w:val="0"/>
          <w:sz w:val="28"/>
          <w:szCs w:val="28"/>
          <w:lang w:val="ro-RO"/>
        </w:rPr>
        <w:t xml:space="preserve">i </w:t>
      </w:r>
      <w:r w:rsidRPr="009820CC">
        <w:rPr>
          <w:b w:val="0"/>
          <w:bCs w:val="0"/>
          <w:sz w:val="28"/>
          <w:szCs w:val="28"/>
          <w:lang w:val="ro-RO"/>
        </w:rPr>
        <w:t xml:space="preserve"> Guvernului</w:t>
      </w:r>
      <w:r>
        <w:rPr>
          <w:b w:val="0"/>
          <w:bCs w:val="0"/>
          <w:sz w:val="28"/>
          <w:szCs w:val="28"/>
          <w:lang w:val="ro-RO"/>
        </w:rPr>
        <w:t xml:space="preserve"> nr.1265 din 14 noiembrie 2008</w:t>
      </w:r>
      <w:r w:rsidRPr="009820CC">
        <w:rPr>
          <w:b w:val="0"/>
          <w:bCs w:val="0"/>
          <w:sz w:val="28"/>
          <w:szCs w:val="28"/>
          <w:lang w:val="ro-RO"/>
        </w:rPr>
        <w:t>”</w:t>
      </w:r>
    </w:p>
    <w:p w:rsidR="00D32F9F" w:rsidRDefault="00D32F9F" w:rsidP="003C7B5C">
      <w:pPr>
        <w:spacing w:line="276" w:lineRule="auto"/>
        <w:rPr>
          <w:sz w:val="28"/>
          <w:szCs w:val="28"/>
          <w:lang w:val="ro-RO"/>
        </w:rPr>
      </w:pPr>
    </w:p>
    <w:p w:rsidR="00C648AF" w:rsidRPr="00595065" w:rsidRDefault="00C648AF" w:rsidP="00595065">
      <w:pPr>
        <w:numPr>
          <w:ilvl w:val="0"/>
          <w:numId w:val="4"/>
        </w:numPr>
        <w:spacing w:line="276" w:lineRule="auto"/>
        <w:rPr>
          <w:sz w:val="28"/>
          <w:szCs w:val="28"/>
          <w:lang w:val="ro-RO"/>
        </w:rPr>
      </w:pPr>
      <w:r w:rsidRPr="00595065">
        <w:rPr>
          <w:b/>
          <w:sz w:val="28"/>
          <w:szCs w:val="28"/>
          <w:lang w:val="ro-RO"/>
        </w:rPr>
        <w:t>Condiţiile ce au impus elaborarea proiectului şi scopul urmărit</w:t>
      </w:r>
    </w:p>
    <w:p w:rsidR="00D32F9F" w:rsidRPr="008D1AC8" w:rsidRDefault="00D32F9F" w:rsidP="00275E0F">
      <w:pPr>
        <w:pStyle w:val="tt"/>
        <w:spacing w:line="276" w:lineRule="auto"/>
        <w:ind w:firstLine="540"/>
        <w:jc w:val="both"/>
        <w:rPr>
          <w:b w:val="0"/>
          <w:bCs w:val="0"/>
          <w:sz w:val="28"/>
          <w:szCs w:val="28"/>
          <w:lang w:val="ro-RO"/>
        </w:rPr>
      </w:pPr>
      <w:r w:rsidRPr="008D1AC8">
        <w:rPr>
          <w:b w:val="0"/>
          <w:bCs w:val="0"/>
          <w:sz w:val="28"/>
          <w:szCs w:val="28"/>
          <w:lang w:val="ro-RO"/>
        </w:rPr>
        <w:t>Proiectul Hotărîrii de Guvern „Cu privire la modificarea</w:t>
      </w:r>
      <w:r>
        <w:rPr>
          <w:b w:val="0"/>
          <w:bCs w:val="0"/>
          <w:sz w:val="28"/>
          <w:szCs w:val="28"/>
          <w:lang w:val="ro-RO"/>
        </w:rPr>
        <w:t xml:space="preserve"> şi completarea</w:t>
      </w:r>
      <w:r w:rsidRPr="008D1AC8">
        <w:rPr>
          <w:b w:val="0"/>
          <w:bCs w:val="0"/>
          <w:sz w:val="28"/>
          <w:szCs w:val="28"/>
          <w:lang w:val="ro-RO"/>
        </w:rPr>
        <w:t xml:space="preserve"> Hotărîrii Guvernului nr.1265 din 14 noiembrie 2008</w:t>
      </w:r>
      <w:r w:rsidRPr="008D5817">
        <w:rPr>
          <w:b w:val="0"/>
          <w:bCs w:val="0"/>
          <w:sz w:val="28"/>
          <w:szCs w:val="28"/>
          <w:lang w:val="ro-RO"/>
        </w:rPr>
        <w:t>”</w:t>
      </w:r>
      <w:r w:rsidRPr="008D1AC8">
        <w:rPr>
          <w:sz w:val="28"/>
          <w:szCs w:val="28"/>
          <w:lang w:val="ro-RO"/>
        </w:rPr>
        <w:t xml:space="preserve">  </w:t>
      </w:r>
      <w:r>
        <w:rPr>
          <w:rStyle w:val="a9"/>
          <w:sz w:val="28"/>
          <w:szCs w:val="28"/>
          <w:lang w:val="ro-RO"/>
        </w:rPr>
        <w:t xml:space="preserve">a fost elaborat </w:t>
      </w:r>
      <w:r w:rsidRPr="008D1AC8">
        <w:rPr>
          <w:rStyle w:val="a9"/>
          <w:sz w:val="28"/>
          <w:szCs w:val="28"/>
          <w:lang w:val="ro-RO"/>
        </w:rPr>
        <w:t xml:space="preserve">în scopul </w:t>
      </w:r>
      <w:r>
        <w:rPr>
          <w:b w:val="0"/>
          <w:bCs w:val="0"/>
          <w:sz w:val="28"/>
          <w:szCs w:val="28"/>
          <w:lang w:val="ro-RO"/>
        </w:rPr>
        <w:t>asigurării realizării procesului</w:t>
      </w:r>
      <w:r w:rsidRPr="008D1AC8">
        <w:rPr>
          <w:b w:val="0"/>
          <w:bCs w:val="0"/>
          <w:sz w:val="28"/>
          <w:szCs w:val="28"/>
          <w:lang w:val="ro-RO"/>
        </w:rPr>
        <w:t xml:space="preserve"> de activitate la un nivel </w:t>
      </w:r>
      <w:r>
        <w:rPr>
          <w:b w:val="0"/>
          <w:bCs w:val="0"/>
          <w:sz w:val="28"/>
          <w:szCs w:val="28"/>
          <w:lang w:val="ro-RO"/>
        </w:rPr>
        <w:t xml:space="preserve">mai </w:t>
      </w:r>
      <w:r w:rsidRPr="008D1AC8">
        <w:rPr>
          <w:b w:val="0"/>
          <w:bCs w:val="0"/>
          <w:sz w:val="28"/>
          <w:szCs w:val="28"/>
          <w:lang w:val="ro-RO"/>
        </w:rPr>
        <w:t>înalt şi calitativ.</w:t>
      </w:r>
    </w:p>
    <w:p w:rsidR="00D32F9F" w:rsidRDefault="00D32F9F" w:rsidP="003C7B5C">
      <w:pPr>
        <w:spacing w:line="276" w:lineRule="auto"/>
        <w:ind w:firstLine="540"/>
        <w:jc w:val="both"/>
        <w:rPr>
          <w:sz w:val="28"/>
          <w:szCs w:val="28"/>
          <w:lang w:val="ro-RO"/>
        </w:rPr>
      </w:pPr>
      <w:r>
        <w:rPr>
          <w:sz w:val="28"/>
          <w:szCs w:val="28"/>
          <w:lang w:val="ro-RO" w:eastAsia="en-US"/>
        </w:rPr>
        <w:t xml:space="preserve">În linii mari, amendamentele propuse comportă un caracter de redacţie, îmbunătăţire, ajustare şi clarificare. Proiectul de hotărîre nu conţine amendamente de natură conceptuală, care ar conduce la modificări de esenţă ale activităţii </w:t>
      </w:r>
      <w:r w:rsidRPr="00E2731C">
        <w:rPr>
          <w:sz w:val="28"/>
          <w:szCs w:val="28"/>
          <w:lang w:val="ro-RO"/>
        </w:rPr>
        <w:t>Ministerului Finanțelor.</w:t>
      </w:r>
    </w:p>
    <w:p w:rsidR="00D811CC" w:rsidRDefault="00D811CC" w:rsidP="003C7B5C">
      <w:pPr>
        <w:spacing w:line="276" w:lineRule="auto"/>
        <w:ind w:firstLine="540"/>
        <w:jc w:val="both"/>
        <w:rPr>
          <w:sz w:val="28"/>
          <w:szCs w:val="28"/>
          <w:lang w:val="ro-RO"/>
        </w:rPr>
      </w:pPr>
    </w:p>
    <w:p w:rsidR="00D32F9F" w:rsidRPr="00B150C9" w:rsidRDefault="00C648AF" w:rsidP="00595065">
      <w:pPr>
        <w:spacing w:line="276" w:lineRule="auto"/>
        <w:ind w:firstLine="540"/>
        <w:jc w:val="both"/>
        <w:rPr>
          <w:sz w:val="28"/>
          <w:szCs w:val="28"/>
          <w:lang w:val="ro-RO"/>
        </w:rPr>
      </w:pPr>
      <w:r w:rsidRPr="00A440A4">
        <w:rPr>
          <w:b/>
          <w:sz w:val="28"/>
          <w:szCs w:val="28"/>
          <w:lang w:val="ro-RO"/>
        </w:rPr>
        <w:t>1.1.</w:t>
      </w:r>
      <w:r>
        <w:rPr>
          <w:sz w:val="28"/>
          <w:szCs w:val="28"/>
          <w:lang w:val="ro-RO"/>
        </w:rPr>
        <w:t xml:space="preserve"> </w:t>
      </w:r>
      <w:r w:rsidR="00D32F9F" w:rsidRPr="00B150C9">
        <w:rPr>
          <w:sz w:val="28"/>
          <w:szCs w:val="28"/>
          <w:lang w:val="ro-RO"/>
        </w:rPr>
        <w:t>Proiectul în cauză propune divizarea Direcției finanțele economiei naționale, cheltuieli capital și achiziții publice prin separarea funcției de elaborare a politicilor în domeniul achizițiilor publice, prin urmare crearea unei subdiviziuni autonome. Elaborarea politicii în domeniul achizițiilor publice precum și armonizarea acesteia pînă în prezent este una din funcțiile Secției planificare, analiză financiară și achiziții publice din cadrul direcției menționate, creată din 4 unități, dintre care doar două au inclusiv acest obiectiv.</w:t>
      </w:r>
    </w:p>
    <w:p w:rsidR="00D32F9F" w:rsidRPr="00B150C9" w:rsidRDefault="00D32F9F" w:rsidP="00595065">
      <w:pPr>
        <w:spacing w:line="276" w:lineRule="auto"/>
        <w:ind w:firstLine="540"/>
        <w:jc w:val="both"/>
        <w:rPr>
          <w:sz w:val="28"/>
          <w:szCs w:val="28"/>
          <w:lang w:val="ro-RO"/>
        </w:rPr>
      </w:pPr>
      <w:r w:rsidRPr="00B150C9">
        <w:rPr>
          <w:sz w:val="28"/>
          <w:szCs w:val="28"/>
          <w:lang w:val="ro-RO"/>
        </w:rPr>
        <w:t>În scopul armonizării legislației în domeniul achizițiilor publice, pînă în anul 2011, au fost antrenați experți prin intermediul proiectului Twining „Sprijin pentru sistemul de achiziții publice în Republica Moldova”, care în comun cu  Ministerul Finanțelor (Direcția finanțele economiei naționale, cheltuieli capital și achiziții publice) și Agenția Achiziții Publice au elaborat un șir de acte normative și un proiect de armonizare a Legii privind achizițiile publice nr.96-XVI din 13 aprilie 2007 cu prevederile nr. 18/2004/CE, nr. 17/2004/CE, și nr. 66/2007/CE ale Parlamentului European și ale Consiliului.</w:t>
      </w:r>
    </w:p>
    <w:p w:rsidR="00D32F9F" w:rsidRDefault="00D32F9F" w:rsidP="00595065">
      <w:pPr>
        <w:spacing w:line="276" w:lineRule="auto"/>
        <w:ind w:firstLine="540"/>
        <w:jc w:val="both"/>
        <w:rPr>
          <w:sz w:val="28"/>
          <w:szCs w:val="28"/>
          <w:lang w:val="ro-RO"/>
        </w:rPr>
      </w:pPr>
      <w:r w:rsidRPr="00B150C9">
        <w:rPr>
          <w:sz w:val="28"/>
          <w:szCs w:val="28"/>
          <w:lang w:val="ro-RO"/>
        </w:rPr>
        <w:t>Armonizarea legislației reprezintă un proces continuu și necesită eforturi</w:t>
      </w:r>
      <w:r w:rsidR="000A1D01">
        <w:rPr>
          <w:sz w:val="28"/>
          <w:szCs w:val="28"/>
          <w:lang w:val="ro-RO"/>
        </w:rPr>
        <w:t xml:space="preserve"> conjugate</w:t>
      </w:r>
      <w:r w:rsidRPr="00B150C9">
        <w:rPr>
          <w:sz w:val="28"/>
          <w:szCs w:val="28"/>
          <w:lang w:val="ro-RO"/>
        </w:rPr>
        <w:t>, inclusiv consolidarea capacităților instituționale</w:t>
      </w:r>
      <w:r w:rsidR="000A1D01">
        <w:rPr>
          <w:sz w:val="28"/>
          <w:szCs w:val="28"/>
          <w:lang w:val="ro-RO"/>
        </w:rPr>
        <w:t xml:space="preserve">, ceea ce impune </w:t>
      </w:r>
      <w:r w:rsidRPr="00B150C9">
        <w:rPr>
          <w:sz w:val="28"/>
          <w:szCs w:val="28"/>
          <w:lang w:val="ro-RO"/>
        </w:rPr>
        <w:t xml:space="preserve"> crearea subdiviziunii</w:t>
      </w:r>
      <w:r w:rsidR="000A1D01">
        <w:rPr>
          <w:sz w:val="28"/>
          <w:szCs w:val="28"/>
          <w:lang w:val="ro-RO"/>
        </w:rPr>
        <w:t xml:space="preserve"> respective</w:t>
      </w:r>
      <w:r>
        <w:rPr>
          <w:sz w:val="28"/>
          <w:szCs w:val="28"/>
          <w:lang w:val="ro-RO"/>
        </w:rPr>
        <w:t>, care va fi antrenată</w:t>
      </w:r>
      <w:r w:rsidRPr="00B150C9">
        <w:rPr>
          <w:sz w:val="28"/>
          <w:szCs w:val="28"/>
          <w:lang w:val="ro-RO"/>
        </w:rPr>
        <w:t xml:space="preserve"> nemijlocit în procesul de elaborare a politicilor î</w:t>
      </w:r>
      <w:r w:rsidR="000A1D01">
        <w:rPr>
          <w:sz w:val="28"/>
          <w:szCs w:val="28"/>
          <w:lang w:val="ro-RO"/>
        </w:rPr>
        <w:t>n domeniul achizițiilor publice. Cu atît mai mult,</w:t>
      </w:r>
      <w:r w:rsidRPr="00B150C9">
        <w:rPr>
          <w:sz w:val="28"/>
          <w:szCs w:val="28"/>
          <w:lang w:val="ro-RO"/>
        </w:rPr>
        <w:t xml:space="preserve"> la moment</w:t>
      </w:r>
      <w:r w:rsidR="000A1D01">
        <w:rPr>
          <w:sz w:val="28"/>
          <w:szCs w:val="28"/>
          <w:lang w:val="ro-RO"/>
        </w:rPr>
        <w:t>, nu există</w:t>
      </w:r>
      <w:r w:rsidRPr="00B150C9">
        <w:rPr>
          <w:sz w:val="28"/>
          <w:szCs w:val="28"/>
          <w:lang w:val="ro-RO"/>
        </w:rPr>
        <w:t xml:space="preserve"> susținere metodologică</w:t>
      </w:r>
      <w:r w:rsidR="000A1D01">
        <w:rPr>
          <w:sz w:val="28"/>
          <w:szCs w:val="28"/>
          <w:lang w:val="ro-RO"/>
        </w:rPr>
        <w:t>, consultanță</w:t>
      </w:r>
      <w:r w:rsidRPr="00B150C9">
        <w:rPr>
          <w:sz w:val="28"/>
          <w:szCs w:val="28"/>
          <w:lang w:val="ro-RO"/>
        </w:rPr>
        <w:t xml:space="preserve"> din partea a careva parteneri de dezvoltare.</w:t>
      </w:r>
      <w:r>
        <w:rPr>
          <w:sz w:val="28"/>
          <w:szCs w:val="28"/>
          <w:lang w:val="ro-RO"/>
        </w:rPr>
        <w:t xml:space="preserve"> Respectiv, î</w:t>
      </w:r>
      <w:r w:rsidRPr="00C7144E">
        <w:rPr>
          <w:sz w:val="28"/>
          <w:szCs w:val="28"/>
          <w:lang w:val="ro-RO"/>
        </w:rPr>
        <w:t xml:space="preserve">n urma analizei </w:t>
      </w:r>
      <w:r>
        <w:rPr>
          <w:sz w:val="28"/>
          <w:szCs w:val="28"/>
          <w:lang w:val="ro-RO"/>
        </w:rPr>
        <w:t>structurii organizaţion</w:t>
      </w:r>
      <w:r w:rsidR="000A1D01">
        <w:rPr>
          <w:sz w:val="28"/>
          <w:szCs w:val="28"/>
          <w:lang w:val="ro-RO"/>
        </w:rPr>
        <w:t>ale existente a fost identificată</w:t>
      </w:r>
      <w:r>
        <w:rPr>
          <w:sz w:val="28"/>
          <w:szCs w:val="28"/>
          <w:lang w:val="ro-RO"/>
        </w:rPr>
        <w:t xml:space="preserve"> necesitatea divizării Direcţiei </w:t>
      </w:r>
      <w:r w:rsidRPr="004F2891">
        <w:rPr>
          <w:sz w:val="28"/>
          <w:szCs w:val="28"/>
          <w:lang w:val="ro-RO"/>
        </w:rPr>
        <w:t>finanţele economiei naţionale, cheltuieli capitale şi achiziţii publice</w:t>
      </w:r>
      <w:r>
        <w:rPr>
          <w:sz w:val="28"/>
          <w:szCs w:val="28"/>
          <w:lang w:val="ro-RO"/>
        </w:rPr>
        <w:t xml:space="preserve"> în două subdiviziuni autonome separate:</w:t>
      </w:r>
    </w:p>
    <w:p w:rsidR="00D32F9F" w:rsidRPr="00122404" w:rsidRDefault="00D32F9F" w:rsidP="003C7B5C">
      <w:pPr>
        <w:numPr>
          <w:ilvl w:val="0"/>
          <w:numId w:val="2"/>
        </w:numPr>
        <w:spacing w:line="276" w:lineRule="auto"/>
        <w:jc w:val="both"/>
        <w:rPr>
          <w:i/>
          <w:iCs/>
          <w:sz w:val="28"/>
          <w:szCs w:val="28"/>
          <w:lang w:val="ro-RO"/>
        </w:rPr>
      </w:pPr>
      <w:r w:rsidRPr="00122404">
        <w:rPr>
          <w:i/>
          <w:iCs/>
          <w:sz w:val="28"/>
          <w:szCs w:val="28"/>
          <w:lang w:val="ro-RO"/>
        </w:rPr>
        <w:t>Direcţia finanţele economiei naţionale şi cheltuieli capitale</w:t>
      </w:r>
    </w:p>
    <w:p w:rsidR="00D32F9F" w:rsidRPr="00041AFE" w:rsidRDefault="00D32F9F" w:rsidP="003C7B5C">
      <w:pPr>
        <w:numPr>
          <w:ilvl w:val="0"/>
          <w:numId w:val="2"/>
        </w:numPr>
        <w:spacing w:line="276" w:lineRule="auto"/>
        <w:jc w:val="both"/>
        <w:rPr>
          <w:i/>
          <w:iCs/>
          <w:sz w:val="28"/>
          <w:szCs w:val="28"/>
          <w:lang w:val="ro-RO" w:eastAsia="en-US"/>
        </w:rPr>
      </w:pPr>
      <w:r w:rsidRPr="00122404">
        <w:rPr>
          <w:i/>
          <w:iCs/>
          <w:sz w:val="28"/>
          <w:szCs w:val="28"/>
          <w:lang w:val="en-US"/>
        </w:rPr>
        <w:t>Serviciu</w:t>
      </w:r>
      <w:r w:rsidR="000A1D01">
        <w:rPr>
          <w:i/>
          <w:iCs/>
          <w:sz w:val="28"/>
          <w:szCs w:val="28"/>
          <w:lang w:val="en-US"/>
        </w:rPr>
        <w:t>l</w:t>
      </w:r>
      <w:r w:rsidRPr="00122404">
        <w:rPr>
          <w:i/>
          <w:iCs/>
          <w:sz w:val="28"/>
          <w:szCs w:val="28"/>
          <w:lang w:val="en-US"/>
        </w:rPr>
        <w:t xml:space="preserve"> politici a achiziţiilor publice.</w:t>
      </w:r>
    </w:p>
    <w:p w:rsidR="00041AFE" w:rsidRPr="00122404" w:rsidRDefault="00041AFE" w:rsidP="00041AFE">
      <w:pPr>
        <w:spacing w:line="276" w:lineRule="auto"/>
        <w:ind w:left="975"/>
        <w:jc w:val="both"/>
        <w:rPr>
          <w:i/>
          <w:iCs/>
          <w:sz w:val="28"/>
          <w:szCs w:val="28"/>
          <w:lang w:val="ro-RO" w:eastAsia="en-US"/>
        </w:rPr>
      </w:pPr>
    </w:p>
    <w:p w:rsidR="00D32F9F" w:rsidRDefault="00A440A4" w:rsidP="003C7B5C">
      <w:pPr>
        <w:spacing w:line="276" w:lineRule="auto"/>
        <w:ind w:firstLine="708"/>
        <w:jc w:val="both"/>
        <w:rPr>
          <w:sz w:val="28"/>
          <w:szCs w:val="28"/>
          <w:lang w:val="ro-RO"/>
        </w:rPr>
      </w:pPr>
      <w:r w:rsidRPr="00A440A4">
        <w:rPr>
          <w:b/>
          <w:sz w:val="28"/>
          <w:szCs w:val="28"/>
          <w:lang w:val="ro-RO" w:eastAsia="en-US"/>
        </w:rPr>
        <w:lastRenderedPageBreak/>
        <w:t>1.2.</w:t>
      </w:r>
      <w:r w:rsidR="00D32F9F" w:rsidRPr="00E54360">
        <w:rPr>
          <w:sz w:val="28"/>
          <w:szCs w:val="28"/>
          <w:lang w:val="ro-RO" w:eastAsia="en-US"/>
        </w:rPr>
        <w:t xml:space="preserve"> </w:t>
      </w:r>
      <w:r>
        <w:rPr>
          <w:sz w:val="28"/>
          <w:szCs w:val="28"/>
          <w:lang w:val="ro-RO"/>
        </w:rPr>
        <w:t>P</w:t>
      </w:r>
      <w:r w:rsidR="00D32F9F" w:rsidRPr="00E54360">
        <w:rPr>
          <w:sz w:val="28"/>
          <w:szCs w:val="28"/>
          <w:lang w:val="ro-RO"/>
        </w:rPr>
        <w:t xml:space="preserve">roiectul Hotărîrii de Guvern prevede modificări la nivel de denumirea unei subdiviziuni </w:t>
      </w:r>
      <w:r w:rsidR="00D32F9F">
        <w:rPr>
          <w:sz w:val="28"/>
          <w:szCs w:val="28"/>
          <w:lang w:val="ro-RO"/>
        </w:rPr>
        <w:t xml:space="preserve">şi anume se propune ca </w:t>
      </w:r>
      <w:r w:rsidR="00D32F9F" w:rsidRPr="00122404">
        <w:rPr>
          <w:i/>
          <w:iCs/>
          <w:sz w:val="28"/>
          <w:szCs w:val="28"/>
          <w:lang w:val="ro-RO"/>
        </w:rPr>
        <w:t>Direcţia monitoring şi analiză financiară</w:t>
      </w:r>
      <w:r w:rsidR="00D32F9F" w:rsidRPr="00E54360">
        <w:rPr>
          <w:sz w:val="28"/>
          <w:szCs w:val="28"/>
          <w:lang w:val="ro-RO"/>
        </w:rPr>
        <w:t xml:space="preserve"> să fie redenumită în </w:t>
      </w:r>
      <w:r w:rsidR="00D32F9F" w:rsidRPr="00122404">
        <w:rPr>
          <w:i/>
          <w:iCs/>
          <w:sz w:val="28"/>
          <w:szCs w:val="28"/>
          <w:lang w:val="ro-RO"/>
        </w:rPr>
        <w:t xml:space="preserve">Direcţia </w:t>
      </w:r>
      <w:r w:rsidR="00D32F9F">
        <w:rPr>
          <w:i/>
          <w:iCs/>
          <w:sz w:val="28"/>
          <w:szCs w:val="28"/>
          <w:lang w:val="ro-RO"/>
        </w:rPr>
        <w:t xml:space="preserve">analiză </w:t>
      </w:r>
      <w:r w:rsidR="00D32F9F" w:rsidRPr="00122404">
        <w:rPr>
          <w:i/>
          <w:iCs/>
          <w:sz w:val="28"/>
          <w:szCs w:val="28"/>
          <w:lang w:val="ro-RO"/>
        </w:rPr>
        <w:t>şi reglementări a activelor statului şi sectorului financiar</w:t>
      </w:r>
      <w:r w:rsidR="00D32F9F">
        <w:rPr>
          <w:sz w:val="28"/>
          <w:szCs w:val="28"/>
          <w:lang w:val="ro-RO"/>
        </w:rPr>
        <w:t>. N</w:t>
      </w:r>
      <w:r w:rsidR="00D32F9F" w:rsidRPr="00C4670C">
        <w:rPr>
          <w:sz w:val="28"/>
          <w:szCs w:val="28"/>
          <w:lang w:val="ro-RO"/>
        </w:rPr>
        <w:t>ecesitatea modif</w:t>
      </w:r>
      <w:r w:rsidR="00D32F9F">
        <w:rPr>
          <w:sz w:val="28"/>
          <w:szCs w:val="28"/>
          <w:lang w:val="ro-RO"/>
        </w:rPr>
        <w:t xml:space="preserve">icării denumirii </w:t>
      </w:r>
      <w:r w:rsidR="00D32F9F" w:rsidRPr="00122404">
        <w:rPr>
          <w:sz w:val="28"/>
          <w:szCs w:val="28"/>
          <w:lang w:val="ro-RO"/>
        </w:rPr>
        <w:t>Direcției</w:t>
      </w:r>
      <w:r w:rsidR="00D32F9F">
        <w:rPr>
          <w:i/>
          <w:iCs/>
          <w:sz w:val="28"/>
          <w:szCs w:val="28"/>
          <w:lang w:val="ro-RO"/>
        </w:rPr>
        <w:t xml:space="preserve"> </w:t>
      </w:r>
      <w:r w:rsidR="00D32F9F">
        <w:rPr>
          <w:sz w:val="28"/>
          <w:szCs w:val="28"/>
          <w:lang w:val="ro-RO"/>
        </w:rPr>
        <w:t xml:space="preserve">este argumentată de caracterul funcțiilor exercitate de către subdiviziunea respectivă. </w:t>
      </w:r>
    </w:p>
    <w:p w:rsidR="00D32F9F" w:rsidRDefault="00D32F9F" w:rsidP="003C7B5C">
      <w:pPr>
        <w:spacing w:line="276" w:lineRule="auto"/>
        <w:ind w:firstLine="708"/>
        <w:jc w:val="both"/>
        <w:rPr>
          <w:sz w:val="28"/>
          <w:szCs w:val="28"/>
          <w:lang w:val="ro-RO"/>
        </w:rPr>
      </w:pPr>
      <w:r>
        <w:rPr>
          <w:sz w:val="28"/>
          <w:szCs w:val="28"/>
          <w:lang w:val="ro-RO"/>
        </w:rPr>
        <w:t xml:space="preserve">În acest context, </w:t>
      </w:r>
      <w:r w:rsidR="00F37283">
        <w:rPr>
          <w:sz w:val="28"/>
          <w:szCs w:val="28"/>
          <w:lang w:val="ro-RO"/>
        </w:rPr>
        <w:t>sarcinile de bază</w:t>
      </w:r>
      <w:r>
        <w:rPr>
          <w:sz w:val="28"/>
          <w:szCs w:val="28"/>
          <w:lang w:val="ro-RO"/>
        </w:rPr>
        <w:t xml:space="preserve"> ale</w:t>
      </w:r>
      <w:r w:rsidR="00F37283">
        <w:rPr>
          <w:sz w:val="28"/>
          <w:szCs w:val="28"/>
          <w:lang w:val="ro-RO"/>
        </w:rPr>
        <w:t xml:space="preserve"> Direcției respective constau</w:t>
      </w:r>
      <w:r>
        <w:rPr>
          <w:sz w:val="28"/>
          <w:szCs w:val="28"/>
          <w:lang w:val="ro-RO"/>
        </w:rPr>
        <w:t xml:space="preserve"> în participarea</w:t>
      </w:r>
      <w:r w:rsidRPr="00C4670C">
        <w:rPr>
          <w:sz w:val="28"/>
          <w:szCs w:val="28"/>
          <w:lang w:val="ro-RO"/>
        </w:rPr>
        <w:t xml:space="preserve"> la avizarea, coordonarea și elab</w:t>
      </w:r>
      <w:r>
        <w:rPr>
          <w:sz w:val="28"/>
          <w:szCs w:val="28"/>
          <w:lang w:val="ro-RO"/>
        </w:rPr>
        <w:t xml:space="preserve">orarea politicilor în domeniul proprietății de stat, parteneriatelor public-private, </w:t>
      </w:r>
      <w:r w:rsidRPr="00C4670C">
        <w:rPr>
          <w:sz w:val="28"/>
          <w:szCs w:val="28"/>
          <w:lang w:val="ro-RO"/>
        </w:rPr>
        <w:t>gestiunii proprietăţii publice</w:t>
      </w:r>
      <w:r w:rsidR="00F37283">
        <w:rPr>
          <w:sz w:val="28"/>
          <w:szCs w:val="28"/>
          <w:lang w:val="ro-RO"/>
        </w:rPr>
        <w:t>,</w:t>
      </w:r>
      <w:r w:rsidRPr="00C4670C">
        <w:rPr>
          <w:sz w:val="28"/>
          <w:szCs w:val="28"/>
          <w:lang w:val="ro-RO"/>
        </w:rPr>
        <w:t xml:space="preserve"> </w:t>
      </w:r>
      <w:r w:rsidRPr="00357743">
        <w:rPr>
          <w:sz w:val="28"/>
          <w:szCs w:val="28"/>
          <w:lang w:val="ro-RO"/>
        </w:rPr>
        <w:t>monitoriz</w:t>
      </w:r>
      <w:r>
        <w:rPr>
          <w:sz w:val="28"/>
          <w:szCs w:val="28"/>
          <w:lang w:val="ro-RO"/>
        </w:rPr>
        <w:t xml:space="preserve">ării </w:t>
      </w:r>
      <w:r w:rsidRPr="00357743">
        <w:rPr>
          <w:sz w:val="28"/>
          <w:szCs w:val="28"/>
          <w:lang w:val="ro-RO"/>
        </w:rPr>
        <w:t>activităţii economico-financiare a întreprinderilor de stat şi a societăţilor comerciale cu capital integral sau majoritar de stat;</w:t>
      </w:r>
      <w:r>
        <w:rPr>
          <w:sz w:val="28"/>
          <w:szCs w:val="28"/>
          <w:lang w:val="ro-RO"/>
        </w:rPr>
        <w:t xml:space="preserve"> </w:t>
      </w:r>
      <w:r w:rsidRPr="00C4670C">
        <w:rPr>
          <w:sz w:val="28"/>
          <w:szCs w:val="28"/>
          <w:lang w:val="ro-RO"/>
        </w:rPr>
        <w:t>reorganizării, restructurării</w:t>
      </w:r>
      <w:r>
        <w:rPr>
          <w:sz w:val="28"/>
          <w:szCs w:val="28"/>
          <w:lang w:val="ro-RO"/>
        </w:rPr>
        <w:t xml:space="preserve">, </w:t>
      </w:r>
      <w:r w:rsidRPr="00C4670C">
        <w:rPr>
          <w:sz w:val="28"/>
          <w:szCs w:val="28"/>
          <w:lang w:val="ro-RO"/>
        </w:rPr>
        <w:t>întreprinderilor cu capital de stat;</w:t>
      </w:r>
      <w:r>
        <w:rPr>
          <w:sz w:val="28"/>
          <w:szCs w:val="28"/>
          <w:lang w:val="ro-RO"/>
        </w:rPr>
        <w:t xml:space="preserve"> </w:t>
      </w:r>
      <w:r w:rsidRPr="00357743">
        <w:rPr>
          <w:sz w:val="28"/>
          <w:szCs w:val="28"/>
          <w:lang w:val="ro-RO"/>
        </w:rPr>
        <w:t>administrării proprietății statului aflată în subordinea Ministerului Finanțelor;</w:t>
      </w:r>
      <w:r>
        <w:rPr>
          <w:sz w:val="28"/>
          <w:szCs w:val="28"/>
          <w:lang w:val="ro-RO"/>
        </w:rPr>
        <w:t xml:space="preserve"> </w:t>
      </w:r>
      <w:r w:rsidRPr="00C4670C">
        <w:rPr>
          <w:sz w:val="28"/>
          <w:szCs w:val="28"/>
          <w:lang w:val="ro-RO"/>
        </w:rPr>
        <w:t>transm</w:t>
      </w:r>
      <w:r>
        <w:rPr>
          <w:sz w:val="28"/>
          <w:szCs w:val="28"/>
          <w:lang w:val="ro-RO"/>
        </w:rPr>
        <w:t>iterii proprietății publice;</w:t>
      </w:r>
      <w:r w:rsidRPr="00C4670C">
        <w:rPr>
          <w:sz w:val="28"/>
          <w:szCs w:val="28"/>
          <w:lang w:val="ro-RO"/>
        </w:rPr>
        <w:t xml:space="preserve"> </w:t>
      </w:r>
      <w:r>
        <w:rPr>
          <w:sz w:val="28"/>
          <w:szCs w:val="28"/>
          <w:lang w:val="ro-RO"/>
        </w:rPr>
        <w:t>chiriei bunurilor proprietate publică</w:t>
      </w:r>
      <w:r w:rsidRPr="00C4670C">
        <w:rPr>
          <w:sz w:val="28"/>
          <w:szCs w:val="28"/>
          <w:lang w:val="ro-RO"/>
        </w:rPr>
        <w:t>, cas</w:t>
      </w:r>
      <w:r>
        <w:rPr>
          <w:sz w:val="28"/>
          <w:szCs w:val="28"/>
          <w:lang w:val="ro-RO"/>
        </w:rPr>
        <w:t>ării</w:t>
      </w:r>
      <w:r w:rsidRPr="00C4670C">
        <w:rPr>
          <w:sz w:val="28"/>
          <w:szCs w:val="28"/>
          <w:lang w:val="ro-RO"/>
        </w:rPr>
        <w:t>, </w:t>
      </w:r>
      <w:r w:rsidRPr="00C4670C">
        <w:rPr>
          <w:rStyle w:val="apple-converted-space"/>
          <w:sz w:val="28"/>
          <w:szCs w:val="28"/>
          <w:lang w:val="ro-RO"/>
        </w:rPr>
        <w:t> </w:t>
      </w:r>
      <w:r w:rsidRPr="00C4670C">
        <w:rPr>
          <w:sz w:val="28"/>
          <w:szCs w:val="28"/>
          <w:lang w:val="ro-RO"/>
        </w:rPr>
        <w:t>comercializ</w:t>
      </w:r>
      <w:r>
        <w:rPr>
          <w:sz w:val="28"/>
          <w:szCs w:val="28"/>
          <w:lang w:val="ro-RO"/>
        </w:rPr>
        <w:t>ării bunurilor proprietate publică. Concomitent</w:t>
      </w:r>
      <w:r w:rsidR="00F37283">
        <w:rPr>
          <w:sz w:val="28"/>
          <w:szCs w:val="28"/>
          <w:lang w:val="ro-RO"/>
        </w:rPr>
        <w:t>,</w:t>
      </w:r>
      <w:r>
        <w:rPr>
          <w:sz w:val="28"/>
          <w:szCs w:val="28"/>
          <w:lang w:val="ro-RO"/>
        </w:rPr>
        <w:t xml:space="preserve"> este efectuat monitoringul financiar al activității economico-financiare a întreprinderilor de stat și societăților comerciale cu capital integral sau majoritar de stat, inclusiv m</w:t>
      </w:r>
      <w:r w:rsidRPr="00C4670C">
        <w:rPr>
          <w:sz w:val="28"/>
          <w:szCs w:val="28"/>
          <w:lang w:val="ro-RO"/>
        </w:rPr>
        <w:t>onitoriz</w:t>
      </w:r>
      <w:r>
        <w:rPr>
          <w:sz w:val="28"/>
          <w:szCs w:val="28"/>
          <w:lang w:val="ro-RO"/>
        </w:rPr>
        <w:t xml:space="preserve">area </w:t>
      </w:r>
      <w:r w:rsidRPr="00C4670C">
        <w:rPr>
          <w:sz w:val="28"/>
          <w:szCs w:val="28"/>
          <w:lang w:val="ro-RO"/>
        </w:rPr>
        <w:t>şi realiz</w:t>
      </w:r>
      <w:r>
        <w:rPr>
          <w:sz w:val="28"/>
          <w:szCs w:val="28"/>
          <w:lang w:val="ro-RO"/>
        </w:rPr>
        <w:t xml:space="preserve">area </w:t>
      </w:r>
      <w:r w:rsidRPr="00C4670C">
        <w:rPr>
          <w:sz w:val="28"/>
          <w:szCs w:val="28"/>
          <w:lang w:val="ro-RO"/>
        </w:rPr>
        <w:t xml:space="preserve">condiţiilor privind distribuirea unei părţi din profitul net al întreprinderilor de stat şi a societăţilor comerciale cu capital integral sau majoritar de stat, sub formă de dividende </w:t>
      </w:r>
      <w:r>
        <w:rPr>
          <w:sz w:val="28"/>
          <w:szCs w:val="28"/>
          <w:lang w:val="ro-RO"/>
        </w:rPr>
        <w:t>şi defalcări în bugetul de stat etc.</w:t>
      </w:r>
    </w:p>
    <w:p w:rsidR="00D32F9F" w:rsidRDefault="00D32F9F" w:rsidP="003C7B5C">
      <w:pPr>
        <w:spacing w:line="276" w:lineRule="auto"/>
        <w:ind w:firstLine="708"/>
        <w:jc w:val="both"/>
        <w:rPr>
          <w:sz w:val="28"/>
          <w:szCs w:val="28"/>
          <w:lang w:val="ro-RO"/>
        </w:rPr>
      </w:pPr>
      <w:r w:rsidRPr="00432907">
        <w:rPr>
          <w:sz w:val="28"/>
          <w:szCs w:val="28"/>
          <w:lang w:val="ro-RO"/>
        </w:rPr>
        <w:t>Mai mult ca atît, subdiviziunea menţionată participă</w:t>
      </w:r>
      <w:r w:rsidRPr="007F46DD">
        <w:rPr>
          <w:sz w:val="28"/>
          <w:szCs w:val="28"/>
          <w:lang w:val="ro-RO"/>
        </w:rPr>
        <w:t xml:space="preserve"> </w:t>
      </w:r>
      <w:r>
        <w:rPr>
          <w:sz w:val="28"/>
          <w:szCs w:val="28"/>
          <w:lang w:val="ro-RO"/>
        </w:rPr>
        <w:t xml:space="preserve">la avizarea și </w:t>
      </w:r>
      <w:r w:rsidRPr="007F46DD">
        <w:rPr>
          <w:sz w:val="28"/>
          <w:szCs w:val="28"/>
          <w:lang w:val="ro-RO"/>
        </w:rPr>
        <w:t xml:space="preserve">coordonarea elaborării politicilor </w:t>
      </w:r>
      <w:r>
        <w:rPr>
          <w:sz w:val="28"/>
          <w:szCs w:val="28"/>
          <w:lang w:val="ro-RO"/>
        </w:rPr>
        <w:t>și reglementărilor aferente sectorului financiar bancar şi nebancar, inclusiv</w:t>
      </w:r>
      <w:r w:rsidR="006B7F79">
        <w:rPr>
          <w:sz w:val="28"/>
          <w:szCs w:val="28"/>
          <w:lang w:val="ro-RO"/>
        </w:rPr>
        <w:t xml:space="preserve"> la</w:t>
      </w:r>
      <w:r>
        <w:rPr>
          <w:sz w:val="28"/>
          <w:szCs w:val="28"/>
          <w:lang w:val="ro-RO"/>
        </w:rPr>
        <w:t xml:space="preserve"> </w:t>
      </w:r>
      <w:r w:rsidRPr="00C4670C">
        <w:rPr>
          <w:sz w:val="28"/>
          <w:szCs w:val="28"/>
          <w:lang w:val="ro-RO"/>
        </w:rPr>
        <w:t xml:space="preserve">coordonarea şi elaborarea propunerilor de politici aferente sectorului financiar bancar în partea ce ţine de administrarea instituţiilor financiare cu capital de stat, </w:t>
      </w:r>
      <w:r>
        <w:rPr>
          <w:sz w:val="28"/>
          <w:szCs w:val="28"/>
          <w:lang w:val="ro-RO"/>
        </w:rPr>
        <w:t>inclusiv</w:t>
      </w:r>
      <w:r w:rsidRPr="00C4670C">
        <w:rPr>
          <w:sz w:val="28"/>
          <w:szCs w:val="28"/>
          <w:lang w:val="ro-RO"/>
        </w:rPr>
        <w:t xml:space="preserve"> efectuarea monitoringul</w:t>
      </w:r>
      <w:r>
        <w:rPr>
          <w:sz w:val="28"/>
          <w:szCs w:val="28"/>
          <w:lang w:val="ro-RO"/>
        </w:rPr>
        <w:t>ui</w:t>
      </w:r>
      <w:r w:rsidRPr="00C4670C">
        <w:rPr>
          <w:sz w:val="28"/>
          <w:szCs w:val="28"/>
          <w:lang w:val="ro-RO"/>
        </w:rPr>
        <w:t xml:space="preserve"> financiar al activ</w:t>
      </w:r>
      <w:r>
        <w:rPr>
          <w:sz w:val="28"/>
          <w:szCs w:val="28"/>
          <w:lang w:val="ro-RO"/>
        </w:rPr>
        <w:t xml:space="preserve">ităţii economico-financiare a </w:t>
      </w:r>
      <w:r w:rsidRPr="00C4670C">
        <w:rPr>
          <w:sz w:val="28"/>
          <w:szCs w:val="28"/>
          <w:lang w:val="ro-RO"/>
        </w:rPr>
        <w:t>instituţiilor financiare cu capital de stat</w:t>
      </w:r>
      <w:r>
        <w:rPr>
          <w:sz w:val="28"/>
          <w:szCs w:val="28"/>
          <w:lang w:val="ro-RO"/>
        </w:rPr>
        <w:t>.</w:t>
      </w:r>
    </w:p>
    <w:p w:rsidR="00D32F9F" w:rsidRDefault="00140CF2" w:rsidP="003C7B5C">
      <w:pPr>
        <w:spacing w:line="276" w:lineRule="auto"/>
        <w:ind w:firstLine="540"/>
        <w:jc w:val="both"/>
        <w:rPr>
          <w:sz w:val="28"/>
          <w:szCs w:val="28"/>
          <w:lang w:val="ro-RO"/>
        </w:rPr>
      </w:pPr>
      <w:r>
        <w:rPr>
          <w:sz w:val="28"/>
          <w:szCs w:val="28"/>
          <w:lang w:val="ro-RO"/>
        </w:rPr>
        <w:t xml:space="preserve">Respectiv, </w:t>
      </w:r>
      <w:r w:rsidR="00D32F9F">
        <w:rPr>
          <w:sz w:val="28"/>
          <w:szCs w:val="28"/>
          <w:lang w:val="ro-RO"/>
        </w:rPr>
        <w:t>reieşind din atribuţiile puse în sarcina subdiviziunii menţionate a fost propusă într-o redacţie nouă subpunctul 69) din punctul 6 al Regulamentului privind organizarea şi funcţionarea Ministerului Finanţelor.</w:t>
      </w:r>
    </w:p>
    <w:p w:rsidR="00041AFE" w:rsidRDefault="00041AFE" w:rsidP="003C7B5C">
      <w:pPr>
        <w:spacing w:line="276" w:lineRule="auto"/>
        <w:ind w:firstLine="540"/>
        <w:jc w:val="both"/>
        <w:rPr>
          <w:sz w:val="28"/>
          <w:szCs w:val="28"/>
          <w:lang w:val="ro-RO"/>
        </w:rPr>
      </w:pPr>
    </w:p>
    <w:p w:rsidR="00A440A4" w:rsidRPr="00A440A4" w:rsidRDefault="00A440A4" w:rsidP="00450E3C">
      <w:pPr>
        <w:ind w:firstLine="540"/>
        <w:jc w:val="both"/>
        <w:rPr>
          <w:sz w:val="28"/>
          <w:szCs w:val="28"/>
          <w:lang w:val="ro-RO"/>
        </w:rPr>
      </w:pPr>
      <w:r w:rsidRPr="00A440A4">
        <w:rPr>
          <w:b/>
          <w:sz w:val="28"/>
          <w:szCs w:val="28"/>
          <w:lang w:val="ro-RO"/>
        </w:rPr>
        <w:t>1.3.</w:t>
      </w:r>
      <w:r>
        <w:rPr>
          <w:sz w:val="28"/>
          <w:szCs w:val="28"/>
          <w:lang w:val="ro-RO"/>
        </w:rPr>
        <w:t xml:space="preserve"> </w:t>
      </w:r>
      <w:r w:rsidRPr="00A440A4">
        <w:rPr>
          <w:sz w:val="28"/>
          <w:szCs w:val="28"/>
          <w:lang w:val="ro-RO"/>
        </w:rPr>
        <w:t xml:space="preserve">În proiectul Hotărîrii se indică </w:t>
      </w:r>
      <w:r>
        <w:rPr>
          <w:sz w:val="28"/>
          <w:szCs w:val="28"/>
          <w:lang w:val="ro-RO"/>
        </w:rPr>
        <w:t>m</w:t>
      </w:r>
      <w:r w:rsidRPr="00A440A4">
        <w:rPr>
          <w:sz w:val="28"/>
          <w:szCs w:val="28"/>
          <w:lang w:val="ro-RO"/>
        </w:rPr>
        <w:t>ajorarea numărului de unităţi</w:t>
      </w:r>
      <w:r w:rsidRPr="00A440A4">
        <w:rPr>
          <w:b/>
          <w:sz w:val="28"/>
          <w:szCs w:val="28"/>
          <w:lang w:val="ro-RO"/>
        </w:rPr>
        <w:t xml:space="preserve"> </w:t>
      </w:r>
      <w:r w:rsidRPr="00A440A4">
        <w:rPr>
          <w:sz w:val="28"/>
          <w:szCs w:val="28"/>
          <w:lang w:val="ro-RO"/>
        </w:rPr>
        <w:t xml:space="preserve">al Ministerului </w:t>
      </w:r>
      <w:r>
        <w:rPr>
          <w:sz w:val="28"/>
          <w:szCs w:val="28"/>
          <w:lang w:val="ro-RO"/>
        </w:rPr>
        <w:t xml:space="preserve">Finanțelor cu </w:t>
      </w:r>
      <w:r w:rsidR="00F01503">
        <w:rPr>
          <w:sz w:val="28"/>
          <w:szCs w:val="28"/>
          <w:lang w:val="ro-RO"/>
        </w:rPr>
        <w:t>4</w:t>
      </w:r>
      <w:r w:rsidRPr="00A440A4">
        <w:rPr>
          <w:i/>
          <w:sz w:val="28"/>
          <w:szCs w:val="28"/>
          <w:lang w:val="ro-RO"/>
        </w:rPr>
        <w:t xml:space="preserve"> unităţi</w:t>
      </w:r>
      <w:r w:rsidRPr="00A440A4">
        <w:rPr>
          <w:sz w:val="28"/>
          <w:szCs w:val="28"/>
          <w:lang w:val="ro-RO"/>
        </w:rPr>
        <w:t xml:space="preserve">. </w:t>
      </w:r>
    </w:p>
    <w:p w:rsidR="00A440A4" w:rsidRPr="00B66896" w:rsidRDefault="00A440A4" w:rsidP="00A440A4">
      <w:pPr>
        <w:spacing w:line="276" w:lineRule="auto"/>
        <w:ind w:firstLine="540"/>
        <w:jc w:val="both"/>
        <w:rPr>
          <w:sz w:val="28"/>
          <w:szCs w:val="28"/>
          <w:lang w:val="ro-RO"/>
        </w:rPr>
      </w:pPr>
      <w:r w:rsidRPr="00A440A4">
        <w:rPr>
          <w:sz w:val="28"/>
          <w:szCs w:val="28"/>
          <w:lang w:val="ro-RO"/>
        </w:rPr>
        <w:t xml:space="preserve">În prezent conform statului de personal Ministerul </w:t>
      </w:r>
      <w:r>
        <w:rPr>
          <w:sz w:val="28"/>
          <w:szCs w:val="28"/>
          <w:lang w:val="ro-RO"/>
        </w:rPr>
        <w:t>Finanțelor</w:t>
      </w:r>
      <w:r w:rsidRPr="00A440A4">
        <w:rPr>
          <w:sz w:val="28"/>
          <w:szCs w:val="28"/>
          <w:lang w:val="ro-RO"/>
        </w:rPr>
        <w:t xml:space="preserve"> dispune de un efectiv de </w:t>
      </w:r>
      <w:r w:rsidR="00B66896">
        <w:rPr>
          <w:i/>
          <w:sz w:val="28"/>
          <w:szCs w:val="28"/>
          <w:lang w:val="ro-RO"/>
        </w:rPr>
        <w:t>536</w:t>
      </w:r>
      <w:r w:rsidRPr="00A440A4">
        <w:rPr>
          <w:i/>
          <w:sz w:val="28"/>
          <w:szCs w:val="28"/>
          <w:lang w:val="ro-RO"/>
        </w:rPr>
        <w:t xml:space="preserve"> unităţi.</w:t>
      </w:r>
      <w:r w:rsidRPr="00A440A4">
        <w:rPr>
          <w:sz w:val="28"/>
          <w:szCs w:val="28"/>
          <w:lang w:val="ro-RO"/>
        </w:rPr>
        <w:t xml:space="preserve"> </w:t>
      </w:r>
      <w:r w:rsidRPr="00B66896">
        <w:rPr>
          <w:sz w:val="28"/>
          <w:szCs w:val="28"/>
          <w:lang w:val="ro-RO"/>
        </w:rPr>
        <w:t xml:space="preserve">Majorarea numărului de unităţi este generată de </w:t>
      </w:r>
      <w:r w:rsidR="00B66896" w:rsidRPr="00B66896">
        <w:rPr>
          <w:sz w:val="28"/>
          <w:szCs w:val="28"/>
          <w:lang w:val="ro-RO"/>
        </w:rPr>
        <w:t>suplimentarea</w:t>
      </w:r>
      <w:r w:rsidRPr="00B66896">
        <w:rPr>
          <w:sz w:val="28"/>
          <w:szCs w:val="28"/>
          <w:lang w:val="ro-RO"/>
        </w:rPr>
        <w:t xml:space="preserve"> funcţiilor Ministerului</w:t>
      </w:r>
      <w:r w:rsidR="00B66896" w:rsidRPr="00B66896">
        <w:rPr>
          <w:sz w:val="28"/>
          <w:szCs w:val="28"/>
          <w:lang w:val="ro-RO"/>
        </w:rPr>
        <w:t>, după cum urmează:</w:t>
      </w:r>
    </w:p>
    <w:p w:rsidR="00B66896" w:rsidRDefault="00B66896" w:rsidP="007668EA">
      <w:pPr>
        <w:pStyle w:val="Style3"/>
        <w:widowControl/>
        <w:spacing w:line="276" w:lineRule="auto"/>
        <w:ind w:right="24" w:firstLine="734"/>
        <w:rPr>
          <w:rStyle w:val="FontStyle13"/>
          <w:sz w:val="28"/>
          <w:szCs w:val="28"/>
          <w:lang w:val="ro-RO" w:eastAsia="ro-RO"/>
        </w:rPr>
      </w:pPr>
      <w:r w:rsidRPr="007668EA">
        <w:rPr>
          <w:sz w:val="28"/>
          <w:szCs w:val="28"/>
          <w:lang w:val="ro-RO"/>
        </w:rPr>
        <w:t xml:space="preserve">- </w:t>
      </w:r>
      <w:r w:rsidR="00D811CC">
        <w:rPr>
          <w:i/>
          <w:sz w:val="28"/>
          <w:szCs w:val="28"/>
          <w:lang w:val="ro-RO"/>
        </w:rPr>
        <w:t>3</w:t>
      </w:r>
      <w:r w:rsidRPr="007668EA">
        <w:rPr>
          <w:i/>
          <w:sz w:val="28"/>
          <w:szCs w:val="28"/>
          <w:lang w:val="ro-RO"/>
        </w:rPr>
        <w:t xml:space="preserve"> unități</w:t>
      </w:r>
      <w:r w:rsidRPr="007668EA">
        <w:rPr>
          <w:sz w:val="28"/>
          <w:szCs w:val="28"/>
          <w:lang w:val="ro-RO"/>
        </w:rPr>
        <w:t xml:space="preserve"> pentru </w:t>
      </w:r>
      <w:r w:rsidRPr="00EB2C0F">
        <w:rPr>
          <w:i/>
          <w:sz w:val="28"/>
          <w:szCs w:val="28"/>
          <w:lang w:val="ro-RO"/>
        </w:rPr>
        <w:t>Direcția în învățămînt, cultură și știință</w:t>
      </w:r>
      <w:r w:rsidRPr="007668EA">
        <w:rPr>
          <w:sz w:val="28"/>
          <w:szCs w:val="28"/>
          <w:lang w:val="ro-RO"/>
        </w:rPr>
        <w:t>, care este legată de preluarea</w:t>
      </w:r>
      <w:r w:rsidR="007668EA" w:rsidRPr="007668EA">
        <w:rPr>
          <w:sz w:val="28"/>
          <w:szCs w:val="28"/>
          <w:lang w:val="ro-RO"/>
        </w:rPr>
        <w:t xml:space="preserve"> unor funcții suplimen</w:t>
      </w:r>
      <w:r w:rsidRPr="007668EA">
        <w:rPr>
          <w:sz w:val="28"/>
          <w:szCs w:val="28"/>
          <w:lang w:val="ro-RO"/>
        </w:rPr>
        <w:t>tare</w:t>
      </w:r>
      <w:r w:rsidR="007668EA" w:rsidRPr="007668EA">
        <w:rPr>
          <w:sz w:val="28"/>
          <w:szCs w:val="28"/>
          <w:lang w:val="ro-RO"/>
        </w:rPr>
        <w:t xml:space="preserve"> odată cu adoptarea de către Parlament a modificărilor la Legea nr.397-XV din 16 octombrie 2003 privind finanțele publice locale. </w:t>
      </w:r>
      <w:r w:rsidR="007668EA" w:rsidRPr="007668EA">
        <w:rPr>
          <w:rStyle w:val="FontStyle13"/>
          <w:sz w:val="28"/>
          <w:szCs w:val="28"/>
          <w:lang w:val="ro-RO" w:eastAsia="ro-RO"/>
        </w:rPr>
        <w:t>Implementarea Legii, începînd cu 1 ianuarie 2014, în 3 raioane şi mun. Chişinău va implica activităţi de planificare, finanţare, monitorizare a cheltuielilor pentru educaţie şi a indicatorilor nefinanciari privind contingentul, numărul de angajaţi, etc. pe autorităţile publice locale de ambele niveluri (întîi şi al doilea), în număr de 78.</w:t>
      </w:r>
      <w:r w:rsidR="007668EA">
        <w:rPr>
          <w:rStyle w:val="FontStyle13"/>
          <w:sz w:val="28"/>
          <w:szCs w:val="28"/>
          <w:lang w:val="ro-RO" w:eastAsia="ro-RO"/>
        </w:rPr>
        <w:t xml:space="preserve"> Î</w:t>
      </w:r>
      <w:r w:rsidR="007668EA" w:rsidRPr="007668EA">
        <w:rPr>
          <w:rStyle w:val="FontStyle13"/>
          <w:sz w:val="28"/>
          <w:szCs w:val="28"/>
          <w:lang w:val="ro-RO" w:eastAsia="ro-RO"/>
        </w:rPr>
        <w:t xml:space="preserve">ncepînd cu 1 ianuarie 2015 noul sistem va </w:t>
      </w:r>
      <w:r w:rsidR="007668EA" w:rsidRPr="007668EA">
        <w:rPr>
          <w:rStyle w:val="FontStyle13"/>
          <w:spacing w:val="-20"/>
          <w:sz w:val="28"/>
          <w:szCs w:val="28"/>
          <w:lang w:val="ro-RO" w:eastAsia="ro-RO"/>
        </w:rPr>
        <w:t>fi</w:t>
      </w:r>
      <w:r w:rsidR="007668EA" w:rsidRPr="007668EA">
        <w:rPr>
          <w:rStyle w:val="FontStyle13"/>
          <w:sz w:val="28"/>
          <w:szCs w:val="28"/>
          <w:lang w:val="ro-RO" w:eastAsia="ro-RO"/>
        </w:rPr>
        <w:t xml:space="preserve"> implementat în toată republica. Direcţia </w:t>
      </w:r>
      <w:r w:rsidR="006B7F79">
        <w:rPr>
          <w:rStyle w:val="FontStyle13"/>
          <w:sz w:val="28"/>
          <w:szCs w:val="28"/>
          <w:lang w:val="ro-RO" w:eastAsia="ro-RO"/>
        </w:rPr>
        <w:t xml:space="preserve">va </w:t>
      </w:r>
      <w:r w:rsidR="00FF4CEF">
        <w:rPr>
          <w:rStyle w:val="FontStyle13"/>
          <w:sz w:val="28"/>
          <w:szCs w:val="28"/>
          <w:lang w:val="ro-RO" w:eastAsia="ro-RO"/>
        </w:rPr>
        <w:t xml:space="preserve">fi </w:t>
      </w:r>
      <w:r w:rsidR="006B7F79">
        <w:rPr>
          <w:rStyle w:val="FontStyle13"/>
          <w:sz w:val="28"/>
          <w:szCs w:val="28"/>
          <w:lang w:val="ro-RO" w:eastAsia="ro-RO"/>
        </w:rPr>
        <w:t>antrenată realmente</w:t>
      </w:r>
      <w:r w:rsidR="007668EA" w:rsidRPr="007668EA">
        <w:rPr>
          <w:rStyle w:val="FontStyle13"/>
          <w:sz w:val="28"/>
          <w:szCs w:val="28"/>
          <w:lang w:val="ro-RO" w:eastAsia="ro-RO"/>
        </w:rPr>
        <w:t xml:space="preserve"> în gestionarea transferurilor cu destinaţie specială pentru educaţie în peste 900 autorităţi publice locale de ambele niveluri. Activităţile de iniţiere a ciclului bugetar respectiv încep în ianuarie-februarie 2014.</w:t>
      </w:r>
      <w:r w:rsidR="007668EA">
        <w:rPr>
          <w:rStyle w:val="FontStyle13"/>
          <w:sz w:val="28"/>
          <w:szCs w:val="28"/>
          <w:lang w:val="ro-RO" w:eastAsia="ro-RO"/>
        </w:rPr>
        <w:t xml:space="preserve"> Structura actuală a subdiviziunii menționate</w:t>
      </w:r>
      <w:r w:rsidR="007668EA" w:rsidRPr="007668EA">
        <w:rPr>
          <w:rStyle w:val="FontStyle13"/>
          <w:sz w:val="28"/>
          <w:szCs w:val="28"/>
          <w:lang w:val="ro-RO" w:eastAsia="ro-RO"/>
        </w:rPr>
        <w:t xml:space="preserve"> nu dispune de număr suficient de unităţi pentru a fi posibilă acoperirea tuturor sarcinilor impuse conform noului sistem de finanţare a educaţiei la nivel local. Actualmente doar o persoană este responsabilă de gestionarea cheltuielilor pentru acest segment, ce pune sub pericol executarea la</w:t>
      </w:r>
      <w:r w:rsidR="00EB2C0F">
        <w:rPr>
          <w:rStyle w:val="FontStyle13"/>
          <w:sz w:val="28"/>
          <w:szCs w:val="28"/>
          <w:lang w:val="ro-RO" w:eastAsia="ro-RO"/>
        </w:rPr>
        <w:t xml:space="preserve"> nivel cuvenit a sarcinilor noi;</w:t>
      </w:r>
    </w:p>
    <w:p w:rsidR="007668EA" w:rsidRDefault="007668EA" w:rsidP="007668EA">
      <w:pPr>
        <w:pStyle w:val="Style3"/>
        <w:widowControl/>
        <w:spacing w:line="276" w:lineRule="auto"/>
        <w:ind w:right="24" w:firstLine="734"/>
        <w:rPr>
          <w:sz w:val="28"/>
          <w:szCs w:val="28"/>
          <w:lang w:val="ro-RO"/>
        </w:rPr>
      </w:pPr>
      <w:r>
        <w:rPr>
          <w:rStyle w:val="FontStyle13"/>
          <w:sz w:val="28"/>
          <w:szCs w:val="28"/>
          <w:lang w:val="ro-RO" w:eastAsia="ro-RO"/>
        </w:rPr>
        <w:t xml:space="preserve">- </w:t>
      </w:r>
      <w:r w:rsidR="00EB2C0F" w:rsidRPr="00EB2C0F">
        <w:rPr>
          <w:rStyle w:val="FontStyle13"/>
          <w:i/>
          <w:sz w:val="28"/>
          <w:szCs w:val="28"/>
          <w:lang w:val="ro-RO" w:eastAsia="ro-RO"/>
        </w:rPr>
        <w:t>1 unitate</w:t>
      </w:r>
      <w:r w:rsidR="00EB2C0F">
        <w:rPr>
          <w:rStyle w:val="FontStyle13"/>
          <w:sz w:val="28"/>
          <w:szCs w:val="28"/>
          <w:lang w:val="ro-RO" w:eastAsia="ro-RO"/>
        </w:rPr>
        <w:t xml:space="preserve"> pentru</w:t>
      </w:r>
      <w:r w:rsidR="00EB2C0F" w:rsidRPr="00EB2C0F">
        <w:rPr>
          <w:i/>
          <w:sz w:val="28"/>
          <w:szCs w:val="28"/>
          <w:lang w:val="ro-MO"/>
        </w:rPr>
        <w:t xml:space="preserve"> </w:t>
      </w:r>
      <w:r w:rsidR="00EB2C0F" w:rsidRPr="003C7B5C">
        <w:rPr>
          <w:i/>
          <w:sz w:val="28"/>
          <w:szCs w:val="28"/>
          <w:lang w:val="ro-MO"/>
        </w:rPr>
        <w:t xml:space="preserve">Serviciul </w:t>
      </w:r>
      <w:r w:rsidR="00EB2C0F" w:rsidRPr="003C7B5C">
        <w:rPr>
          <w:i/>
          <w:sz w:val="28"/>
          <w:szCs w:val="28"/>
          <w:lang w:val="ro-RO"/>
        </w:rPr>
        <w:t>de informare, comunicare cu mass-media și</w:t>
      </w:r>
      <w:r w:rsidR="00EB2C0F">
        <w:rPr>
          <w:i/>
          <w:sz w:val="28"/>
          <w:szCs w:val="28"/>
          <w:lang w:val="ro-RO"/>
        </w:rPr>
        <w:t xml:space="preserve">     </w:t>
      </w:r>
      <w:r w:rsidR="00EB2C0F" w:rsidRPr="003C7B5C">
        <w:rPr>
          <w:i/>
          <w:sz w:val="28"/>
          <w:szCs w:val="28"/>
          <w:lang w:val="ro-RO"/>
        </w:rPr>
        <w:t xml:space="preserve"> e-Transformare</w:t>
      </w:r>
      <w:r w:rsidR="00EB2C0F" w:rsidRPr="00140CF2">
        <w:rPr>
          <w:sz w:val="28"/>
          <w:szCs w:val="28"/>
          <w:lang w:val="ro-RO"/>
        </w:rPr>
        <w:t>,</w:t>
      </w:r>
      <w:r w:rsidR="00EB2C0F">
        <w:rPr>
          <w:sz w:val="28"/>
          <w:szCs w:val="28"/>
          <w:lang w:val="ro-RO"/>
        </w:rPr>
        <w:t xml:space="preserve"> reieșind din argum</w:t>
      </w:r>
      <w:r w:rsidR="00D811CC">
        <w:rPr>
          <w:sz w:val="28"/>
          <w:szCs w:val="28"/>
          <w:lang w:val="ro-RO"/>
        </w:rPr>
        <w:t>entările menționate în pct.1.4.</w:t>
      </w:r>
    </w:p>
    <w:p w:rsidR="00041AFE" w:rsidRPr="00B66896" w:rsidRDefault="00041AFE" w:rsidP="00595065">
      <w:pPr>
        <w:tabs>
          <w:tab w:val="left" w:pos="6980"/>
        </w:tabs>
        <w:spacing w:line="276" w:lineRule="auto"/>
        <w:ind w:firstLine="907"/>
        <w:jc w:val="both"/>
        <w:rPr>
          <w:sz w:val="28"/>
          <w:szCs w:val="28"/>
          <w:lang w:val="ro-RO"/>
        </w:rPr>
      </w:pPr>
    </w:p>
    <w:p w:rsidR="00140CF2" w:rsidRPr="00140CF2" w:rsidRDefault="00EB2C0F" w:rsidP="003C7B5C">
      <w:pPr>
        <w:pStyle w:val="aa"/>
        <w:spacing w:line="276" w:lineRule="auto"/>
        <w:rPr>
          <w:sz w:val="28"/>
          <w:szCs w:val="28"/>
          <w:lang w:val="ro-RO"/>
        </w:rPr>
      </w:pPr>
      <w:r>
        <w:rPr>
          <w:b/>
          <w:sz w:val="28"/>
          <w:szCs w:val="28"/>
          <w:lang w:val="ro-RO"/>
        </w:rPr>
        <w:t>1.4</w:t>
      </w:r>
      <w:r w:rsidR="00A440A4" w:rsidRPr="00A440A4">
        <w:rPr>
          <w:b/>
          <w:sz w:val="28"/>
          <w:szCs w:val="28"/>
          <w:lang w:val="ro-RO"/>
        </w:rPr>
        <w:t>.</w:t>
      </w:r>
      <w:r w:rsidR="00A440A4">
        <w:rPr>
          <w:sz w:val="28"/>
          <w:szCs w:val="28"/>
          <w:lang w:val="ro-RO"/>
        </w:rPr>
        <w:t xml:space="preserve"> C</w:t>
      </w:r>
      <w:r w:rsidR="00140CF2" w:rsidRPr="00140CF2">
        <w:rPr>
          <w:sz w:val="28"/>
          <w:szCs w:val="28"/>
          <w:lang w:val="ro-RO"/>
        </w:rPr>
        <w:t xml:space="preserve">onform pct.1 al Hotărîrii Guvernului nr.499 din 06.07.2012 „Сu privire la subdiviziunea e-Transformare din cadrul autorităţii administraţiei publice centrale„, în cadrul ministerului urmează a fi instituită subdiviziunea e-Transformare, care va contribui la îmbunătăţirea calităţii actului de guvernare prin utilizarea tehnologiei informaţiei din cadrul ministerului. </w:t>
      </w:r>
      <w:r w:rsidR="00140CF2" w:rsidRPr="00140CF2">
        <w:rPr>
          <w:sz w:val="28"/>
          <w:szCs w:val="28"/>
          <w:lang w:val="en-US"/>
        </w:rPr>
        <w:t xml:space="preserve">Subdiviziunea e-Transformare are misiunea asigurării sincronizării politicilor şi strategiilor sectoriale cu programul de modernizare tehnologică a guvernării în scopul realizării eficiente a sarcinilor şi obiectivelor ministerului, creşterii performanţei sale operaţionale şi a calităţii serviciilor publice oferite cetăţenilor. </w:t>
      </w:r>
    </w:p>
    <w:p w:rsidR="00140CF2" w:rsidRPr="00140CF2" w:rsidRDefault="00140CF2" w:rsidP="003C7B5C">
      <w:pPr>
        <w:tabs>
          <w:tab w:val="left" w:pos="6980"/>
        </w:tabs>
        <w:spacing w:line="276" w:lineRule="auto"/>
        <w:jc w:val="both"/>
        <w:rPr>
          <w:sz w:val="28"/>
          <w:szCs w:val="28"/>
          <w:lang w:val="ro-RO"/>
        </w:rPr>
      </w:pPr>
      <w:r w:rsidRPr="00140CF2">
        <w:rPr>
          <w:sz w:val="28"/>
          <w:szCs w:val="28"/>
          <w:lang w:val="en-US"/>
        </w:rPr>
        <w:t xml:space="preserve">        </w:t>
      </w:r>
      <w:r w:rsidRPr="00140CF2">
        <w:rPr>
          <w:sz w:val="28"/>
          <w:szCs w:val="28"/>
          <w:lang w:val="ro-RO"/>
        </w:rPr>
        <w:t>Se menționează, că actualmente, în cadrul Ministerului Finanțelor sarcinile din domeniul menționat sunt dispersate, fiind puse în sarcină diferitor subdiviziuni  și anume Direcției analiză, monitorizare și evaluare a politicilor, Serviciului de informare și comunicare cu mass-media, Dir</w:t>
      </w:r>
      <w:r w:rsidR="00F22059">
        <w:rPr>
          <w:sz w:val="28"/>
          <w:szCs w:val="28"/>
          <w:lang w:val="ro-RO"/>
        </w:rPr>
        <w:t xml:space="preserve">ecției documentare și arhivare </w:t>
      </w:r>
      <w:r w:rsidRPr="00140CF2">
        <w:rPr>
          <w:sz w:val="28"/>
          <w:szCs w:val="28"/>
          <w:lang w:val="ro-RO"/>
        </w:rPr>
        <w:t>și Î.S. „</w:t>
      </w:r>
      <w:r w:rsidRPr="00140CF2">
        <w:rPr>
          <w:sz w:val="28"/>
          <w:szCs w:val="28"/>
          <w:lang w:val="en-US"/>
        </w:rPr>
        <w:t>Fintehinform</w:t>
      </w:r>
      <w:r w:rsidRPr="00140CF2">
        <w:rPr>
          <w:sz w:val="28"/>
          <w:szCs w:val="28"/>
          <w:lang w:val="ro-RO"/>
        </w:rPr>
        <w:t>„. Situația creată duce la destabilizarea activităților de bază a subdiviziunilor menționate. Mai mult ca atît, nu este nici un angajat responsabil de domeniul dat, ceea ce duce la neasigurarea continuității politicilor și strategiilor per ansamblu</w:t>
      </w:r>
      <w:r w:rsidRPr="00140CF2">
        <w:rPr>
          <w:sz w:val="28"/>
          <w:szCs w:val="28"/>
          <w:lang w:val="en-US"/>
        </w:rPr>
        <w:t xml:space="preserve"> cu programul de modernizare tehnologică a guvernării din sectorul financiar.</w:t>
      </w:r>
      <w:r w:rsidRPr="00140CF2">
        <w:rPr>
          <w:sz w:val="28"/>
          <w:szCs w:val="28"/>
          <w:lang w:val="ro-RO"/>
        </w:rPr>
        <w:t xml:space="preserve">   </w:t>
      </w:r>
    </w:p>
    <w:p w:rsidR="00EB2C0F" w:rsidRDefault="00140CF2" w:rsidP="003C7B5C">
      <w:pPr>
        <w:tabs>
          <w:tab w:val="left" w:pos="6980"/>
        </w:tabs>
        <w:spacing w:line="276" w:lineRule="auto"/>
        <w:jc w:val="both"/>
        <w:rPr>
          <w:sz w:val="28"/>
          <w:szCs w:val="28"/>
          <w:lang w:val="ro-RO"/>
        </w:rPr>
      </w:pPr>
      <w:r w:rsidRPr="00140CF2">
        <w:rPr>
          <w:sz w:val="28"/>
          <w:szCs w:val="28"/>
          <w:lang w:val="ro-MO"/>
        </w:rPr>
        <w:t xml:space="preserve">         Respectiv,</w:t>
      </w:r>
      <w:r w:rsidRPr="00140CF2">
        <w:rPr>
          <w:sz w:val="28"/>
          <w:szCs w:val="28"/>
          <w:lang w:val="ro-RO"/>
        </w:rPr>
        <w:t xml:space="preserve"> conform cerințelor legale,</w:t>
      </w:r>
      <w:r w:rsidRPr="00140CF2">
        <w:rPr>
          <w:sz w:val="28"/>
          <w:szCs w:val="28"/>
          <w:lang w:val="ro-MO"/>
        </w:rPr>
        <w:t xml:space="preserve"> se propune ca Serviciul </w:t>
      </w:r>
      <w:r w:rsidRPr="00140CF2">
        <w:rPr>
          <w:sz w:val="28"/>
          <w:szCs w:val="28"/>
          <w:lang w:val="ro-RO"/>
        </w:rPr>
        <w:t>de informare și comunicare cu mass-media să fie redenumită în</w:t>
      </w:r>
      <w:r w:rsidRPr="00140CF2">
        <w:rPr>
          <w:sz w:val="28"/>
          <w:szCs w:val="28"/>
          <w:lang w:val="ro-MO"/>
        </w:rPr>
        <w:t xml:space="preserve"> </w:t>
      </w:r>
      <w:r w:rsidRPr="003C7B5C">
        <w:rPr>
          <w:i/>
          <w:sz w:val="28"/>
          <w:szCs w:val="28"/>
          <w:lang w:val="ro-MO"/>
        </w:rPr>
        <w:t xml:space="preserve">Serviciul </w:t>
      </w:r>
      <w:r w:rsidRPr="003C7B5C">
        <w:rPr>
          <w:i/>
          <w:sz w:val="28"/>
          <w:szCs w:val="28"/>
          <w:lang w:val="ro-RO"/>
        </w:rPr>
        <w:t>de informare, comunicare cu mass-media și e-Transformare</w:t>
      </w:r>
      <w:r w:rsidRPr="00140CF2">
        <w:rPr>
          <w:sz w:val="28"/>
          <w:szCs w:val="28"/>
          <w:lang w:val="ro-RO"/>
        </w:rPr>
        <w:t>, cu suplinirea unei unități la numărul total de unități pentru efectivul-limită a Ministerului Finanțelor, angajatul căruia va fi responsabil de domeniul menționat.</w:t>
      </w:r>
    </w:p>
    <w:p w:rsidR="00041AFE" w:rsidRDefault="00041AFE" w:rsidP="003C7B5C">
      <w:pPr>
        <w:tabs>
          <w:tab w:val="left" w:pos="6980"/>
        </w:tabs>
        <w:spacing w:line="276" w:lineRule="auto"/>
        <w:jc w:val="both"/>
        <w:rPr>
          <w:sz w:val="28"/>
          <w:szCs w:val="28"/>
          <w:lang w:val="ro-RO"/>
        </w:rPr>
      </w:pPr>
    </w:p>
    <w:p w:rsidR="00EB2C0F" w:rsidRDefault="00EB2C0F" w:rsidP="00450E3C">
      <w:pPr>
        <w:numPr>
          <w:ilvl w:val="1"/>
          <w:numId w:val="3"/>
        </w:numPr>
        <w:tabs>
          <w:tab w:val="left" w:pos="0"/>
          <w:tab w:val="left" w:pos="567"/>
          <w:tab w:val="left" w:pos="1134"/>
        </w:tabs>
        <w:spacing w:line="276" w:lineRule="auto"/>
        <w:ind w:left="0" w:firstLine="567"/>
        <w:jc w:val="both"/>
        <w:rPr>
          <w:sz w:val="28"/>
          <w:szCs w:val="28"/>
          <w:lang w:val="ro-RO"/>
        </w:rPr>
      </w:pPr>
      <w:r>
        <w:rPr>
          <w:sz w:val="28"/>
          <w:szCs w:val="28"/>
          <w:lang w:val="ro-RO"/>
        </w:rPr>
        <w:t xml:space="preserve">Se propune </w:t>
      </w:r>
      <w:r w:rsidR="00450E3C">
        <w:rPr>
          <w:sz w:val="28"/>
          <w:szCs w:val="28"/>
          <w:lang w:val="ro-RO"/>
        </w:rPr>
        <w:t xml:space="preserve">ca </w:t>
      </w:r>
      <w:r>
        <w:rPr>
          <w:sz w:val="28"/>
          <w:szCs w:val="28"/>
          <w:lang w:val="ro-RO"/>
        </w:rPr>
        <w:t xml:space="preserve">denumirea Direcției gestiune, patrimoniu și logistică să fie redenumită în Direcția patrimoniu și logistică, astfel excluzînd sintagma ”gestiune,”, deoarece considerăm </w:t>
      </w:r>
      <w:r w:rsidR="00450E3C">
        <w:rPr>
          <w:sz w:val="28"/>
          <w:szCs w:val="28"/>
          <w:lang w:val="ro-RO"/>
        </w:rPr>
        <w:t>că cuvîntul ”gestiune” este sinonimul cuvîntului ”logistică”.</w:t>
      </w:r>
    </w:p>
    <w:p w:rsidR="00041AFE" w:rsidRPr="00140CF2" w:rsidRDefault="00041AFE" w:rsidP="00041AFE">
      <w:pPr>
        <w:tabs>
          <w:tab w:val="left" w:pos="0"/>
          <w:tab w:val="left" w:pos="567"/>
          <w:tab w:val="left" w:pos="1134"/>
        </w:tabs>
        <w:spacing w:line="276" w:lineRule="auto"/>
        <w:ind w:left="567"/>
        <w:jc w:val="both"/>
        <w:rPr>
          <w:sz w:val="28"/>
          <w:szCs w:val="28"/>
          <w:lang w:val="ro-RO"/>
        </w:rPr>
      </w:pPr>
    </w:p>
    <w:p w:rsidR="00D32F9F" w:rsidRDefault="00450E3C" w:rsidP="00450E3C">
      <w:pPr>
        <w:pStyle w:val="aa"/>
        <w:spacing w:line="276" w:lineRule="auto"/>
        <w:rPr>
          <w:sz w:val="28"/>
          <w:szCs w:val="28"/>
          <w:lang w:val="ro-RO"/>
        </w:rPr>
      </w:pPr>
      <w:r w:rsidRPr="00450E3C">
        <w:rPr>
          <w:b/>
          <w:sz w:val="28"/>
          <w:szCs w:val="28"/>
          <w:lang w:val="ro-RO"/>
        </w:rPr>
        <w:t>1.6.</w:t>
      </w:r>
      <w:r>
        <w:rPr>
          <w:sz w:val="28"/>
          <w:szCs w:val="28"/>
          <w:lang w:val="ro-RO"/>
        </w:rPr>
        <w:t xml:space="preserve"> </w:t>
      </w:r>
      <w:r w:rsidR="00D32F9F" w:rsidRPr="00A05850">
        <w:rPr>
          <w:sz w:val="28"/>
          <w:szCs w:val="28"/>
          <w:lang w:val="ro-RO"/>
        </w:rPr>
        <w:t xml:space="preserve">Suplimentar, </w:t>
      </w:r>
      <w:r w:rsidR="00F22059">
        <w:rPr>
          <w:sz w:val="28"/>
          <w:szCs w:val="28"/>
          <w:lang w:val="ro-RO"/>
        </w:rPr>
        <w:t>a intervenit</w:t>
      </w:r>
      <w:r w:rsidR="00D32F9F" w:rsidRPr="00A05850">
        <w:rPr>
          <w:sz w:val="28"/>
          <w:szCs w:val="28"/>
          <w:lang w:val="ro-RO"/>
        </w:rPr>
        <w:t xml:space="preserve"> necesitatea excluderii, din Lista întreprinderilor de stat şi societăţilor pe acţiuni monitorizate </w:t>
      </w:r>
      <w:r w:rsidR="00D32F9F">
        <w:rPr>
          <w:sz w:val="28"/>
          <w:szCs w:val="28"/>
          <w:lang w:val="ro-RO"/>
        </w:rPr>
        <w:t xml:space="preserve">de către Ministerul Finanţelor </w:t>
      </w:r>
      <w:r w:rsidR="00D32F9F" w:rsidRPr="00A05850">
        <w:rPr>
          <w:sz w:val="28"/>
          <w:szCs w:val="28"/>
          <w:lang w:val="ro-RO"/>
        </w:rPr>
        <w:t xml:space="preserve">a Societăţii pe Acţiuni Banca Comercială pentru Industrie şi Construcţii „MOLDINCONBANK”, </w:t>
      </w:r>
      <w:r w:rsidR="00F22059">
        <w:rPr>
          <w:sz w:val="28"/>
          <w:szCs w:val="28"/>
          <w:lang w:val="ro-RO"/>
        </w:rPr>
        <w:t>odată cu</w:t>
      </w:r>
      <w:r w:rsidR="00D32F9F" w:rsidRPr="00A05850">
        <w:rPr>
          <w:sz w:val="28"/>
          <w:szCs w:val="28"/>
          <w:lang w:val="ro-RO"/>
        </w:rPr>
        <w:t xml:space="preserve"> înstrăinarea pachetului de acţiuni al statului deţinut în societatea dată.</w:t>
      </w:r>
    </w:p>
    <w:p w:rsidR="00041AFE" w:rsidRPr="00A05850" w:rsidRDefault="00041AFE" w:rsidP="00450E3C">
      <w:pPr>
        <w:pStyle w:val="aa"/>
        <w:spacing w:line="276" w:lineRule="auto"/>
        <w:rPr>
          <w:sz w:val="28"/>
          <w:szCs w:val="28"/>
          <w:lang w:val="ro-RO"/>
        </w:rPr>
      </w:pPr>
    </w:p>
    <w:p w:rsidR="00C648AF" w:rsidRPr="00450E3C" w:rsidRDefault="00A440A4" w:rsidP="00450E3C">
      <w:pPr>
        <w:spacing w:line="276" w:lineRule="auto"/>
        <w:ind w:firstLine="709"/>
        <w:jc w:val="both"/>
        <w:rPr>
          <w:sz w:val="28"/>
          <w:szCs w:val="28"/>
          <w:lang w:val="ro-RO" w:eastAsia="en-US"/>
        </w:rPr>
      </w:pPr>
      <w:r w:rsidRPr="00450E3C">
        <w:rPr>
          <w:b/>
          <w:sz w:val="28"/>
          <w:szCs w:val="28"/>
          <w:lang w:val="ro-RO"/>
        </w:rPr>
        <w:t>2. Fundamentarea economico-financiară</w:t>
      </w:r>
    </w:p>
    <w:p w:rsidR="00C648AF" w:rsidRPr="00450E3C" w:rsidRDefault="00C648AF" w:rsidP="00595065">
      <w:pPr>
        <w:pStyle w:val="tt"/>
        <w:spacing w:line="276" w:lineRule="auto"/>
        <w:ind w:firstLine="708"/>
        <w:jc w:val="both"/>
        <w:rPr>
          <w:b w:val="0"/>
          <w:bCs w:val="0"/>
          <w:sz w:val="28"/>
          <w:szCs w:val="28"/>
          <w:lang w:val="ro-RO"/>
        </w:rPr>
      </w:pPr>
      <w:r w:rsidRPr="00450E3C">
        <w:rPr>
          <w:b w:val="0"/>
          <w:sz w:val="28"/>
          <w:szCs w:val="28"/>
          <w:lang w:val="ro-RO"/>
        </w:rPr>
        <w:t xml:space="preserve">Promovarea proiectului </w:t>
      </w:r>
      <w:r w:rsidR="00450E3C">
        <w:rPr>
          <w:b w:val="0"/>
          <w:bCs w:val="0"/>
          <w:sz w:val="28"/>
          <w:szCs w:val="28"/>
          <w:lang w:val="ro-RO"/>
        </w:rPr>
        <w:t>hotărîii</w:t>
      </w:r>
      <w:r w:rsidR="00450E3C" w:rsidRPr="00450E3C">
        <w:rPr>
          <w:b w:val="0"/>
          <w:bCs w:val="0"/>
          <w:sz w:val="28"/>
          <w:szCs w:val="28"/>
          <w:lang w:val="ro-RO"/>
        </w:rPr>
        <w:t xml:space="preserve"> Guvernului „Cu privire la modificarea şi completarea Hotărîrii  Guvernului nr.1265 din 14 noiembrie 2008”</w:t>
      </w:r>
      <w:r w:rsidR="00450E3C">
        <w:rPr>
          <w:b w:val="0"/>
          <w:bCs w:val="0"/>
          <w:sz w:val="28"/>
          <w:szCs w:val="28"/>
          <w:lang w:val="ro-RO"/>
        </w:rPr>
        <w:t xml:space="preserve"> </w:t>
      </w:r>
      <w:r w:rsidRPr="00450E3C">
        <w:rPr>
          <w:b w:val="0"/>
          <w:sz w:val="28"/>
          <w:szCs w:val="28"/>
          <w:lang w:val="ro-RO"/>
        </w:rPr>
        <w:t>reclamă doar cheltuieli de personal.</w:t>
      </w:r>
    </w:p>
    <w:p w:rsidR="00C648AF" w:rsidRDefault="00C648AF" w:rsidP="00450E3C">
      <w:pPr>
        <w:spacing w:line="276" w:lineRule="auto"/>
        <w:ind w:firstLine="708"/>
        <w:jc w:val="both"/>
        <w:rPr>
          <w:sz w:val="28"/>
          <w:szCs w:val="28"/>
          <w:lang w:val="ro-RO"/>
        </w:rPr>
      </w:pPr>
      <w:r w:rsidRPr="00450E3C">
        <w:rPr>
          <w:sz w:val="28"/>
          <w:szCs w:val="28"/>
          <w:lang w:val="ro-RO"/>
        </w:rPr>
        <w:t>Astfel, costul proie</w:t>
      </w:r>
      <w:r w:rsidR="00450E3C">
        <w:rPr>
          <w:sz w:val="28"/>
          <w:szCs w:val="28"/>
          <w:lang w:val="ro-RO"/>
        </w:rPr>
        <w:t>c</w:t>
      </w:r>
      <w:r w:rsidR="00D811CC">
        <w:rPr>
          <w:sz w:val="28"/>
          <w:szCs w:val="28"/>
          <w:lang w:val="ro-RO"/>
        </w:rPr>
        <w:t>tului poate fi estimat la 245860</w:t>
      </w:r>
      <w:r w:rsidR="00450E3C">
        <w:rPr>
          <w:sz w:val="28"/>
          <w:szCs w:val="28"/>
          <w:lang w:val="ro-RO"/>
        </w:rPr>
        <w:t xml:space="preserve"> lei/anual </w:t>
      </w:r>
      <w:r w:rsidRPr="00450E3C">
        <w:rPr>
          <w:sz w:val="28"/>
          <w:szCs w:val="28"/>
          <w:lang w:val="ro-RO"/>
        </w:rPr>
        <w:t xml:space="preserve">pentru </w:t>
      </w:r>
      <w:r w:rsidR="00450E3C">
        <w:rPr>
          <w:sz w:val="28"/>
          <w:szCs w:val="28"/>
          <w:lang w:val="ro-RO"/>
        </w:rPr>
        <w:t>unitățile menționate în pct.1.3.</w:t>
      </w:r>
    </w:p>
    <w:p w:rsidR="00595065" w:rsidRDefault="00595065" w:rsidP="003C7B5C">
      <w:pPr>
        <w:spacing w:line="276" w:lineRule="auto"/>
        <w:ind w:firstLine="709"/>
        <w:jc w:val="both"/>
        <w:rPr>
          <w:sz w:val="28"/>
          <w:szCs w:val="28"/>
          <w:lang w:val="ro-RO" w:eastAsia="en-US"/>
        </w:rPr>
      </w:pPr>
    </w:p>
    <w:p w:rsidR="00D32F9F" w:rsidRDefault="00D32F9F" w:rsidP="003C7B5C">
      <w:pPr>
        <w:spacing w:line="276" w:lineRule="auto"/>
        <w:ind w:firstLine="709"/>
        <w:jc w:val="both"/>
        <w:rPr>
          <w:sz w:val="28"/>
          <w:szCs w:val="28"/>
          <w:lang w:val="ro-RO" w:eastAsia="en-US"/>
        </w:rPr>
      </w:pPr>
      <w:r>
        <w:rPr>
          <w:sz w:val="28"/>
          <w:szCs w:val="28"/>
          <w:lang w:val="ro-RO" w:eastAsia="en-US"/>
        </w:rPr>
        <w:t xml:space="preserve">Pornind de la cele expuse, se </w:t>
      </w:r>
      <w:r w:rsidR="00F22059">
        <w:rPr>
          <w:sz w:val="28"/>
          <w:szCs w:val="28"/>
          <w:lang w:val="ro-RO" w:eastAsia="en-US"/>
        </w:rPr>
        <w:t xml:space="preserve">intervine cu rugămintea de a susține </w:t>
      </w:r>
      <w:r>
        <w:rPr>
          <w:sz w:val="28"/>
          <w:szCs w:val="28"/>
          <w:lang w:val="ro-RO" w:eastAsia="en-US"/>
        </w:rPr>
        <w:t xml:space="preserve"> promovarea res</w:t>
      </w:r>
      <w:r w:rsidR="00450E3C">
        <w:rPr>
          <w:sz w:val="28"/>
          <w:szCs w:val="28"/>
          <w:lang w:val="ro-RO" w:eastAsia="en-US"/>
        </w:rPr>
        <w:t>pectivului proiect de hotărîre.</w:t>
      </w:r>
    </w:p>
    <w:p w:rsidR="00D32F9F" w:rsidRDefault="00D32F9F" w:rsidP="00595065">
      <w:pPr>
        <w:spacing w:line="276" w:lineRule="auto"/>
        <w:jc w:val="both"/>
        <w:rPr>
          <w:sz w:val="28"/>
          <w:szCs w:val="28"/>
          <w:lang w:val="ro-RO" w:eastAsia="en-US"/>
        </w:rPr>
      </w:pPr>
    </w:p>
    <w:p w:rsidR="00595065" w:rsidRDefault="00595065" w:rsidP="00595065">
      <w:pPr>
        <w:spacing w:line="276" w:lineRule="auto"/>
        <w:jc w:val="both"/>
        <w:rPr>
          <w:sz w:val="28"/>
          <w:szCs w:val="28"/>
          <w:lang w:val="ro-RO" w:eastAsia="en-US"/>
        </w:rPr>
      </w:pPr>
    </w:p>
    <w:p w:rsidR="00595065" w:rsidRDefault="00595065" w:rsidP="00595065">
      <w:pPr>
        <w:spacing w:line="276" w:lineRule="auto"/>
        <w:ind w:firstLine="709"/>
        <w:jc w:val="both"/>
        <w:rPr>
          <w:b/>
          <w:sz w:val="32"/>
          <w:szCs w:val="32"/>
          <w:lang w:val="en-US"/>
        </w:rPr>
      </w:pPr>
      <w:r>
        <w:rPr>
          <w:sz w:val="32"/>
          <w:szCs w:val="32"/>
          <w:lang w:val="en-US"/>
        </w:rPr>
        <w:t xml:space="preserve">          </w:t>
      </w:r>
      <w:r w:rsidR="00D32F9F">
        <w:rPr>
          <w:sz w:val="32"/>
          <w:szCs w:val="32"/>
          <w:lang w:val="en-US"/>
        </w:rPr>
        <w:t xml:space="preserve"> </w:t>
      </w:r>
      <w:r>
        <w:rPr>
          <w:sz w:val="32"/>
          <w:szCs w:val="32"/>
          <w:lang w:val="en-US"/>
        </w:rPr>
        <w:t xml:space="preserve">           </w:t>
      </w:r>
      <w:r w:rsidR="00D32F9F" w:rsidRPr="00450E3C">
        <w:rPr>
          <w:b/>
          <w:sz w:val="32"/>
          <w:szCs w:val="32"/>
          <w:lang w:val="en-US"/>
        </w:rPr>
        <w:t xml:space="preserve">Ministru  </w:t>
      </w:r>
      <w:r w:rsidR="00D32F9F" w:rsidRPr="00450E3C">
        <w:rPr>
          <w:b/>
          <w:sz w:val="28"/>
          <w:szCs w:val="28"/>
          <w:lang w:val="ro-RO" w:eastAsia="en-US"/>
        </w:rPr>
        <w:t xml:space="preserve">                </w:t>
      </w:r>
      <w:r w:rsidR="00450E3C">
        <w:rPr>
          <w:b/>
          <w:sz w:val="28"/>
          <w:szCs w:val="28"/>
          <w:lang w:val="ro-RO" w:eastAsia="en-US"/>
        </w:rPr>
        <w:t xml:space="preserve">   </w:t>
      </w:r>
      <w:r w:rsidR="00D32F9F" w:rsidRPr="00450E3C">
        <w:rPr>
          <w:b/>
          <w:sz w:val="28"/>
          <w:szCs w:val="28"/>
          <w:lang w:val="ro-RO" w:eastAsia="en-US"/>
        </w:rPr>
        <w:t xml:space="preserve">       </w:t>
      </w:r>
      <w:r w:rsidR="00D32F9F" w:rsidRPr="00450E3C">
        <w:rPr>
          <w:b/>
          <w:sz w:val="32"/>
          <w:szCs w:val="32"/>
          <w:lang w:val="en-US"/>
        </w:rPr>
        <w:t>Anatol Arapu</w:t>
      </w:r>
    </w:p>
    <w:p w:rsidR="00595065" w:rsidRDefault="00595065" w:rsidP="00F22059">
      <w:pPr>
        <w:spacing w:line="276" w:lineRule="auto"/>
        <w:jc w:val="both"/>
        <w:rPr>
          <w:sz w:val="18"/>
          <w:szCs w:val="18"/>
          <w:lang w:val="en-US"/>
        </w:rPr>
      </w:pPr>
    </w:p>
    <w:p w:rsidR="00595065" w:rsidRDefault="00D32F9F" w:rsidP="00595065">
      <w:pPr>
        <w:spacing w:line="276" w:lineRule="auto"/>
        <w:ind w:firstLine="709"/>
        <w:jc w:val="both"/>
        <w:rPr>
          <w:sz w:val="32"/>
          <w:szCs w:val="32"/>
          <w:lang w:val="en-US"/>
        </w:rPr>
      </w:pPr>
      <w:r w:rsidRPr="004B45CB">
        <w:rPr>
          <w:sz w:val="18"/>
          <w:szCs w:val="18"/>
          <w:lang w:val="en-US"/>
        </w:rPr>
        <w:t>Ex. Iuri Paşinschi</w:t>
      </w:r>
    </w:p>
    <w:p w:rsidR="00D32F9F" w:rsidRPr="00595065" w:rsidRDefault="00595065" w:rsidP="00595065">
      <w:pPr>
        <w:spacing w:line="276" w:lineRule="auto"/>
        <w:ind w:firstLine="709"/>
        <w:jc w:val="both"/>
        <w:rPr>
          <w:b/>
          <w:sz w:val="32"/>
          <w:szCs w:val="32"/>
          <w:lang w:val="en-US"/>
        </w:rPr>
      </w:pPr>
      <w:r>
        <w:rPr>
          <w:sz w:val="18"/>
          <w:szCs w:val="18"/>
          <w:lang w:val="en-US"/>
        </w:rPr>
        <w:t>t</w:t>
      </w:r>
      <w:r w:rsidR="00D32F9F" w:rsidRPr="00D91F0C">
        <w:rPr>
          <w:sz w:val="18"/>
          <w:szCs w:val="18"/>
          <w:lang w:val="en-US"/>
        </w:rPr>
        <w:t>el. 262-777</w:t>
      </w:r>
    </w:p>
    <w:sectPr w:rsidR="00D32F9F" w:rsidRPr="00595065" w:rsidSect="00F22059">
      <w:footerReference w:type="default" r:id="rId7"/>
      <w:pgSz w:w="11906" w:h="16838"/>
      <w:pgMar w:top="899" w:right="850" w:bottom="709"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D4" w:rsidRDefault="00561ED4">
      <w:r>
        <w:separator/>
      </w:r>
    </w:p>
  </w:endnote>
  <w:endnote w:type="continuationSeparator" w:id="0">
    <w:p w:rsidR="00561ED4" w:rsidRDefault="00561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9F" w:rsidRDefault="000045E0" w:rsidP="00D91F0C">
    <w:pPr>
      <w:pStyle w:val="a6"/>
      <w:framePr w:wrap="auto" w:vAnchor="text" w:hAnchor="margin" w:xAlign="right" w:y="1"/>
      <w:rPr>
        <w:rStyle w:val="a8"/>
      </w:rPr>
    </w:pPr>
    <w:r>
      <w:rPr>
        <w:rStyle w:val="a8"/>
      </w:rPr>
      <w:fldChar w:fldCharType="begin"/>
    </w:r>
    <w:r w:rsidR="00D32F9F">
      <w:rPr>
        <w:rStyle w:val="a8"/>
      </w:rPr>
      <w:instrText xml:space="preserve">PAGE  </w:instrText>
    </w:r>
    <w:r>
      <w:rPr>
        <w:rStyle w:val="a8"/>
      </w:rPr>
      <w:fldChar w:fldCharType="separate"/>
    </w:r>
    <w:r w:rsidR="00FF4CEF">
      <w:rPr>
        <w:rStyle w:val="a8"/>
        <w:noProof/>
      </w:rPr>
      <w:t>3</w:t>
    </w:r>
    <w:r>
      <w:rPr>
        <w:rStyle w:val="a8"/>
      </w:rPr>
      <w:fldChar w:fldCharType="end"/>
    </w:r>
  </w:p>
  <w:p w:rsidR="00D32F9F" w:rsidRDefault="00D32F9F" w:rsidP="004B45C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D4" w:rsidRDefault="00561ED4">
      <w:r>
        <w:separator/>
      </w:r>
    </w:p>
  </w:footnote>
  <w:footnote w:type="continuationSeparator" w:id="0">
    <w:p w:rsidR="00561ED4" w:rsidRDefault="00561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16047"/>
    <w:multiLevelType w:val="hybridMultilevel"/>
    <w:tmpl w:val="B5D8BF8E"/>
    <w:lvl w:ilvl="0" w:tplc="B40A6FA0">
      <w:numFmt w:val="bullet"/>
      <w:lvlText w:val="-"/>
      <w:lvlJc w:val="left"/>
      <w:pPr>
        <w:tabs>
          <w:tab w:val="num" w:pos="975"/>
        </w:tabs>
        <w:ind w:left="975" w:hanging="360"/>
      </w:pPr>
      <w:rPr>
        <w:rFonts w:ascii="Times New Roman" w:eastAsia="Times New Roman" w:hAnsi="Times New Roman" w:hint="default"/>
      </w:rPr>
    </w:lvl>
    <w:lvl w:ilvl="1" w:tplc="04090003">
      <w:start w:val="1"/>
      <w:numFmt w:val="bullet"/>
      <w:lvlText w:val="o"/>
      <w:lvlJc w:val="left"/>
      <w:pPr>
        <w:tabs>
          <w:tab w:val="num" w:pos="1695"/>
        </w:tabs>
        <w:ind w:left="1695" w:hanging="360"/>
      </w:pPr>
      <w:rPr>
        <w:rFonts w:ascii="Courier New" w:hAnsi="Courier New" w:hint="default"/>
      </w:rPr>
    </w:lvl>
    <w:lvl w:ilvl="2" w:tplc="04090005">
      <w:start w:val="1"/>
      <w:numFmt w:val="bullet"/>
      <w:lvlText w:val=""/>
      <w:lvlJc w:val="left"/>
      <w:pPr>
        <w:tabs>
          <w:tab w:val="num" w:pos="2415"/>
        </w:tabs>
        <w:ind w:left="2415" w:hanging="360"/>
      </w:pPr>
      <w:rPr>
        <w:rFonts w:ascii="Wingdings" w:hAnsi="Wingdings" w:cs="Wingdings" w:hint="default"/>
      </w:rPr>
    </w:lvl>
    <w:lvl w:ilvl="3" w:tplc="04090001">
      <w:start w:val="1"/>
      <w:numFmt w:val="bullet"/>
      <w:lvlText w:val=""/>
      <w:lvlJc w:val="left"/>
      <w:pPr>
        <w:tabs>
          <w:tab w:val="num" w:pos="3135"/>
        </w:tabs>
        <w:ind w:left="3135" w:hanging="360"/>
      </w:pPr>
      <w:rPr>
        <w:rFonts w:ascii="Symbol" w:hAnsi="Symbol" w:cs="Symbol" w:hint="default"/>
      </w:rPr>
    </w:lvl>
    <w:lvl w:ilvl="4" w:tplc="04090003">
      <w:start w:val="1"/>
      <w:numFmt w:val="bullet"/>
      <w:lvlText w:val="o"/>
      <w:lvlJc w:val="left"/>
      <w:pPr>
        <w:tabs>
          <w:tab w:val="num" w:pos="3855"/>
        </w:tabs>
        <w:ind w:left="3855" w:hanging="360"/>
      </w:pPr>
      <w:rPr>
        <w:rFonts w:ascii="Courier New" w:hAnsi="Courier New" w:cs="Courier New" w:hint="default"/>
      </w:rPr>
    </w:lvl>
    <w:lvl w:ilvl="5" w:tplc="04090005">
      <w:start w:val="1"/>
      <w:numFmt w:val="bullet"/>
      <w:lvlText w:val=""/>
      <w:lvlJc w:val="left"/>
      <w:pPr>
        <w:tabs>
          <w:tab w:val="num" w:pos="4575"/>
        </w:tabs>
        <w:ind w:left="4575" w:hanging="360"/>
      </w:pPr>
      <w:rPr>
        <w:rFonts w:ascii="Wingdings" w:hAnsi="Wingdings" w:cs="Wingdings" w:hint="default"/>
      </w:rPr>
    </w:lvl>
    <w:lvl w:ilvl="6" w:tplc="04090001">
      <w:start w:val="1"/>
      <w:numFmt w:val="bullet"/>
      <w:lvlText w:val=""/>
      <w:lvlJc w:val="left"/>
      <w:pPr>
        <w:tabs>
          <w:tab w:val="num" w:pos="5295"/>
        </w:tabs>
        <w:ind w:left="5295" w:hanging="360"/>
      </w:pPr>
      <w:rPr>
        <w:rFonts w:ascii="Symbol" w:hAnsi="Symbol" w:cs="Symbol" w:hint="default"/>
      </w:rPr>
    </w:lvl>
    <w:lvl w:ilvl="7" w:tplc="04090003">
      <w:start w:val="1"/>
      <w:numFmt w:val="bullet"/>
      <w:lvlText w:val="o"/>
      <w:lvlJc w:val="left"/>
      <w:pPr>
        <w:tabs>
          <w:tab w:val="num" w:pos="6015"/>
        </w:tabs>
        <w:ind w:left="6015" w:hanging="360"/>
      </w:pPr>
      <w:rPr>
        <w:rFonts w:ascii="Courier New" w:hAnsi="Courier New" w:cs="Courier New" w:hint="default"/>
      </w:rPr>
    </w:lvl>
    <w:lvl w:ilvl="8" w:tplc="04090005">
      <w:start w:val="1"/>
      <w:numFmt w:val="bullet"/>
      <w:lvlText w:val=""/>
      <w:lvlJc w:val="left"/>
      <w:pPr>
        <w:tabs>
          <w:tab w:val="num" w:pos="6735"/>
        </w:tabs>
        <w:ind w:left="6735" w:hanging="360"/>
      </w:pPr>
      <w:rPr>
        <w:rFonts w:ascii="Wingdings" w:hAnsi="Wingdings" w:cs="Wingdings" w:hint="default"/>
      </w:rPr>
    </w:lvl>
  </w:abstractNum>
  <w:abstractNum w:abstractNumId="1">
    <w:nsid w:val="60E91009"/>
    <w:multiLevelType w:val="multilevel"/>
    <w:tmpl w:val="69DC8EAE"/>
    <w:lvl w:ilvl="0">
      <w:start w:val="1"/>
      <w:numFmt w:val="decimal"/>
      <w:lvlText w:val="%1."/>
      <w:lvlJc w:val="left"/>
      <w:pPr>
        <w:ind w:left="720" w:hanging="360"/>
      </w:pPr>
      <w:rPr>
        <w:rFonts w:hint="default"/>
        <w:b/>
        <w:sz w:val="26"/>
      </w:rPr>
    </w:lvl>
    <w:lvl w:ilvl="1">
      <w:start w:val="5"/>
      <w:numFmt w:val="decimal"/>
      <w:isLgl/>
      <w:lvlText w:val="%1.%2."/>
      <w:lvlJc w:val="left"/>
      <w:pPr>
        <w:ind w:left="1395" w:hanging="72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365" w:hanging="1800"/>
      </w:pPr>
      <w:rPr>
        <w:rFonts w:hint="default"/>
      </w:rPr>
    </w:lvl>
    <w:lvl w:ilvl="8">
      <w:start w:val="1"/>
      <w:numFmt w:val="decimal"/>
      <w:isLgl/>
      <w:lvlText w:val="%1.%2.%3.%4.%5.%6.%7.%8.%9."/>
      <w:lvlJc w:val="left"/>
      <w:pPr>
        <w:ind w:left="5040" w:hanging="2160"/>
      </w:pPr>
      <w:rPr>
        <w:rFonts w:hint="default"/>
      </w:rPr>
    </w:lvl>
  </w:abstractNum>
  <w:abstractNum w:abstractNumId="2">
    <w:nsid w:val="693F5A2C"/>
    <w:multiLevelType w:val="hybridMultilevel"/>
    <w:tmpl w:val="5C8E1CFE"/>
    <w:lvl w:ilvl="0" w:tplc="469C642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2045F11"/>
    <w:multiLevelType w:val="hybridMultilevel"/>
    <w:tmpl w:val="7466D786"/>
    <w:lvl w:ilvl="0" w:tplc="4E347E3E">
      <w:start w:val="6"/>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DBF"/>
    <w:rsid w:val="000045E0"/>
    <w:rsid w:val="00024E58"/>
    <w:rsid w:val="00041AFE"/>
    <w:rsid w:val="00080946"/>
    <w:rsid w:val="00081D6C"/>
    <w:rsid w:val="00091DE7"/>
    <w:rsid w:val="000A1D01"/>
    <w:rsid w:val="000E1AB1"/>
    <w:rsid w:val="00122404"/>
    <w:rsid w:val="00140CF2"/>
    <w:rsid w:val="001B44B5"/>
    <w:rsid w:val="001C1882"/>
    <w:rsid w:val="00267353"/>
    <w:rsid w:val="00271D6D"/>
    <w:rsid w:val="00275E0F"/>
    <w:rsid w:val="002C07EE"/>
    <w:rsid w:val="002C42D0"/>
    <w:rsid w:val="00357743"/>
    <w:rsid w:val="00362E00"/>
    <w:rsid w:val="003979F9"/>
    <w:rsid w:val="003A5B8D"/>
    <w:rsid w:val="003C7B5C"/>
    <w:rsid w:val="00423D64"/>
    <w:rsid w:val="00432907"/>
    <w:rsid w:val="00440B84"/>
    <w:rsid w:val="00450E3C"/>
    <w:rsid w:val="004B3452"/>
    <w:rsid w:val="004B45CB"/>
    <w:rsid w:val="004F2891"/>
    <w:rsid w:val="005070DB"/>
    <w:rsid w:val="00544B91"/>
    <w:rsid w:val="00561ED4"/>
    <w:rsid w:val="00572201"/>
    <w:rsid w:val="00577C59"/>
    <w:rsid w:val="00595065"/>
    <w:rsid w:val="005C094C"/>
    <w:rsid w:val="005F7A51"/>
    <w:rsid w:val="006208D0"/>
    <w:rsid w:val="00661330"/>
    <w:rsid w:val="0066763A"/>
    <w:rsid w:val="006B7F79"/>
    <w:rsid w:val="006C7882"/>
    <w:rsid w:val="00705C53"/>
    <w:rsid w:val="00714A1C"/>
    <w:rsid w:val="007560C4"/>
    <w:rsid w:val="007668EA"/>
    <w:rsid w:val="007E6E02"/>
    <w:rsid w:val="007F2C24"/>
    <w:rsid w:val="007F46DD"/>
    <w:rsid w:val="007F4EF5"/>
    <w:rsid w:val="00862188"/>
    <w:rsid w:val="008621C0"/>
    <w:rsid w:val="008D1AC8"/>
    <w:rsid w:val="008D5817"/>
    <w:rsid w:val="00903986"/>
    <w:rsid w:val="009264BF"/>
    <w:rsid w:val="009820CC"/>
    <w:rsid w:val="009A5000"/>
    <w:rsid w:val="00A031BB"/>
    <w:rsid w:val="00A05850"/>
    <w:rsid w:val="00A20FE8"/>
    <w:rsid w:val="00A3590B"/>
    <w:rsid w:val="00A36A68"/>
    <w:rsid w:val="00A440A4"/>
    <w:rsid w:val="00AA2069"/>
    <w:rsid w:val="00AA2BAB"/>
    <w:rsid w:val="00AC67C5"/>
    <w:rsid w:val="00B150C9"/>
    <w:rsid w:val="00B607DF"/>
    <w:rsid w:val="00B66896"/>
    <w:rsid w:val="00B715ED"/>
    <w:rsid w:val="00B76CBD"/>
    <w:rsid w:val="00B97E36"/>
    <w:rsid w:val="00BD0FD4"/>
    <w:rsid w:val="00BF346B"/>
    <w:rsid w:val="00C170A4"/>
    <w:rsid w:val="00C4670C"/>
    <w:rsid w:val="00C648AF"/>
    <w:rsid w:val="00C666AE"/>
    <w:rsid w:val="00C7144E"/>
    <w:rsid w:val="00CB6BC1"/>
    <w:rsid w:val="00CD0EF0"/>
    <w:rsid w:val="00D32F9F"/>
    <w:rsid w:val="00D50A8B"/>
    <w:rsid w:val="00D62C33"/>
    <w:rsid w:val="00D711B2"/>
    <w:rsid w:val="00D811CC"/>
    <w:rsid w:val="00D91F0C"/>
    <w:rsid w:val="00DA60F3"/>
    <w:rsid w:val="00DB4CC5"/>
    <w:rsid w:val="00DC0336"/>
    <w:rsid w:val="00DE734D"/>
    <w:rsid w:val="00E2731C"/>
    <w:rsid w:val="00E54360"/>
    <w:rsid w:val="00E73167"/>
    <w:rsid w:val="00E95406"/>
    <w:rsid w:val="00EB2C0F"/>
    <w:rsid w:val="00F01503"/>
    <w:rsid w:val="00F20D09"/>
    <w:rsid w:val="00F22059"/>
    <w:rsid w:val="00F37283"/>
    <w:rsid w:val="00FB5DEC"/>
    <w:rsid w:val="00FF3B63"/>
    <w:rsid w:val="00FF4CEF"/>
    <w:rsid w:val="00FF6D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BF"/>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uiPriority w:val="99"/>
    <w:rsid w:val="00FF6DBF"/>
    <w:pPr>
      <w:jc w:val="center"/>
    </w:pPr>
    <w:rPr>
      <w:b/>
      <w:bCs/>
    </w:rPr>
  </w:style>
  <w:style w:type="paragraph" w:styleId="a3">
    <w:name w:val="List Paragraph"/>
    <w:basedOn w:val="a"/>
    <w:uiPriority w:val="99"/>
    <w:qFormat/>
    <w:rsid w:val="002C07EE"/>
    <w:pPr>
      <w:ind w:left="720"/>
    </w:pPr>
  </w:style>
  <w:style w:type="paragraph" w:styleId="a4">
    <w:name w:val="Balloon Text"/>
    <w:basedOn w:val="a"/>
    <w:link w:val="a5"/>
    <w:uiPriority w:val="99"/>
    <w:semiHidden/>
    <w:rsid w:val="00024E58"/>
    <w:rPr>
      <w:rFonts w:ascii="Tahoma" w:hAnsi="Tahoma" w:cs="Tahoma"/>
      <w:sz w:val="16"/>
      <w:szCs w:val="16"/>
    </w:rPr>
  </w:style>
  <w:style w:type="character" w:customStyle="1" w:styleId="a5">
    <w:name w:val="Текст выноски Знак"/>
    <w:basedOn w:val="a0"/>
    <w:link w:val="a4"/>
    <w:uiPriority w:val="99"/>
    <w:semiHidden/>
    <w:locked/>
    <w:rsid w:val="00024E58"/>
    <w:rPr>
      <w:rFonts w:ascii="Tahoma" w:hAnsi="Tahoma" w:cs="Tahoma"/>
      <w:sz w:val="16"/>
      <w:szCs w:val="16"/>
      <w:lang w:eastAsia="ru-RU"/>
    </w:rPr>
  </w:style>
  <w:style w:type="paragraph" w:customStyle="1" w:styleId="cn">
    <w:name w:val="cn"/>
    <w:basedOn w:val="a"/>
    <w:uiPriority w:val="99"/>
    <w:rsid w:val="004B45CB"/>
    <w:pPr>
      <w:jc w:val="center"/>
    </w:pPr>
    <w:rPr>
      <w:rFonts w:eastAsia="Calibri"/>
    </w:rPr>
  </w:style>
  <w:style w:type="paragraph" w:styleId="a6">
    <w:name w:val="footer"/>
    <w:basedOn w:val="a"/>
    <w:link w:val="a7"/>
    <w:uiPriority w:val="99"/>
    <w:rsid w:val="004B45CB"/>
    <w:pPr>
      <w:tabs>
        <w:tab w:val="center" w:pos="4844"/>
        <w:tab w:val="right" w:pos="9689"/>
      </w:tabs>
    </w:pPr>
  </w:style>
  <w:style w:type="character" w:customStyle="1" w:styleId="a7">
    <w:name w:val="Нижний колонтитул Знак"/>
    <w:basedOn w:val="a0"/>
    <w:link w:val="a6"/>
    <w:uiPriority w:val="99"/>
    <w:semiHidden/>
    <w:locked/>
    <w:rsid w:val="00271D6D"/>
    <w:rPr>
      <w:rFonts w:ascii="Times New Roman" w:hAnsi="Times New Roman" w:cs="Times New Roman"/>
      <w:sz w:val="24"/>
      <w:szCs w:val="24"/>
      <w:lang w:val="ru-RU" w:eastAsia="ru-RU"/>
    </w:rPr>
  </w:style>
  <w:style w:type="character" w:styleId="a8">
    <w:name w:val="page number"/>
    <w:basedOn w:val="a0"/>
    <w:uiPriority w:val="99"/>
    <w:rsid w:val="004B45CB"/>
  </w:style>
  <w:style w:type="character" w:styleId="a9">
    <w:name w:val="Strong"/>
    <w:basedOn w:val="a0"/>
    <w:uiPriority w:val="99"/>
    <w:qFormat/>
    <w:locked/>
    <w:rsid w:val="008D1AC8"/>
    <w:rPr>
      <w:b/>
      <w:bCs/>
    </w:rPr>
  </w:style>
  <w:style w:type="paragraph" w:styleId="aa">
    <w:name w:val="Normal (Web)"/>
    <w:basedOn w:val="a"/>
    <w:uiPriority w:val="99"/>
    <w:rsid w:val="00E54360"/>
    <w:pPr>
      <w:ind w:firstLine="567"/>
      <w:jc w:val="both"/>
    </w:pPr>
    <w:rPr>
      <w:rFonts w:eastAsia="Calibri"/>
    </w:rPr>
  </w:style>
  <w:style w:type="character" w:customStyle="1" w:styleId="apple-converted-space">
    <w:name w:val="apple-converted-space"/>
    <w:basedOn w:val="a0"/>
    <w:uiPriority w:val="99"/>
    <w:rsid w:val="00122404"/>
  </w:style>
  <w:style w:type="paragraph" w:customStyle="1" w:styleId="Style3">
    <w:name w:val="Style3"/>
    <w:basedOn w:val="a"/>
    <w:uiPriority w:val="99"/>
    <w:rsid w:val="007668EA"/>
    <w:pPr>
      <w:widowControl w:val="0"/>
      <w:autoSpaceDE w:val="0"/>
      <w:autoSpaceDN w:val="0"/>
      <w:adjustRightInd w:val="0"/>
      <w:spacing w:line="451" w:lineRule="exact"/>
      <w:ind w:firstLine="730"/>
      <w:jc w:val="both"/>
    </w:pPr>
  </w:style>
  <w:style w:type="character" w:customStyle="1" w:styleId="FontStyle13">
    <w:name w:val="Font Style13"/>
    <w:basedOn w:val="a0"/>
    <w:uiPriority w:val="99"/>
    <w:rsid w:val="007668EA"/>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IACONI</dc:creator>
  <cp:keywords/>
  <dc:description/>
  <cp:lastModifiedBy>smarusic</cp:lastModifiedBy>
  <cp:revision>36</cp:revision>
  <cp:lastPrinted>2014-04-15T14:52:00Z</cp:lastPrinted>
  <dcterms:created xsi:type="dcterms:W3CDTF">2012-04-12T09:07:00Z</dcterms:created>
  <dcterms:modified xsi:type="dcterms:W3CDTF">2014-04-17T07:28:00Z</dcterms:modified>
</cp:coreProperties>
</file>