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E5" w:rsidRPr="002A52C5" w:rsidRDefault="007658E5" w:rsidP="007658E5">
      <w:pPr>
        <w:autoSpaceDE w:val="0"/>
        <w:autoSpaceDN w:val="0"/>
        <w:adjustRightInd w:val="0"/>
        <w:spacing w:after="0" w:line="240" w:lineRule="auto"/>
        <w:rPr>
          <w:rFonts w:ascii="Times New Roman" w:eastAsia="Calibri" w:hAnsi="Times New Roman" w:cs="Times New Roman"/>
          <w:b/>
          <w:bCs/>
          <w:sz w:val="28"/>
          <w:szCs w:val="28"/>
        </w:rPr>
      </w:pPr>
      <w:r w:rsidRPr="002A52C5">
        <w:rPr>
          <w:rFonts w:ascii="Times New Roman" w:eastAsia="Calibri" w:hAnsi="Times New Roman" w:cs="Times New Roman"/>
          <w:b/>
          <w:bCs/>
          <w:sz w:val="28"/>
          <w:szCs w:val="28"/>
        </w:rPr>
        <w:t>NOTĂ INFORMATIVĂ</w:t>
      </w:r>
    </w:p>
    <w:p w:rsidR="007658E5" w:rsidRPr="002A52C5" w:rsidRDefault="007658E5" w:rsidP="007658E5">
      <w:pPr>
        <w:rPr>
          <w:rFonts w:ascii="Times New Roman" w:eastAsia="Calibri" w:hAnsi="Times New Roman" w:cs="Times New Roman"/>
          <w:b/>
          <w:bCs/>
          <w:sz w:val="28"/>
          <w:szCs w:val="28"/>
          <w:lang w:eastAsia="ro-RO"/>
        </w:rPr>
      </w:pPr>
      <w:r w:rsidRPr="002A52C5">
        <w:rPr>
          <w:rFonts w:ascii="Times New Roman" w:eastAsia="Calibri" w:hAnsi="Times New Roman" w:cs="Times New Roman"/>
          <w:sz w:val="32"/>
          <w:szCs w:val="32"/>
        </w:rPr>
        <w:t xml:space="preserve">la proiectul </w:t>
      </w:r>
      <w:r>
        <w:rPr>
          <w:rFonts w:ascii="Times New Roman" w:eastAsia="Calibri" w:hAnsi="Times New Roman" w:cs="Times New Roman"/>
          <w:sz w:val="32"/>
          <w:szCs w:val="32"/>
        </w:rPr>
        <w:t>privind modificarea și completarea Legii nr. 1549-XV din 19 decembrie 2002 cu privire la înregistrarea dactiloscopică de stat</w:t>
      </w:r>
    </w:p>
    <w:tbl>
      <w:tblPr>
        <w:tblW w:w="9936" w:type="dxa"/>
        <w:tblInd w:w="-252" w:type="dxa"/>
        <w:tblLayout w:type="fixed"/>
        <w:tblLook w:val="0000"/>
      </w:tblPr>
      <w:tblGrid>
        <w:gridCol w:w="9936"/>
      </w:tblGrid>
      <w:tr w:rsidR="007658E5" w:rsidRPr="002A52C5" w:rsidTr="00C56751">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7658E5" w:rsidRPr="002A52C5" w:rsidRDefault="007658E5" w:rsidP="00C56751">
            <w:pPr>
              <w:autoSpaceDE w:val="0"/>
              <w:autoSpaceDN w:val="0"/>
              <w:adjustRightInd w:val="0"/>
              <w:spacing w:after="0" w:line="240" w:lineRule="auto"/>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1. Numele iniţiatorului şi a autorului, precum şi a participanţilor la elaborarea proiectului</w:t>
            </w:r>
          </w:p>
        </w:tc>
      </w:tr>
      <w:tr w:rsidR="007658E5" w:rsidRPr="002A52C5" w:rsidTr="00C56751">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658E5" w:rsidRPr="00F0167A" w:rsidRDefault="007658E5" w:rsidP="00C56751">
            <w:pPr>
              <w:autoSpaceDE w:val="0"/>
              <w:autoSpaceDN w:val="0"/>
              <w:adjustRightInd w:val="0"/>
              <w:spacing w:after="0" w:line="240" w:lineRule="auto"/>
              <w:ind w:firstLine="612"/>
              <w:jc w:val="both"/>
              <w:rPr>
                <w:rFonts w:ascii="Times New Roman" w:eastAsia="Calibri" w:hAnsi="Times New Roman" w:cs="Times New Roman"/>
                <w:sz w:val="27"/>
                <w:szCs w:val="27"/>
              </w:rPr>
            </w:pPr>
            <w:r w:rsidRPr="00F0167A">
              <w:rPr>
                <w:rFonts w:ascii="Times New Roman" w:eastAsia="Calibri" w:hAnsi="Times New Roman" w:cs="Times New Roman"/>
                <w:sz w:val="27"/>
                <w:szCs w:val="27"/>
              </w:rPr>
              <w:t>Proiectul de lege privind modificarea și completarea Legii nr. 1549-XV din 19 decembrie 2002 cu privire la înregistrarea dactiloscopică de stat a fost elaborat de către Ministerul Afacerilor Interne.</w:t>
            </w:r>
          </w:p>
        </w:tc>
      </w:tr>
      <w:tr w:rsidR="007658E5" w:rsidRPr="002A52C5" w:rsidTr="00C56751">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7658E5" w:rsidRPr="002A52C5" w:rsidRDefault="007658E5" w:rsidP="00C56751">
            <w:pPr>
              <w:autoSpaceDE w:val="0"/>
              <w:autoSpaceDN w:val="0"/>
              <w:adjustRightInd w:val="0"/>
              <w:spacing w:after="0" w:line="240" w:lineRule="auto"/>
              <w:ind w:firstLine="540"/>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 xml:space="preserve">2. </w:t>
            </w:r>
            <w:r>
              <w:rPr>
                <w:rFonts w:ascii="Times New Roman" w:eastAsia="Calibri" w:hAnsi="Times New Roman" w:cs="Times New Roman"/>
                <w:b/>
                <w:bCs/>
                <w:sz w:val="28"/>
                <w:szCs w:val="28"/>
              </w:rPr>
              <w:t>Condițiile ce au impus elaborarea proiectului și scopul urmărit</w:t>
            </w:r>
          </w:p>
        </w:tc>
      </w:tr>
      <w:tr w:rsidR="007658E5" w:rsidRPr="002A52C5" w:rsidTr="00C56751">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658E5" w:rsidRPr="00F0167A" w:rsidRDefault="007658E5" w:rsidP="00C56751">
            <w:pPr>
              <w:spacing w:after="0" w:line="240" w:lineRule="auto"/>
              <w:ind w:firstLine="720"/>
              <w:jc w:val="both"/>
              <w:rPr>
                <w:rFonts w:ascii="Times New Roman" w:hAnsi="Times New Roman" w:cs="Times New Roman"/>
                <w:sz w:val="27"/>
                <w:szCs w:val="27"/>
              </w:rPr>
            </w:pPr>
            <w:r w:rsidRPr="00F0167A">
              <w:rPr>
                <w:rFonts w:ascii="Times New Roman" w:hAnsi="Times New Roman" w:cs="Times New Roman"/>
                <w:sz w:val="27"/>
                <w:szCs w:val="27"/>
              </w:rPr>
              <w:t xml:space="preserve">Aderarea la Uniunea Europeană (UE) este o orientare strategică pentru Republica Moldova, care presupune adoptarea valorilor şi standardelor europene în întreaga gamă a domeniilor de activitate. </w:t>
            </w:r>
          </w:p>
          <w:p w:rsidR="007658E5" w:rsidRPr="00F0167A" w:rsidRDefault="007658E5" w:rsidP="00C56751">
            <w:pPr>
              <w:spacing w:after="0" w:line="240" w:lineRule="auto"/>
              <w:ind w:firstLine="720"/>
              <w:jc w:val="both"/>
              <w:rPr>
                <w:rFonts w:ascii="Times New Roman" w:hAnsi="Times New Roman" w:cs="Times New Roman"/>
                <w:sz w:val="27"/>
                <w:szCs w:val="27"/>
              </w:rPr>
            </w:pPr>
            <w:r w:rsidRPr="00F0167A">
              <w:rPr>
                <w:rFonts w:ascii="Times New Roman" w:hAnsi="Times New Roman" w:cs="Times New Roman"/>
                <w:sz w:val="27"/>
                <w:szCs w:val="27"/>
              </w:rPr>
              <w:t xml:space="preserve">Necesitatea descoperirii diferitor categorii de crime, inclusiv de rezonanță socială sporită, actelor de terorism şi crime, organizate pe urmele digitale şi palmare este determinată de mai mulţi factori </w:t>
            </w:r>
            <w:proofErr w:type="spellStart"/>
            <w:r w:rsidRPr="00F0167A">
              <w:rPr>
                <w:rFonts w:ascii="Times New Roman" w:hAnsi="Times New Roman" w:cs="Times New Roman"/>
                <w:sz w:val="27"/>
                <w:szCs w:val="27"/>
              </w:rPr>
              <w:t>atît</w:t>
            </w:r>
            <w:proofErr w:type="spellEnd"/>
            <w:r w:rsidRPr="00F0167A">
              <w:rPr>
                <w:rFonts w:ascii="Times New Roman" w:hAnsi="Times New Roman" w:cs="Times New Roman"/>
                <w:sz w:val="27"/>
                <w:szCs w:val="27"/>
              </w:rPr>
              <w:t xml:space="preserve"> obiectivi, cât şi subiectivi, în acest sens UE şi-a dezvoltat un sistem eficient (sistem automatizat dactiloscopic) pentru realizarea căutării automatizate a datelor de referință aflate în sistemele automatizate de identificare a amprentelor digitale/palmare ale statelor membre, precum şi stabilirea modalităților de acces a punctelor naţionale de contact ale statelor membre la datele de referinţă din sistemul AFIS național (sistem automatizat pentru identificarea datelor dactiloscopice). </w:t>
            </w:r>
          </w:p>
          <w:p w:rsidR="007658E5" w:rsidRPr="00F0167A" w:rsidRDefault="007658E5" w:rsidP="00C56751">
            <w:pPr>
              <w:spacing w:after="0" w:line="240" w:lineRule="auto"/>
              <w:ind w:firstLine="720"/>
              <w:jc w:val="both"/>
              <w:rPr>
                <w:rFonts w:ascii="Times New Roman" w:hAnsi="Times New Roman" w:cs="Times New Roman"/>
                <w:sz w:val="27"/>
                <w:szCs w:val="27"/>
              </w:rPr>
            </w:pPr>
            <w:r w:rsidRPr="00F0167A">
              <w:rPr>
                <w:rFonts w:ascii="Times New Roman" w:hAnsi="Times New Roman" w:cs="Times New Roman"/>
                <w:sz w:val="27"/>
                <w:szCs w:val="27"/>
              </w:rPr>
              <w:t xml:space="preserve">În baza suportului pentru Guvernul Republicii Moldova prin consolidarea capacităților laboratoarelor criminalistice ale Ministerului Afacerilor Interne – </w:t>
            </w:r>
            <w:proofErr w:type="spellStart"/>
            <w:r w:rsidRPr="00F0167A">
              <w:rPr>
                <w:rFonts w:ascii="Times New Roman" w:hAnsi="Times New Roman" w:cs="Times New Roman"/>
                <w:sz w:val="27"/>
                <w:szCs w:val="27"/>
              </w:rPr>
              <w:t>EuropeAid</w:t>
            </w:r>
            <w:proofErr w:type="spellEnd"/>
            <w:r w:rsidRPr="00F0167A">
              <w:rPr>
                <w:rFonts w:ascii="Times New Roman" w:hAnsi="Times New Roman" w:cs="Times New Roman"/>
                <w:sz w:val="27"/>
                <w:szCs w:val="27"/>
              </w:rPr>
              <w:t>/134656/C/SUP/MD-NP finanțat de către UE, urmează a fi implementat în cadrul MAI un nou sistem automatizat pentru identificarea datelor dactiloscopice.</w:t>
            </w:r>
          </w:p>
          <w:p w:rsidR="007658E5" w:rsidRPr="00F0167A" w:rsidRDefault="007658E5" w:rsidP="00C56751">
            <w:pPr>
              <w:spacing w:after="0" w:line="240" w:lineRule="auto"/>
              <w:ind w:firstLine="720"/>
              <w:jc w:val="both"/>
              <w:rPr>
                <w:rFonts w:ascii="Times New Roman" w:hAnsi="Times New Roman" w:cs="Times New Roman"/>
                <w:sz w:val="27"/>
                <w:szCs w:val="27"/>
              </w:rPr>
            </w:pPr>
            <w:r w:rsidRPr="00F0167A">
              <w:rPr>
                <w:rFonts w:ascii="Times New Roman" w:hAnsi="Times New Roman" w:cs="Times New Roman"/>
                <w:sz w:val="27"/>
                <w:szCs w:val="27"/>
              </w:rPr>
              <w:t>La elaborarea proiectului de amendament a fost utilizat ca sursă de informare cadrul normativ național și cadrul normativ al Uniunii Europene.</w:t>
            </w:r>
          </w:p>
          <w:p w:rsidR="007658E5" w:rsidRPr="00F0167A" w:rsidRDefault="007658E5" w:rsidP="00C56751">
            <w:pPr>
              <w:spacing w:after="0" w:line="240" w:lineRule="auto"/>
              <w:ind w:firstLine="720"/>
              <w:jc w:val="both"/>
              <w:rPr>
                <w:rFonts w:ascii="Times New Roman" w:hAnsi="Times New Roman" w:cs="Times New Roman"/>
                <w:sz w:val="27"/>
                <w:szCs w:val="27"/>
              </w:rPr>
            </w:pPr>
            <w:r w:rsidRPr="00F0167A">
              <w:rPr>
                <w:rFonts w:ascii="Times New Roman" w:hAnsi="Times New Roman" w:cs="Times New Roman"/>
                <w:sz w:val="27"/>
                <w:szCs w:val="27"/>
              </w:rPr>
              <w:t xml:space="preserve">Conform Legii nr.1549-XV din 19 decembrie 2002 cu privire la înregistrarea dactiloscopică de stat este prevăzut doar codarea şi verificarea amprentelor digitale și a urmelor digitale latente care sunt depistate şi ridicate în cadrul cercetării de la faţa locului a crimelor cu autorii neidentificați, fapt realizat cu ajutorul Sistemului automatizat dactiloscopic DACTO-2000 care este implementat în cadrul MAI.  </w:t>
            </w:r>
          </w:p>
          <w:p w:rsidR="007658E5" w:rsidRPr="002A52C5" w:rsidRDefault="007658E5" w:rsidP="00C56751">
            <w:pPr>
              <w:spacing w:after="0" w:line="240" w:lineRule="auto"/>
              <w:ind w:firstLine="720"/>
              <w:jc w:val="both"/>
            </w:pPr>
            <w:r w:rsidRPr="00F0167A">
              <w:rPr>
                <w:rFonts w:ascii="Times New Roman" w:hAnsi="Times New Roman" w:cs="Times New Roman"/>
                <w:sz w:val="27"/>
                <w:szCs w:val="27"/>
              </w:rPr>
              <w:t>În acest context, elaborarea proiectului de amendament la Legea nr.1549-XV din 19 decembrie 2002 cu privire la înregistrarea dactiloscopică de stat, are ca temei crearea posibilității codării şi verificării, inclusiv, a amprentelor palmare și a urmelor palmare latente.</w:t>
            </w:r>
          </w:p>
        </w:tc>
      </w:tr>
      <w:tr w:rsidR="007658E5" w:rsidRPr="002A52C5" w:rsidTr="00C56751">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7658E5" w:rsidRPr="002A52C5" w:rsidRDefault="007658E5" w:rsidP="00C56751">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 xml:space="preserve">3. </w:t>
            </w:r>
            <w:r>
              <w:rPr>
                <w:rFonts w:ascii="Times New Roman" w:eastAsia="Calibri" w:hAnsi="Times New Roman" w:cs="Times New Roman"/>
                <w:b/>
                <w:bCs/>
                <w:sz w:val="28"/>
                <w:szCs w:val="28"/>
              </w:rPr>
              <w:t>Principalele prevederi ale proiectului</w:t>
            </w:r>
          </w:p>
        </w:tc>
      </w:tr>
      <w:tr w:rsidR="007658E5" w:rsidRPr="002A52C5" w:rsidTr="00C56751">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658E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sidRPr="00CF4E96">
              <w:rPr>
                <w:rFonts w:ascii="Times New Roman" w:eastAsia="Calibri" w:hAnsi="Times New Roman" w:cs="Times New Roman"/>
                <w:sz w:val="28"/>
                <w:szCs w:val="28"/>
              </w:rPr>
              <w:t>Astfel, luând în consideraţie cele menţionate supra, se consideră oportun de modificat art.2 al Legii nr.1549-XV din 19 decembrie 2002 cu privire la înregistrarea dactiloscopică de stat, concretizând, că noul sistem automatizat dactiloscopic (SAD) care va fi implementat în cadrul MAI, va efectua codarea şi verificarea nu numai a amprentelor/urmelor digitale ci şi a amprentelor urmelor palmare.</w:t>
            </w:r>
          </w:p>
          <w:p w:rsidR="007658E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sidRPr="0064605B">
              <w:rPr>
                <w:rFonts w:ascii="Times New Roman" w:eastAsia="Calibri" w:hAnsi="Times New Roman" w:cs="Times New Roman"/>
                <w:sz w:val="28"/>
                <w:szCs w:val="28"/>
              </w:rPr>
              <w:lastRenderedPageBreak/>
              <w:t>De asemenea, în proiectul prezentat se propune modificarea şi completarea unor articole ce nu corespund actelor legislative în vigoare şi ajustarea acestora la condiţiile actuale, după cum urmează:</w:t>
            </w:r>
          </w:p>
          <w:p w:rsidR="007658E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sidRPr="008E27D4">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8E27D4">
              <w:rPr>
                <w:rFonts w:ascii="Times New Roman" w:eastAsia="Calibri" w:hAnsi="Times New Roman" w:cs="Times New Roman"/>
                <w:sz w:val="28"/>
                <w:szCs w:val="28"/>
              </w:rPr>
              <w:t>La articolul 2 se propune substituirea sintagmei„informaţie dactiloscopică” cu sintagma „date dactiloscopice” și definirea acesteia, având ca bază Decizia 2008/615/JAI a Consiliului Europei, privind intensificarea cooperării transfrontaliere, în special în domeniul combaterii terorismului şi a criminalității transfrontaliere. Prin urmare noua definiție are un sens mai amplu ce cuprinde date cu imagini de amprente digitale cât şi imagini cu amprente palmare, precum şi caracteristici codificate ale unor astfel de imagini stocate şi procesate într-o bază de date automatizată.</w:t>
            </w:r>
          </w:p>
          <w:p w:rsidR="007658E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8E27D4">
              <w:rPr>
                <w:rFonts w:ascii="Times New Roman" w:eastAsia="Calibri" w:hAnsi="Times New Roman" w:cs="Times New Roman"/>
                <w:sz w:val="28"/>
                <w:szCs w:val="28"/>
              </w:rPr>
              <w:t>Înregistrarea dactiloscopică a persoanelor se efectuează în mai multe subdiviziuni ale MAI, ulterior suportul material cu datele dactiloscopice sunt expediate în Serviciul tehnologii informaționale al MAI (în continuare STI), ca urmare se substituie cuvântul „subdiviziune” cu cuvântul „subdiviziunile”.</w:t>
            </w:r>
          </w:p>
          <w:p w:rsidR="007658E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AE19DA">
              <w:rPr>
                <w:rFonts w:ascii="Times New Roman" w:eastAsia="Calibri" w:hAnsi="Times New Roman" w:cs="Times New Roman"/>
                <w:sz w:val="28"/>
                <w:szCs w:val="28"/>
              </w:rPr>
              <w:t>Conform art.12, al</w:t>
            </w:r>
            <w:r>
              <w:rPr>
                <w:rFonts w:ascii="Times New Roman" w:eastAsia="Calibri" w:hAnsi="Times New Roman" w:cs="Times New Roman"/>
                <w:sz w:val="28"/>
                <w:szCs w:val="28"/>
              </w:rPr>
              <w:t>in</w:t>
            </w:r>
            <w:r w:rsidRPr="00AE19DA">
              <w:rPr>
                <w:rFonts w:ascii="Times New Roman" w:eastAsia="Calibri" w:hAnsi="Times New Roman" w:cs="Times New Roman"/>
                <w:sz w:val="28"/>
                <w:szCs w:val="28"/>
              </w:rPr>
              <w:t xml:space="preserve">.(2) la categoria </w:t>
            </w:r>
            <w:proofErr w:type="spellStart"/>
            <w:r w:rsidRPr="00AE19DA">
              <w:rPr>
                <w:rFonts w:ascii="Times New Roman" w:eastAsia="Calibri" w:hAnsi="Times New Roman" w:cs="Times New Roman"/>
                <w:sz w:val="28"/>
                <w:szCs w:val="28"/>
              </w:rPr>
              <w:t>dactiloscoparea</w:t>
            </w:r>
            <w:proofErr w:type="spellEnd"/>
            <w:r w:rsidRPr="00AE19DA">
              <w:rPr>
                <w:rFonts w:ascii="Times New Roman" w:eastAsia="Calibri" w:hAnsi="Times New Roman" w:cs="Times New Roman"/>
                <w:sz w:val="28"/>
                <w:szCs w:val="28"/>
              </w:rPr>
              <w:t xml:space="preserve"> obligatorie sunt incluşi conducătorii auto. În cadrul STI al MAI anual parvin fişe dactiloscopice a conducătorilor auto într-un număr foarte redus, fapt ce duce la tergiversarea prevederilor prezentului articol, în acest sens se propune </w:t>
            </w:r>
            <w:proofErr w:type="spellStart"/>
            <w:r w:rsidRPr="00AE19DA">
              <w:rPr>
                <w:rFonts w:ascii="Times New Roman" w:eastAsia="Calibri" w:hAnsi="Times New Roman" w:cs="Times New Roman"/>
                <w:sz w:val="28"/>
                <w:szCs w:val="28"/>
              </w:rPr>
              <w:t>dactiloscoparea</w:t>
            </w:r>
            <w:proofErr w:type="spellEnd"/>
            <w:r w:rsidRPr="00AE19DA">
              <w:rPr>
                <w:rFonts w:ascii="Times New Roman" w:eastAsia="Calibri" w:hAnsi="Times New Roman" w:cs="Times New Roman"/>
                <w:sz w:val="28"/>
                <w:szCs w:val="28"/>
              </w:rPr>
              <w:t xml:space="preserve"> conducătorilor auto la perfectarea permisului şi nu la primirea permisului în urma cărora li se va elibera un certificat conform căruia se va indica faptul ca au fost supuși înregistrării dactiloscopică obligatorie.</w:t>
            </w:r>
            <w:r>
              <w:rPr>
                <w:rFonts w:ascii="Times New Roman" w:eastAsia="Calibri" w:hAnsi="Times New Roman" w:cs="Times New Roman"/>
                <w:sz w:val="28"/>
                <w:szCs w:val="28"/>
              </w:rPr>
              <w:t xml:space="preserve"> Prin urmare, la art. 12 alin. (2) s-a propus substituirea sintagmei „primirea permisului” cu sintagma „perfectarea permisului”.</w:t>
            </w:r>
          </w:p>
          <w:p w:rsidR="007658E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A25453">
              <w:rPr>
                <w:rFonts w:ascii="Times New Roman" w:eastAsia="Calibri" w:hAnsi="Times New Roman" w:cs="Times New Roman"/>
                <w:sz w:val="28"/>
                <w:szCs w:val="28"/>
              </w:rPr>
              <w:t>La art.12, al</w:t>
            </w:r>
            <w:r>
              <w:rPr>
                <w:rFonts w:ascii="Times New Roman" w:eastAsia="Calibri" w:hAnsi="Times New Roman" w:cs="Times New Roman"/>
                <w:sz w:val="28"/>
                <w:szCs w:val="28"/>
              </w:rPr>
              <w:t>in</w:t>
            </w:r>
            <w:r w:rsidRPr="00A25453">
              <w:rPr>
                <w:rFonts w:ascii="Times New Roman" w:eastAsia="Calibri" w:hAnsi="Times New Roman" w:cs="Times New Roman"/>
                <w:sz w:val="28"/>
                <w:szCs w:val="28"/>
              </w:rPr>
              <w:t>.(4) se modifică conținutu</w:t>
            </w:r>
            <w:r>
              <w:rPr>
                <w:rFonts w:ascii="Times New Roman" w:eastAsia="Calibri" w:hAnsi="Times New Roman" w:cs="Times New Roman"/>
                <w:sz w:val="28"/>
                <w:szCs w:val="28"/>
              </w:rPr>
              <w:t>l întregului aline</w:t>
            </w:r>
            <w:r w:rsidRPr="00A25453">
              <w:rPr>
                <w:rFonts w:ascii="Times New Roman" w:eastAsia="Calibri" w:hAnsi="Times New Roman" w:cs="Times New Roman"/>
                <w:sz w:val="28"/>
                <w:szCs w:val="28"/>
              </w:rPr>
              <w:t>at din motivul că în cadrul S</w:t>
            </w:r>
            <w:r>
              <w:rPr>
                <w:rFonts w:ascii="Times New Roman" w:eastAsia="Calibri" w:hAnsi="Times New Roman" w:cs="Times New Roman"/>
                <w:sz w:val="28"/>
                <w:szCs w:val="28"/>
              </w:rPr>
              <w:t>erviciului tehnologii informaționale</w:t>
            </w:r>
            <w:r w:rsidRPr="00A25453">
              <w:rPr>
                <w:rFonts w:ascii="Times New Roman" w:eastAsia="Calibri" w:hAnsi="Times New Roman" w:cs="Times New Roman"/>
                <w:sz w:val="28"/>
                <w:szCs w:val="28"/>
              </w:rPr>
              <w:t xml:space="preserve"> al MAI se prezintă numai suportul material (fișa dactiloscopică) şi nu datele dactiloscopice, acestea fiind prezentate în Centrul tehnico-criminalistic și expertize judiciare al </w:t>
            </w:r>
            <w:r>
              <w:rPr>
                <w:rFonts w:ascii="Times New Roman" w:eastAsia="Calibri" w:hAnsi="Times New Roman" w:cs="Times New Roman"/>
                <w:sz w:val="28"/>
                <w:szCs w:val="28"/>
              </w:rPr>
              <w:t>Inspectoratului Generale al Poliției</w:t>
            </w:r>
            <w:r w:rsidRPr="00A25453">
              <w:rPr>
                <w:rFonts w:ascii="Times New Roman" w:eastAsia="Calibri" w:hAnsi="Times New Roman" w:cs="Times New Roman"/>
                <w:sz w:val="28"/>
                <w:szCs w:val="28"/>
              </w:rPr>
              <w:t xml:space="preserve"> al MAI.</w:t>
            </w:r>
          </w:p>
          <w:p w:rsidR="007658E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Pr>
                <w:rFonts w:ascii="Times New Roman" w:eastAsia="Calibri" w:hAnsi="Times New Roman" w:cs="Times New Roman"/>
                <w:sz w:val="28"/>
                <w:szCs w:val="28"/>
              </w:rPr>
              <w:t>5. În conformitate Legea nr. 59 din 29 martie 2012 privind activitatea specială de investigații și, implicit, caracterul unitar al limbajului legislativ utilizat în actele normative, la art. 14 alin. (1) cuvântul „operativă” se substituie cu cuvântul „specială”.</w:t>
            </w:r>
          </w:p>
          <w:p w:rsidR="007658E5" w:rsidRPr="008E27D4"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p>
        </w:tc>
      </w:tr>
      <w:tr w:rsidR="007658E5" w:rsidRPr="002A52C5" w:rsidTr="00C56751">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7658E5" w:rsidRPr="002A52C5" w:rsidRDefault="007658E5" w:rsidP="00C56751">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lastRenderedPageBreak/>
              <w:t>5. Descrierea constatărilor expertizei anticorupţie</w:t>
            </w:r>
          </w:p>
        </w:tc>
      </w:tr>
      <w:tr w:rsidR="007658E5" w:rsidRPr="002A52C5" w:rsidTr="00C56751">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58E5" w:rsidRPr="002A52C5" w:rsidRDefault="007658E5" w:rsidP="00C56751">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Se va completa după efectuarea expertizei anticorupție de către Centrul Național Anticorupție.</w:t>
            </w:r>
          </w:p>
        </w:tc>
      </w:tr>
      <w:tr w:rsidR="007658E5" w:rsidRPr="002A52C5" w:rsidTr="00C56751">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7658E5" w:rsidRPr="002A52C5" w:rsidRDefault="007658E5" w:rsidP="00C56751">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6. Rezultatele expertizei juridice</w:t>
            </w:r>
          </w:p>
        </w:tc>
      </w:tr>
      <w:tr w:rsidR="007658E5" w:rsidRPr="002A52C5" w:rsidTr="00C56751">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58E5" w:rsidRPr="002A52C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Se va completa după efectuarea expertizei juridice de către Ministerul Justiției. </w:t>
            </w:r>
          </w:p>
        </w:tc>
      </w:tr>
      <w:tr w:rsidR="007658E5" w:rsidRPr="002A52C5" w:rsidTr="00C56751">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7658E5" w:rsidRPr="002A52C5" w:rsidRDefault="007658E5" w:rsidP="00C56751">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t xml:space="preserve">7. Respectarea transparenţei în procesul decizional </w:t>
            </w:r>
          </w:p>
        </w:tc>
      </w:tr>
      <w:tr w:rsidR="007658E5" w:rsidRPr="002A52C5" w:rsidTr="00C56751">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658E5" w:rsidRPr="002A52C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 xml:space="preserve">Proiectul </w:t>
            </w:r>
            <w:r>
              <w:rPr>
                <w:rFonts w:ascii="Times New Roman" w:eastAsia="Calibri" w:hAnsi="Times New Roman" w:cs="Times New Roman"/>
                <w:sz w:val="28"/>
                <w:szCs w:val="28"/>
              </w:rPr>
              <w:t>le</w:t>
            </w:r>
            <w:r w:rsidRPr="002A52C5">
              <w:rPr>
                <w:rFonts w:ascii="Times New Roman" w:eastAsia="Calibri" w:hAnsi="Times New Roman" w:cs="Times New Roman"/>
                <w:sz w:val="28"/>
                <w:szCs w:val="28"/>
              </w:rPr>
              <w:t xml:space="preserve">gii </w:t>
            </w:r>
            <w:r w:rsidRPr="00F0167A">
              <w:rPr>
                <w:rFonts w:ascii="Times New Roman" w:eastAsia="Calibri" w:hAnsi="Times New Roman" w:cs="Times New Roman"/>
                <w:sz w:val="27"/>
                <w:szCs w:val="27"/>
              </w:rPr>
              <w:t xml:space="preserve">privind modificarea și completarea Legii nr. 1549-XV din 19 decembrie 2002 cu privire la înregistrarea dactiloscopică de stat </w:t>
            </w:r>
            <w:r w:rsidRPr="002A52C5">
              <w:rPr>
                <w:rFonts w:ascii="Times New Roman" w:eastAsia="Calibri" w:hAnsi="Times New Roman" w:cs="Times New Roman"/>
                <w:sz w:val="28"/>
                <w:szCs w:val="28"/>
              </w:rPr>
              <w:t xml:space="preserve">este plasat pe pagina oficială a Ministerului Afacerilor Interne </w:t>
            </w:r>
            <w:hyperlink r:id="rId4" w:history="1">
              <w:r w:rsidRPr="00FC3DE2">
                <w:rPr>
                  <w:rStyle w:val="Hyperlink"/>
                  <w:rFonts w:ascii="Times New Roman" w:eastAsia="Calibri" w:hAnsi="Times New Roman" w:cs="Times New Roman"/>
                  <w:sz w:val="28"/>
                  <w:szCs w:val="28"/>
                </w:rPr>
                <w:t>www.mai.gov.md</w:t>
              </w:r>
            </w:hyperlink>
            <w:r>
              <w:rPr>
                <w:rFonts w:ascii="Times New Roman" w:eastAsia="Calibri" w:hAnsi="Times New Roman" w:cs="Times New Roman"/>
                <w:sz w:val="28"/>
                <w:szCs w:val="28"/>
              </w:rPr>
              <w:t xml:space="preserve">, </w:t>
            </w:r>
            <w:r w:rsidRPr="002A52C5">
              <w:rPr>
                <w:rFonts w:ascii="Times New Roman" w:eastAsia="Calibri" w:hAnsi="Times New Roman" w:cs="Times New Roman"/>
                <w:sz w:val="28"/>
                <w:szCs w:val="28"/>
              </w:rPr>
              <w:t xml:space="preserve">la directoriul </w:t>
            </w:r>
            <w:r w:rsidRPr="002A52C5">
              <w:rPr>
                <w:rFonts w:ascii="Times New Roman" w:eastAsia="Calibri" w:hAnsi="Times New Roman" w:cs="Times New Roman"/>
                <w:sz w:val="28"/>
                <w:szCs w:val="28"/>
              </w:rPr>
              <w:lastRenderedPageBreak/>
              <w:t>Transparenţa, secţiunea Consultări publice</w:t>
            </w:r>
            <w:r>
              <w:rPr>
                <w:rFonts w:ascii="Times New Roman" w:eastAsia="Calibri" w:hAnsi="Times New Roman" w:cs="Times New Roman"/>
                <w:sz w:val="28"/>
                <w:szCs w:val="28"/>
              </w:rPr>
              <w:t xml:space="preserve"> și implicit pe portalul </w:t>
            </w:r>
            <w:hyperlink r:id="rId5" w:history="1">
              <w:r w:rsidRPr="00FC3DE2">
                <w:rPr>
                  <w:rStyle w:val="Hyperlink"/>
                  <w:rFonts w:ascii="Times New Roman" w:eastAsia="Calibri" w:hAnsi="Times New Roman" w:cs="Times New Roman"/>
                  <w:sz w:val="28"/>
                  <w:szCs w:val="28"/>
                </w:rPr>
                <w:t>www.particip.gov.md</w:t>
              </w:r>
            </w:hyperlink>
            <w:r>
              <w:rPr>
                <w:rFonts w:ascii="Times New Roman" w:eastAsia="Calibri" w:hAnsi="Times New Roman" w:cs="Times New Roman"/>
                <w:sz w:val="28"/>
                <w:szCs w:val="28"/>
              </w:rPr>
              <w:t xml:space="preserve">. </w:t>
            </w:r>
          </w:p>
        </w:tc>
      </w:tr>
      <w:tr w:rsidR="007658E5" w:rsidRPr="002A52C5" w:rsidTr="00C56751">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7658E5" w:rsidRPr="002A52C5" w:rsidRDefault="007658E5" w:rsidP="00C56751">
            <w:pPr>
              <w:autoSpaceDE w:val="0"/>
              <w:autoSpaceDN w:val="0"/>
              <w:adjustRightInd w:val="0"/>
              <w:spacing w:after="0" w:line="240" w:lineRule="auto"/>
              <w:ind w:firstLine="539"/>
              <w:rPr>
                <w:rFonts w:ascii="Times New Roman" w:eastAsia="Calibri" w:hAnsi="Times New Roman" w:cs="Times New Roman"/>
                <w:sz w:val="28"/>
                <w:szCs w:val="28"/>
              </w:rPr>
            </w:pPr>
            <w:r w:rsidRPr="002A52C5">
              <w:rPr>
                <w:rFonts w:ascii="Times New Roman" w:eastAsia="Calibri" w:hAnsi="Times New Roman" w:cs="Times New Roman"/>
                <w:b/>
                <w:bCs/>
                <w:sz w:val="28"/>
                <w:szCs w:val="28"/>
              </w:rPr>
              <w:lastRenderedPageBreak/>
              <w:t>9. Fundamentarea economico-financiară</w:t>
            </w:r>
          </w:p>
        </w:tc>
      </w:tr>
      <w:tr w:rsidR="007658E5" w:rsidRPr="002A52C5" w:rsidTr="00C56751">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7658E5" w:rsidRPr="002A52C5" w:rsidRDefault="007658E5" w:rsidP="00C56751">
            <w:pPr>
              <w:autoSpaceDE w:val="0"/>
              <w:autoSpaceDN w:val="0"/>
              <w:adjustRightInd w:val="0"/>
              <w:spacing w:after="0" w:line="240" w:lineRule="auto"/>
              <w:ind w:firstLine="612"/>
              <w:jc w:val="both"/>
              <w:rPr>
                <w:rFonts w:ascii="Times New Roman" w:eastAsia="Calibri" w:hAnsi="Times New Roman" w:cs="Times New Roman"/>
                <w:sz w:val="28"/>
                <w:szCs w:val="28"/>
              </w:rPr>
            </w:pPr>
            <w:r w:rsidRPr="002A52C5">
              <w:rPr>
                <w:rFonts w:ascii="Times New Roman" w:eastAsia="Calibri" w:hAnsi="Times New Roman" w:cs="Times New Roman"/>
                <w:sz w:val="28"/>
                <w:szCs w:val="28"/>
              </w:rPr>
              <w:t>Implementarea prevederilor prezentului proiect nu necesită alocarea de mijloace suplimentare de la bugetul de stat.</w:t>
            </w:r>
          </w:p>
        </w:tc>
      </w:tr>
    </w:tbl>
    <w:p w:rsidR="007658E5" w:rsidRDefault="007658E5" w:rsidP="007658E5">
      <w:pPr>
        <w:pStyle w:val="NormalWeb"/>
        <w:ind w:firstLine="0"/>
        <w:jc w:val="center"/>
        <w:rPr>
          <w:b/>
          <w:sz w:val="28"/>
          <w:szCs w:val="28"/>
          <w:lang w:val="ro-RO"/>
        </w:rPr>
      </w:pPr>
    </w:p>
    <w:p w:rsidR="007658E5" w:rsidRDefault="007658E5" w:rsidP="007658E5">
      <w:pPr>
        <w:pStyle w:val="NormalWeb"/>
        <w:ind w:firstLine="0"/>
        <w:jc w:val="center"/>
        <w:rPr>
          <w:b/>
          <w:sz w:val="28"/>
          <w:szCs w:val="28"/>
          <w:lang w:val="ro-RO"/>
        </w:rPr>
      </w:pPr>
    </w:p>
    <w:p w:rsidR="007658E5" w:rsidRDefault="007658E5" w:rsidP="007658E5">
      <w:pPr>
        <w:pStyle w:val="NormalWeb"/>
        <w:ind w:firstLine="0"/>
        <w:jc w:val="center"/>
        <w:rPr>
          <w:b/>
          <w:sz w:val="28"/>
          <w:szCs w:val="28"/>
          <w:lang w:val="ro-RO"/>
        </w:rPr>
      </w:pPr>
    </w:p>
    <w:p w:rsidR="007658E5" w:rsidRPr="002A52C5" w:rsidRDefault="007658E5" w:rsidP="007658E5">
      <w:pPr>
        <w:pStyle w:val="NormalWeb"/>
        <w:ind w:firstLine="0"/>
        <w:jc w:val="center"/>
        <w:rPr>
          <w:sz w:val="28"/>
          <w:szCs w:val="28"/>
          <w:lang w:val="ro-RO"/>
        </w:rPr>
      </w:pPr>
      <w:r w:rsidRPr="002A52C5">
        <w:rPr>
          <w:b/>
          <w:sz w:val="28"/>
          <w:szCs w:val="28"/>
          <w:lang w:val="ro-RO"/>
        </w:rPr>
        <w:t>Ministru</w:t>
      </w:r>
      <w:r w:rsidRPr="002A52C5">
        <w:rPr>
          <w:b/>
          <w:bCs/>
          <w:sz w:val="28"/>
          <w:szCs w:val="28"/>
          <w:lang w:val="ro-RO"/>
        </w:rPr>
        <w:t xml:space="preserve">                                                                     </w:t>
      </w:r>
      <w:r>
        <w:rPr>
          <w:b/>
          <w:bCs/>
          <w:sz w:val="28"/>
          <w:szCs w:val="28"/>
          <w:lang w:val="ro-RO"/>
        </w:rPr>
        <w:t>Alexandru JIZDAN</w:t>
      </w:r>
    </w:p>
    <w:p w:rsidR="007658E5" w:rsidRDefault="007658E5" w:rsidP="007658E5"/>
    <w:p w:rsidR="00786ACF" w:rsidRDefault="00786ACF"/>
    <w:sectPr w:rsidR="00786ACF" w:rsidSect="00786AC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658E5"/>
    <w:rsid w:val="007658E5"/>
    <w:rsid w:val="00786ACF"/>
    <w:rsid w:val="00C13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ind w:left="4859" w:right="40"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E5"/>
    <w:pPr>
      <w:spacing w:before="0" w:line="276" w:lineRule="auto"/>
      <w:ind w:left="0" w:right="0" w:firstLine="0"/>
      <w:jc w:val="center"/>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58E5"/>
    <w:pPr>
      <w:spacing w:after="0" w:line="240" w:lineRule="auto"/>
      <w:ind w:firstLine="567"/>
      <w:jc w:val="both"/>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7658E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hyperlink" Target="http://www.mai.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5395</Characters>
  <Application>Microsoft Office Word</Application>
  <DocSecurity>0</DocSecurity>
  <Lines>44</Lines>
  <Paragraphs>12</Paragraphs>
  <ScaleCrop>false</ScaleCrop>
  <Company>CtrlSoft</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2016-02-04T08:09:00Z</dcterms:created>
  <dcterms:modified xsi:type="dcterms:W3CDTF">2016-02-04T08:09:00Z</dcterms:modified>
</cp:coreProperties>
</file>