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1B" w:rsidRPr="00A456E1" w:rsidRDefault="005E471B" w:rsidP="005E4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456E1">
        <w:rPr>
          <w:rFonts w:ascii="Times New Roman" w:hAnsi="Times New Roman" w:cs="Times New Roman"/>
          <w:b/>
          <w:sz w:val="28"/>
          <w:szCs w:val="28"/>
        </w:rPr>
        <w:t>SINTEZA DIVERGEN</w:t>
      </w:r>
      <w:r w:rsidRPr="00A456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ŢELOR </w:t>
      </w:r>
    </w:p>
    <w:p w:rsidR="007569E2" w:rsidRPr="007569E2" w:rsidRDefault="005E471B" w:rsidP="007569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pr</w:t>
      </w:r>
      <w:r w:rsidR="007569E2">
        <w:rPr>
          <w:rFonts w:ascii="Times New Roman" w:hAnsi="Times New Roman" w:cs="Times New Roman"/>
          <w:sz w:val="28"/>
          <w:szCs w:val="28"/>
          <w:lang w:val="ro-RO"/>
        </w:rPr>
        <w:t xml:space="preserve">oiectul Hotărîrii Guvernului </w:t>
      </w:r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 xml:space="preserve">cu </w:t>
      </w:r>
      <w:proofErr w:type="spellStart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>privire</w:t>
      </w:r>
      <w:proofErr w:type="spellEnd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 xml:space="preserve"> la </w:t>
      </w:r>
      <w:proofErr w:type="spellStart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>aprobarea</w:t>
      </w:r>
      <w:proofErr w:type="spellEnd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>Reglementării</w:t>
      </w:r>
      <w:proofErr w:type="spellEnd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>tehnice</w:t>
      </w:r>
      <w:proofErr w:type="spellEnd"/>
      <w:r w:rsidR="007569E2" w:rsidRPr="007A73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569E2" w:rsidRPr="007A73B5" w:rsidRDefault="007569E2" w:rsidP="007569E2">
      <w:pPr>
        <w:pStyle w:val="tt"/>
        <w:tabs>
          <w:tab w:val="left" w:pos="1560"/>
        </w:tabs>
        <w:rPr>
          <w:b w:val="0"/>
          <w:color w:val="000000"/>
          <w:sz w:val="28"/>
          <w:szCs w:val="28"/>
          <w:lang w:val="en-US"/>
        </w:rPr>
      </w:pPr>
      <w:proofErr w:type="spellStart"/>
      <w:proofErr w:type="gramStart"/>
      <w:r w:rsidRPr="007A73B5">
        <w:rPr>
          <w:b w:val="0"/>
          <w:sz w:val="28"/>
          <w:szCs w:val="28"/>
          <w:lang w:val="en-US"/>
        </w:rPr>
        <w:t>privind</w:t>
      </w:r>
      <w:proofErr w:type="spellEnd"/>
      <w:proofErr w:type="gramEnd"/>
      <w:r w:rsidRPr="007A73B5">
        <w:rPr>
          <w:b w:val="0"/>
          <w:sz w:val="28"/>
          <w:szCs w:val="28"/>
          <w:lang w:val="en-US"/>
        </w:rPr>
        <w:t xml:space="preserve">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punerea</w:t>
      </w:r>
      <w:proofErr w:type="spellEnd"/>
      <w:r w:rsidRPr="007A73B5">
        <w:rPr>
          <w:b w:val="0"/>
          <w:color w:val="000000"/>
          <w:sz w:val="28"/>
          <w:szCs w:val="28"/>
          <w:lang w:val="en-US"/>
        </w:rPr>
        <w:t xml:space="preserve"> la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dispozi</w:t>
      </w:r>
      <w:proofErr w:type="spellEnd"/>
      <w:r w:rsidRPr="007A73B5">
        <w:rPr>
          <w:b w:val="0"/>
          <w:color w:val="000000"/>
          <w:sz w:val="28"/>
          <w:szCs w:val="28"/>
          <w:lang w:val="ro-RO"/>
        </w:rPr>
        <w:t>ţ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ie</w:t>
      </w:r>
      <w:proofErr w:type="spellEnd"/>
      <w:r w:rsidRPr="007A73B5">
        <w:rPr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pe</w:t>
      </w:r>
      <w:proofErr w:type="spellEnd"/>
      <w:r w:rsidRPr="007A73B5">
        <w:rPr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piaţă</w:t>
      </w:r>
      <w:proofErr w:type="spellEnd"/>
      <w:r w:rsidRPr="007A73B5">
        <w:rPr>
          <w:b w:val="0"/>
          <w:color w:val="000000"/>
          <w:sz w:val="28"/>
          <w:szCs w:val="28"/>
          <w:lang w:val="en-US"/>
        </w:rPr>
        <w:t xml:space="preserve"> a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recipientelor</w:t>
      </w:r>
      <w:proofErr w:type="spellEnd"/>
      <w:r w:rsidRPr="007A73B5">
        <w:rPr>
          <w:b w:val="0"/>
          <w:color w:val="000000"/>
          <w:sz w:val="28"/>
          <w:szCs w:val="28"/>
          <w:lang w:val="en-US"/>
        </w:rPr>
        <w:t xml:space="preserve"> simple sub </w:t>
      </w:r>
      <w:proofErr w:type="spellStart"/>
      <w:r w:rsidRPr="007A73B5">
        <w:rPr>
          <w:b w:val="0"/>
          <w:color w:val="000000"/>
          <w:sz w:val="28"/>
          <w:szCs w:val="28"/>
          <w:lang w:val="en-US"/>
        </w:rPr>
        <w:t>presiune</w:t>
      </w:r>
      <w:proofErr w:type="spellEnd"/>
    </w:p>
    <w:p w:rsidR="00F929B4" w:rsidRPr="007569E2" w:rsidRDefault="00F929B4" w:rsidP="00A456E1">
      <w:pPr>
        <w:tabs>
          <w:tab w:val="left" w:pos="33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851"/>
        <w:gridCol w:w="1984"/>
        <w:gridCol w:w="1701"/>
        <w:gridCol w:w="4111"/>
        <w:gridCol w:w="1701"/>
        <w:gridCol w:w="3686"/>
      </w:tblGrid>
      <w:tr w:rsidR="00F929B4" w:rsidTr="00A52870">
        <w:tc>
          <w:tcPr>
            <w:tcW w:w="851" w:type="dxa"/>
          </w:tcPr>
          <w:p w:rsidR="00F929B4" w:rsidRPr="00E72E4F" w:rsidRDefault="004E7AD7" w:rsidP="00B7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  <w:r w:rsidR="00B760F9"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1984" w:type="dxa"/>
          </w:tcPr>
          <w:p w:rsidR="00F929B4" w:rsidRPr="00E72E4F" w:rsidRDefault="004E7AD7" w:rsidP="0037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Autoritatea publică</w:t>
            </w:r>
          </w:p>
        </w:tc>
        <w:tc>
          <w:tcPr>
            <w:tcW w:w="1701" w:type="dxa"/>
          </w:tcPr>
          <w:p w:rsidR="00F929B4" w:rsidRPr="00E72E4F" w:rsidRDefault="00372F8C" w:rsidP="0037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Articolul </w:t>
            </w:r>
          </w:p>
        </w:tc>
        <w:tc>
          <w:tcPr>
            <w:tcW w:w="4111" w:type="dxa"/>
          </w:tcPr>
          <w:p w:rsidR="00F929B4" w:rsidRPr="00E72E4F" w:rsidRDefault="00372F8C" w:rsidP="0037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Obiecţii şi propuneri</w:t>
            </w:r>
          </w:p>
        </w:tc>
        <w:tc>
          <w:tcPr>
            <w:tcW w:w="1701" w:type="dxa"/>
          </w:tcPr>
          <w:p w:rsidR="00F929B4" w:rsidRPr="00E72E4F" w:rsidRDefault="00372F8C" w:rsidP="0037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2E4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Rezultatul precăutării </w:t>
            </w:r>
          </w:p>
        </w:tc>
        <w:tc>
          <w:tcPr>
            <w:tcW w:w="3686" w:type="dxa"/>
          </w:tcPr>
          <w:p w:rsidR="00F929B4" w:rsidRPr="00857F0B" w:rsidRDefault="00F929B4" w:rsidP="0037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B760F9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984" w:type="dxa"/>
          </w:tcPr>
          <w:p w:rsidR="00487E6D" w:rsidRPr="008842CE" w:rsidRDefault="00A70BA6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Sănătăţii</w:t>
            </w: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A415D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</w:tcPr>
          <w:p w:rsidR="00487E6D" w:rsidRPr="008842CE" w:rsidRDefault="00A415DC" w:rsidP="00A4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  <w:tc>
          <w:tcPr>
            <w:tcW w:w="3686" w:type="dxa"/>
          </w:tcPr>
          <w:p w:rsidR="00487E6D" w:rsidRPr="008842CE" w:rsidRDefault="00A415DC" w:rsidP="00A4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A415DC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984" w:type="dxa"/>
          </w:tcPr>
          <w:p w:rsidR="00487E6D" w:rsidRPr="008842CE" w:rsidRDefault="00A415D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Mediului</w:t>
            </w: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A415D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</w:tcPr>
          <w:p w:rsidR="00487E6D" w:rsidRPr="008842CE" w:rsidRDefault="00A415D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---</w:t>
            </w:r>
          </w:p>
        </w:tc>
        <w:tc>
          <w:tcPr>
            <w:tcW w:w="3686" w:type="dxa"/>
          </w:tcPr>
          <w:p w:rsidR="00487E6D" w:rsidRPr="008842CE" w:rsidRDefault="00A415DC" w:rsidP="00A4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250278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984" w:type="dxa"/>
          </w:tcPr>
          <w:p w:rsidR="00487E6D" w:rsidRPr="008842CE" w:rsidRDefault="00442842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Transporturilor şi Infrastructura Drumurilor</w:t>
            </w: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C44F1A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</w:tcPr>
          <w:p w:rsidR="00487E6D" w:rsidRPr="008842CE" w:rsidRDefault="00F249E8" w:rsidP="00F24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  <w:tc>
          <w:tcPr>
            <w:tcW w:w="3686" w:type="dxa"/>
          </w:tcPr>
          <w:p w:rsidR="00487E6D" w:rsidRPr="008842CE" w:rsidRDefault="00F249E8" w:rsidP="00F24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F523E1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984" w:type="dxa"/>
          </w:tcPr>
          <w:p w:rsidR="00487E6D" w:rsidRPr="008842CE" w:rsidRDefault="00F523E1" w:rsidP="00F523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Dezvoltării Regionale şi Construcţiilor</w:t>
            </w: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F523E1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</w:tcPr>
          <w:p w:rsidR="00487E6D" w:rsidRPr="008842CE" w:rsidRDefault="00F523E1" w:rsidP="00F5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  <w:tc>
          <w:tcPr>
            <w:tcW w:w="3686" w:type="dxa"/>
          </w:tcPr>
          <w:p w:rsidR="00487E6D" w:rsidRPr="008842CE" w:rsidRDefault="00F523E1" w:rsidP="00F5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5839A6">
        <w:trPr>
          <w:trHeight w:val="2963"/>
        </w:trPr>
        <w:tc>
          <w:tcPr>
            <w:tcW w:w="851" w:type="dxa"/>
          </w:tcPr>
          <w:p w:rsidR="00487E6D" w:rsidRPr="008842CE" w:rsidRDefault="00E53E26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984" w:type="dxa"/>
          </w:tcPr>
          <w:p w:rsidR="00487E6D" w:rsidRPr="008842CE" w:rsidRDefault="00E53E26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Afacerilor Interne</w:t>
            </w:r>
          </w:p>
        </w:tc>
        <w:tc>
          <w:tcPr>
            <w:tcW w:w="1701" w:type="dxa"/>
          </w:tcPr>
          <w:p w:rsidR="00457863" w:rsidRPr="008842CE" w:rsidRDefault="00457863" w:rsidP="00EC43E9">
            <w:pPr>
              <w:pStyle w:val="40"/>
              <w:shd w:val="clear" w:color="auto" w:fill="auto"/>
              <w:spacing w:before="0" w:after="0" w:line="322" w:lineRule="exact"/>
              <w:ind w:left="20"/>
              <w:rPr>
                <w:b/>
                <w:sz w:val="24"/>
                <w:szCs w:val="24"/>
              </w:rPr>
            </w:pPr>
            <w:r w:rsidRPr="008842CE">
              <w:rPr>
                <w:b/>
                <w:sz w:val="24"/>
                <w:szCs w:val="24"/>
              </w:rPr>
              <w:t>La</w:t>
            </w:r>
            <w:r w:rsidR="000F423B" w:rsidRPr="008842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F423B" w:rsidRPr="008842CE">
              <w:rPr>
                <w:b/>
                <w:sz w:val="24"/>
                <w:szCs w:val="24"/>
              </w:rPr>
              <w:t>proiectul</w:t>
            </w:r>
            <w:proofErr w:type="spellEnd"/>
            <w:r w:rsidR="000F423B" w:rsidRPr="008842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F423B" w:rsidRPr="008842CE">
              <w:rPr>
                <w:b/>
                <w:sz w:val="24"/>
                <w:szCs w:val="24"/>
              </w:rPr>
              <w:t>hotărîrii</w:t>
            </w:r>
            <w:proofErr w:type="spellEnd"/>
            <w:r w:rsidR="000F423B" w:rsidRPr="008842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F423B" w:rsidRPr="008842CE">
              <w:rPr>
                <w:b/>
                <w:sz w:val="24"/>
                <w:szCs w:val="24"/>
              </w:rPr>
              <w:t>Guvernului</w:t>
            </w:r>
            <w:proofErr w:type="spellEnd"/>
          </w:p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457863" w:rsidP="00295D4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7899">
              <w:rPr>
                <w:rFonts w:ascii="Times New Roman" w:hAnsi="Times New Roman" w:cs="Times New Roman"/>
                <w:sz w:val="24"/>
                <w:szCs w:val="24"/>
              </w:rPr>
              <w:t>vînd</w:t>
            </w:r>
            <w:proofErr w:type="spellEnd"/>
            <w:r w:rsidR="0010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9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0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99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="0010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899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="00107899">
              <w:rPr>
                <w:rFonts w:ascii="Times New Roman" w:hAnsi="Times New Roman" w:cs="Times New Roman"/>
                <w:sz w:val="24"/>
                <w:szCs w:val="24"/>
              </w:rPr>
              <w:t xml:space="preserve"> art.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 (6</w:t>
            </w:r>
            <w:r w:rsidRPr="008842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(7)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="00D766E2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420-XVI din 22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2006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cărora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autorităţile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de </w:t>
            </w:r>
            <w:proofErr w:type="spellStart"/>
            <w:r w:rsidRPr="008842CE">
              <w:rPr>
                <w:rStyle w:val="a0"/>
                <w:rFonts w:eastAsiaTheme="minorHAnsi"/>
              </w:rPr>
              <w:t>reglementare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pînă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intrarea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reglementărilor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Style w:val="a0"/>
                <w:rFonts w:eastAsiaTheme="minorHAnsi"/>
              </w:rPr>
              <w:t>aprobă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listele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standardelor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naţionale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voluntare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cuprind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metodele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încercări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metodele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prelevare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probelor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aplicabile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executarea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reglementărilor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respective,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utilizabile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supravegherii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pieţei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Style w:val="a0"/>
                <w:rFonts w:eastAsiaTheme="minorHAnsi"/>
              </w:rPr>
              <w:t>iar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în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lipsa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standardelor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naţionale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voluntare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menţionate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.(6)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Style w:val="a0"/>
                <w:rFonts w:eastAsiaTheme="minorHAnsi"/>
              </w:rPr>
              <w:t>autorităţile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de </w:t>
            </w:r>
            <w:proofErr w:type="spellStart"/>
            <w:r w:rsidRPr="008842CE">
              <w:rPr>
                <w:rStyle w:val="a0"/>
                <w:rFonts w:eastAsiaTheme="minorHAnsi"/>
              </w:rPr>
              <w:t>reglementare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aprobă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metodele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de </w:t>
            </w:r>
            <w:proofErr w:type="spellStart"/>
            <w:r w:rsidRPr="008842CE">
              <w:rPr>
                <w:rStyle w:val="a0"/>
                <w:rFonts w:eastAsiaTheme="minorHAnsi"/>
              </w:rPr>
              <w:t>încercări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Style w:val="a0"/>
                <w:rFonts w:eastAsiaTheme="minorHAnsi"/>
              </w:rPr>
              <w:t>inclusiv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</w:t>
            </w:r>
            <w:proofErr w:type="spellStart"/>
            <w:r w:rsidRPr="008842CE">
              <w:rPr>
                <w:rStyle w:val="a0"/>
                <w:rFonts w:eastAsiaTheme="minorHAnsi"/>
              </w:rPr>
              <w:t>metodele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de </w:t>
            </w:r>
            <w:proofErr w:type="spellStart"/>
            <w:r w:rsidRPr="008842CE">
              <w:rPr>
                <w:rStyle w:val="a0"/>
                <w:rFonts w:eastAsiaTheme="minorHAnsi"/>
              </w:rPr>
              <w:t>prelevare</w:t>
            </w:r>
            <w:proofErr w:type="spellEnd"/>
            <w:r w:rsidRPr="008842CE">
              <w:rPr>
                <w:rStyle w:val="a0"/>
                <w:rFonts w:eastAsiaTheme="minorHAnsi"/>
              </w:rPr>
              <w:t xml:space="preserve"> a </w:t>
            </w:r>
            <w:proofErr w:type="spellStart"/>
            <w:r w:rsidRPr="008842CE">
              <w:rPr>
                <w:rStyle w:val="a0"/>
                <w:rFonts w:eastAsiaTheme="minorHAnsi"/>
              </w:rPr>
              <w:lastRenderedPageBreak/>
              <w:t>probelor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implementarea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executarea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reglementărilor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aprobate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judicios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includerea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hotărîrii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stabilească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Economiei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87E6D" w:rsidRPr="008977C6" w:rsidRDefault="008977C6" w:rsidP="009E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Constatare</w:t>
            </w:r>
            <w:proofErr w:type="spellEnd"/>
          </w:p>
        </w:tc>
        <w:tc>
          <w:tcPr>
            <w:tcW w:w="3686" w:type="dxa"/>
          </w:tcPr>
          <w:p w:rsidR="00487E6D" w:rsidRDefault="008977C6" w:rsidP="00C215AC">
            <w:pPr>
              <w:pStyle w:val="tt"/>
              <w:tabs>
                <w:tab w:val="left" w:pos="1560"/>
              </w:tabs>
              <w:jc w:val="both"/>
              <w:rPr>
                <w:b w:val="0"/>
                <w:color w:val="000000"/>
                <w:lang w:val="en-US"/>
              </w:rPr>
            </w:pPr>
            <w:proofErr w:type="spellStart"/>
            <w:r w:rsidRPr="00316DEF">
              <w:rPr>
                <w:b w:val="0"/>
                <w:lang w:val="en-US"/>
              </w:rPr>
              <w:t>Ministerul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Economiei</w:t>
            </w:r>
            <w:proofErr w:type="spellEnd"/>
            <w:r w:rsidRPr="00316DEF">
              <w:rPr>
                <w:b w:val="0"/>
                <w:lang w:val="en-US"/>
              </w:rPr>
              <w:t xml:space="preserve">, </w:t>
            </w:r>
            <w:proofErr w:type="spellStart"/>
            <w:r w:rsidRPr="00316DEF">
              <w:rPr>
                <w:b w:val="0"/>
                <w:lang w:val="en-US"/>
              </w:rPr>
              <w:t>pînă</w:t>
            </w:r>
            <w:proofErr w:type="spellEnd"/>
            <w:r w:rsidRPr="00316DEF">
              <w:rPr>
                <w:b w:val="0"/>
                <w:lang w:val="en-US"/>
              </w:rPr>
              <w:t xml:space="preserve"> la </w:t>
            </w:r>
            <w:proofErr w:type="spellStart"/>
            <w:r w:rsidRPr="00316DEF">
              <w:rPr>
                <w:b w:val="0"/>
                <w:lang w:val="en-US"/>
              </w:rPr>
              <w:t>intrarea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în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vigoare</w:t>
            </w:r>
            <w:proofErr w:type="spellEnd"/>
            <w:r w:rsidRPr="00316DEF">
              <w:rPr>
                <w:b w:val="0"/>
                <w:lang w:val="en-US"/>
              </w:rPr>
              <w:t xml:space="preserve"> a </w:t>
            </w:r>
            <w:proofErr w:type="spellStart"/>
            <w:r w:rsidRPr="00316DEF">
              <w:rPr>
                <w:b w:val="0"/>
                <w:lang w:val="en-US"/>
              </w:rPr>
              <w:t>prezentei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hotărîri</w:t>
            </w:r>
            <w:proofErr w:type="spellEnd"/>
            <w:r w:rsidRPr="00316DEF">
              <w:rPr>
                <w:b w:val="0"/>
                <w:lang w:val="en-US"/>
              </w:rPr>
              <w:t xml:space="preserve">, </w:t>
            </w:r>
            <w:proofErr w:type="spellStart"/>
            <w:r w:rsidRPr="00316DEF">
              <w:rPr>
                <w:b w:val="0"/>
                <w:lang w:val="en-US"/>
              </w:rPr>
              <w:t>va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elabora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lista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standardelor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conexe</w:t>
            </w:r>
            <w:proofErr w:type="spellEnd"/>
            <w:r w:rsidRPr="00316DEF">
              <w:rPr>
                <w:b w:val="0"/>
                <w:lang w:val="en-US"/>
              </w:rPr>
              <w:t xml:space="preserve"> la </w:t>
            </w:r>
            <w:proofErr w:type="spellStart"/>
            <w:r w:rsidRPr="00316DEF">
              <w:rPr>
                <w:b w:val="0"/>
                <w:lang w:val="en-US"/>
              </w:rPr>
              <w:t>Reglementarea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tehnică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privind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punerea</w:t>
            </w:r>
            <w:proofErr w:type="spellEnd"/>
            <w:r w:rsidRPr="00316DEF">
              <w:rPr>
                <w:b w:val="0"/>
                <w:color w:val="000000"/>
                <w:lang w:val="en-US"/>
              </w:rPr>
              <w:t xml:space="preserve"> la 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dispozi</w:t>
            </w:r>
            <w:proofErr w:type="spellEnd"/>
            <w:r w:rsidRPr="00316DEF">
              <w:rPr>
                <w:b w:val="0"/>
                <w:color w:val="000000"/>
                <w:lang w:val="ro-RO"/>
              </w:rPr>
              <w:t>ţ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ie</w:t>
            </w:r>
            <w:proofErr w:type="spellEnd"/>
            <w:r w:rsidRPr="00316DEF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pe</w:t>
            </w:r>
            <w:proofErr w:type="spellEnd"/>
            <w:r w:rsidRPr="00316DEF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piaţă</w:t>
            </w:r>
            <w:proofErr w:type="spellEnd"/>
            <w:r w:rsidRPr="00316DEF">
              <w:rPr>
                <w:b w:val="0"/>
                <w:color w:val="000000"/>
                <w:lang w:val="en-US"/>
              </w:rPr>
              <w:t xml:space="preserve"> a </w:t>
            </w:r>
            <w:proofErr w:type="spellStart"/>
            <w:r w:rsidRPr="00316DEF">
              <w:rPr>
                <w:b w:val="0"/>
                <w:color w:val="000000"/>
                <w:lang w:val="en-US"/>
              </w:rPr>
              <w:t>recipientelor</w:t>
            </w:r>
            <w:proofErr w:type="spellEnd"/>
            <w:r w:rsidRPr="00316DEF">
              <w:rPr>
                <w:b w:val="0"/>
                <w:lang w:val="en-US"/>
              </w:rPr>
              <w:t xml:space="preserve"> simple sub </w:t>
            </w:r>
            <w:proofErr w:type="spellStart"/>
            <w:r w:rsidRPr="00316DEF">
              <w:rPr>
                <w:b w:val="0"/>
                <w:lang w:val="en-US"/>
              </w:rPr>
              <w:t>presiune</w:t>
            </w:r>
            <w:proofErr w:type="spellEnd"/>
            <w:r w:rsidRPr="00316DEF">
              <w:rPr>
                <w:b w:val="0"/>
                <w:lang w:val="en-US"/>
              </w:rPr>
              <w:t xml:space="preserve">, care </w:t>
            </w:r>
            <w:proofErr w:type="spellStart"/>
            <w:r w:rsidRPr="00316DEF">
              <w:rPr>
                <w:b w:val="0"/>
                <w:lang w:val="en-US"/>
              </w:rPr>
              <w:t>va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fi</w:t>
            </w:r>
            <w:proofErr w:type="spellEnd"/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Pr="00316DEF">
              <w:rPr>
                <w:b w:val="0"/>
                <w:lang w:val="en-US"/>
              </w:rPr>
              <w:t>aprobat</w:t>
            </w:r>
            <w:r w:rsidR="00F64EE3" w:rsidRPr="00316DEF">
              <w:rPr>
                <w:b w:val="0"/>
                <w:lang w:val="en-US"/>
              </w:rPr>
              <w:t>ă</w:t>
            </w:r>
            <w:proofErr w:type="spellEnd"/>
            <w:r w:rsidRPr="00316DEF">
              <w:rPr>
                <w:b w:val="0"/>
                <w:lang w:val="ro-RO"/>
              </w:rPr>
              <w:t xml:space="preserve"> prin Ordinul Ministerului Economiei şi publicat în Monitorul Oficial</w:t>
            </w:r>
            <w:r w:rsidR="00874470" w:rsidRPr="00316DEF">
              <w:rPr>
                <w:b w:val="0"/>
                <w:lang w:val="ro-RO"/>
              </w:rPr>
              <w:t xml:space="preserve"> al Republicii Moldova</w:t>
            </w:r>
            <w:r w:rsidRPr="00316DEF">
              <w:rPr>
                <w:b w:val="0"/>
                <w:lang w:val="ro-RO"/>
              </w:rPr>
              <w:t>.</w:t>
            </w:r>
            <w:r w:rsidRPr="00316DEF">
              <w:rPr>
                <w:lang w:val="en-US"/>
              </w:rPr>
              <w:t xml:space="preserve"> </w:t>
            </w:r>
            <w:r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F37F8" w:rsidRPr="00316DEF">
              <w:rPr>
                <w:b w:val="0"/>
                <w:lang w:val="en-US"/>
              </w:rPr>
              <w:t>Directiva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2014/29 UE </w:t>
            </w:r>
            <w:proofErr w:type="spellStart"/>
            <w:r w:rsidR="003F37F8" w:rsidRPr="00316DEF">
              <w:rPr>
                <w:b w:val="0"/>
                <w:lang w:val="en-US"/>
              </w:rPr>
              <w:t>este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F37F8" w:rsidRPr="00316DEF">
              <w:rPr>
                <w:b w:val="0"/>
                <w:lang w:val="en-US"/>
              </w:rPr>
              <w:t>însoţită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de o </w:t>
            </w:r>
            <w:proofErr w:type="spellStart"/>
            <w:r w:rsidR="003F37F8" w:rsidRPr="00316DEF">
              <w:rPr>
                <w:b w:val="0"/>
                <w:lang w:val="en-US"/>
              </w:rPr>
              <w:t>listă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de </w:t>
            </w:r>
            <w:proofErr w:type="spellStart"/>
            <w:r w:rsidR="003F37F8" w:rsidRPr="00316DEF">
              <w:rPr>
                <w:b w:val="0"/>
                <w:lang w:val="en-US"/>
              </w:rPr>
              <w:t>standarde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F37F8" w:rsidRPr="00316DEF">
              <w:rPr>
                <w:b w:val="0"/>
                <w:lang w:val="en-US"/>
              </w:rPr>
              <w:t>armonizate</w:t>
            </w:r>
            <w:proofErr w:type="spellEnd"/>
            <w:r w:rsidR="003F37F8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F37F8" w:rsidRPr="00316DEF">
              <w:rPr>
                <w:b w:val="0"/>
                <w:lang w:val="en-US"/>
              </w:rPr>
              <w:t>conexe</w:t>
            </w:r>
            <w:proofErr w:type="spellEnd"/>
            <w:r w:rsidR="003F37F8" w:rsidRPr="00316DEF">
              <w:rPr>
                <w:b w:val="0"/>
                <w:lang w:val="en-US"/>
              </w:rPr>
              <w:t>.</w:t>
            </w:r>
            <w:r w:rsidR="00752699">
              <w:rPr>
                <w:b w:val="0"/>
                <w:lang w:val="en-US"/>
              </w:rPr>
              <w:t xml:space="preserve"> </w:t>
            </w:r>
            <w:proofErr w:type="spellStart"/>
            <w:r w:rsidR="00752699">
              <w:rPr>
                <w:b w:val="0"/>
                <w:lang w:val="en-US"/>
              </w:rPr>
              <w:t>Acastă</w:t>
            </w:r>
            <w:proofErr w:type="spellEnd"/>
            <w:r w:rsidR="00752699">
              <w:rPr>
                <w:b w:val="0"/>
                <w:lang w:val="en-US"/>
              </w:rPr>
              <w:t xml:space="preserve"> </w:t>
            </w:r>
            <w:proofErr w:type="spellStart"/>
            <w:r w:rsidR="00752699">
              <w:rPr>
                <w:b w:val="0"/>
                <w:lang w:val="en-US"/>
              </w:rPr>
              <w:t>listă</w:t>
            </w:r>
            <w:proofErr w:type="spellEnd"/>
            <w:r w:rsidR="00752699">
              <w:rPr>
                <w:b w:val="0"/>
                <w:lang w:val="en-US"/>
              </w:rPr>
              <w:t xml:space="preserve"> include</w:t>
            </w:r>
            <w:r w:rsidR="00000BB2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000BB2" w:rsidRPr="00316DEF">
              <w:rPr>
                <w:b w:val="0"/>
                <w:lang w:val="en-US"/>
              </w:rPr>
              <w:t>standarde</w:t>
            </w:r>
            <w:proofErr w:type="spellEnd"/>
            <w:r w:rsidR="00000BB2" w:rsidRPr="00316DEF">
              <w:rPr>
                <w:b w:val="0"/>
                <w:lang w:val="en-US"/>
              </w:rPr>
              <w:t xml:space="preserve"> EN care </w:t>
            </w:r>
            <w:proofErr w:type="spellStart"/>
            <w:r w:rsidR="00000BB2" w:rsidRPr="00316DEF">
              <w:rPr>
                <w:b w:val="0"/>
                <w:lang w:val="en-US"/>
              </w:rPr>
              <w:t>stabilesc</w:t>
            </w:r>
            <w:proofErr w:type="spellEnd"/>
            <w:r w:rsidR="00000BB2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lang w:val="en-US"/>
              </w:rPr>
              <w:t>cerinţe</w:t>
            </w:r>
            <w:proofErr w:type="spellEnd"/>
            <w:r w:rsidR="00316DEF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lang w:val="en-US"/>
              </w:rPr>
              <w:t>esenţiale</w:t>
            </w:r>
            <w:proofErr w:type="spellEnd"/>
            <w:r w:rsidR="00316DEF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lang w:val="en-US"/>
              </w:rPr>
              <w:t>privind</w:t>
            </w:r>
            <w:proofErr w:type="spellEnd"/>
            <w:r w:rsidR="00316DEF" w:rsidRPr="00316DEF">
              <w:rPr>
                <w:b w:val="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punerea</w:t>
            </w:r>
            <w:proofErr w:type="spellEnd"/>
            <w:r w:rsidR="00316DEF" w:rsidRPr="00316DEF">
              <w:rPr>
                <w:b w:val="0"/>
                <w:color w:val="000000"/>
                <w:lang w:val="en-US"/>
              </w:rPr>
              <w:t xml:space="preserve"> la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dispozi</w:t>
            </w:r>
            <w:proofErr w:type="spellEnd"/>
            <w:r w:rsidR="00316DEF" w:rsidRPr="00316DEF">
              <w:rPr>
                <w:b w:val="0"/>
                <w:color w:val="000000"/>
                <w:lang w:val="ro-RO"/>
              </w:rPr>
              <w:t>ţ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ie</w:t>
            </w:r>
            <w:proofErr w:type="spellEnd"/>
            <w:r w:rsidR="00316DEF" w:rsidRPr="00316DEF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pe</w:t>
            </w:r>
            <w:proofErr w:type="spellEnd"/>
            <w:r w:rsidR="00316DEF" w:rsidRPr="00316DEF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piaţă</w:t>
            </w:r>
            <w:proofErr w:type="spellEnd"/>
            <w:r w:rsidR="00316DEF" w:rsidRPr="00316DEF">
              <w:rPr>
                <w:b w:val="0"/>
                <w:color w:val="000000"/>
                <w:lang w:val="en-US"/>
              </w:rPr>
              <w:t xml:space="preserve"> a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recipientelor</w:t>
            </w:r>
            <w:proofErr w:type="spellEnd"/>
            <w:r w:rsidR="00316DEF" w:rsidRPr="00316DEF">
              <w:rPr>
                <w:b w:val="0"/>
                <w:color w:val="000000"/>
                <w:lang w:val="en-US"/>
              </w:rPr>
              <w:t xml:space="preserve"> simple sub </w:t>
            </w:r>
            <w:proofErr w:type="spellStart"/>
            <w:r w:rsidR="00316DEF" w:rsidRPr="00316DEF">
              <w:rPr>
                <w:b w:val="0"/>
                <w:color w:val="000000"/>
                <w:lang w:val="en-US"/>
              </w:rPr>
              <w:t>presiune</w:t>
            </w:r>
            <w:proofErr w:type="spellEnd"/>
            <w:r w:rsidR="00A00125">
              <w:rPr>
                <w:b w:val="0"/>
                <w:color w:val="000000"/>
                <w:lang w:val="en-US"/>
              </w:rPr>
              <w:t>, care</w:t>
            </w:r>
            <w:r w:rsidR="00DA09AE" w:rsidRPr="00A00125">
              <w:rPr>
                <w:color w:val="000000"/>
                <w:lang w:val="en-US"/>
              </w:rPr>
              <w:t xml:space="preserve"> </w:t>
            </w:r>
            <w:r w:rsidR="00DA09AE" w:rsidRPr="00A00125">
              <w:rPr>
                <w:b w:val="0"/>
                <w:color w:val="000000"/>
                <w:lang w:val="en-US"/>
              </w:rPr>
              <w:t xml:space="preserve">pot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fi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introduse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piaţă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numai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dacă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sînt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depozitate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în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mod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corespunzător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şi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utilizate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în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scopul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pentru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care au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lastRenderedPageBreak/>
              <w:t>fost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concepute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,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sau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în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condiţii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de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utilizare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care pot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fi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prevăzute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în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mod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rezonabil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,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şi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nu pun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în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pericol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sănătatea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şi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siguranţa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DA09AE" w:rsidRPr="00A00125">
              <w:rPr>
                <w:b w:val="0"/>
                <w:color w:val="000000"/>
                <w:lang w:val="en-US"/>
              </w:rPr>
              <w:t>persoanelor</w:t>
            </w:r>
            <w:proofErr w:type="spellEnd"/>
            <w:r w:rsidR="00DA09AE" w:rsidRPr="00A00125">
              <w:rPr>
                <w:b w:val="0"/>
                <w:color w:val="000000"/>
                <w:lang w:val="en-US"/>
              </w:rPr>
              <w:t>.</w:t>
            </w:r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Republica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Moldova nu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dispune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de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aceste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standarde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şi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respective nu a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fost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aprobată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lista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standardelor</w:t>
            </w:r>
            <w:proofErr w:type="spellEnd"/>
            <w:r w:rsidR="00656081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656081">
              <w:rPr>
                <w:b w:val="0"/>
                <w:color w:val="000000"/>
                <w:lang w:val="en-US"/>
              </w:rPr>
              <w:t>conexe</w:t>
            </w:r>
            <w:proofErr w:type="spellEnd"/>
            <w:r w:rsidR="00173C5D">
              <w:rPr>
                <w:b w:val="0"/>
                <w:color w:val="000000"/>
                <w:lang w:val="en-US"/>
              </w:rPr>
              <w:t xml:space="preserve"> la </w:t>
            </w:r>
            <w:proofErr w:type="spellStart"/>
            <w:r w:rsidR="00173C5D">
              <w:rPr>
                <w:b w:val="0"/>
                <w:color w:val="000000"/>
                <w:lang w:val="en-US"/>
              </w:rPr>
              <w:t>Reglementarea</w:t>
            </w:r>
            <w:proofErr w:type="spellEnd"/>
            <w:r w:rsidR="00173C5D">
              <w:rPr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173C5D">
              <w:rPr>
                <w:b w:val="0"/>
                <w:color w:val="000000"/>
                <w:lang w:val="en-US"/>
              </w:rPr>
              <w:t>Tehnică</w:t>
            </w:r>
            <w:proofErr w:type="spellEnd"/>
            <w:r w:rsidR="00173C5D">
              <w:rPr>
                <w:b w:val="0"/>
                <w:color w:val="000000"/>
                <w:lang w:val="en-US"/>
              </w:rPr>
              <w:t>.</w:t>
            </w:r>
            <w:r w:rsidR="00656081">
              <w:rPr>
                <w:b w:val="0"/>
                <w:color w:val="000000"/>
                <w:lang w:val="en-US"/>
              </w:rPr>
              <w:t xml:space="preserve"> </w:t>
            </w:r>
          </w:p>
          <w:p w:rsidR="00C9043F" w:rsidRPr="00DA09AE" w:rsidRDefault="00C9043F" w:rsidP="00295D4C">
            <w:pPr>
              <w:jc w:val="both"/>
            </w:pP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listă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actualizează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cîte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necesar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rar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o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an.</w:t>
            </w:r>
          </w:p>
        </w:tc>
      </w:tr>
      <w:tr w:rsidR="004D1DF3" w:rsidRPr="008842CE" w:rsidTr="000F67A7">
        <w:trPr>
          <w:trHeight w:val="2263"/>
        </w:trPr>
        <w:tc>
          <w:tcPr>
            <w:tcW w:w="851" w:type="dxa"/>
            <w:vMerge w:val="restart"/>
          </w:tcPr>
          <w:p w:rsidR="004D1DF3" w:rsidRPr="008842CE" w:rsidRDefault="004D1DF3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 w:val="restart"/>
          </w:tcPr>
          <w:p w:rsidR="004D1DF3" w:rsidRPr="008842CE" w:rsidRDefault="004D1DF3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</w:tcPr>
          <w:p w:rsidR="004D1DF3" w:rsidRPr="00310466" w:rsidRDefault="004D1DF3" w:rsidP="009A36E2">
            <w:pPr>
              <w:pStyle w:val="40"/>
              <w:shd w:val="clear" w:color="auto" w:fill="auto"/>
              <w:spacing w:before="0" w:after="0" w:line="322" w:lineRule="exact"/>
              <w:ind w:left="20" w:firstLine="540"/>
              <w:rPr>
                <w:b/>
                <w:sz w:val="24"/>
                <w:szCs w:val="24"/>
              </w:rPr>
            </w:pPr>
            <w:r w:rsidRPr="00310466">
              <w:rPr>
                <w:b/>
                <w:sz w:val="24"/>
                <w:szCs w:val="24"/>
              </w:rPr>
              <w:t xml:space="preserve">La </w:t>
            </w:r>
            <w:proofErr w:type="spellStart"/>
            <w:r w:rsidRPr="00310466">
              <w:rPr>
                <w:b/>
                <w:sz w:val="24"/>
                <w:szCs w:val="24"/>
              </w:rPr>
              <w:t>proiectul</w:t>
            </w:r>
            <w:proofErr w:type="spellEnd"/>
            <w:r w:rsidRPr="003104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0466">
              <w:rPr>
                <w:b/>
                <w:sz w:val="24"/>
                <w:szCs w:val="24"/>
              </w:rPr>
              <w:t>Reglementării</w:t>
            </w:r>
            <w:proofErr w:type="spellEnd"/>
            <w:r w:rsidRPr="0031046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0466">
              <w:rPr>
                <w:b/>
                <w:sz w:val="24"/>
                <w:szCs w:val="24"/>
              </w:rPr>
              <w:t>tehnice</w:t>
            </w:r>
            <w:proofErr w:type="spellEnd"/>
            <w:r w:rsidRPr="00310466">
              <w:rPr>
                <w:b/>
                <w:sz w:val="24"/>
                <w:szCs w:val="24"/>
              </w:rPr>
              <w:t xml:space="preserve"> "</w:t>
            </w:r>
            <w:proofErr w:type="spellStart"/>
            <w:r w:rsidRPr="00310466">
              <w:rPr>
                <w:b/>
                <w:sz w:val="24"/>
                <w:szCs w:val="24"/>
              </w:rPr>
              <w:t>Recipientele</w:t>
            </w:r>
            <w:proofErr w:type="spellEnd"/>
            <w:r w:rsidRPr="00310466">
              <w:rPr>
                <w:b/>
                <w:sz w:val="24"/>
                <w:szCs w:val="24"/>
              </w:rPr>
              <w:t xml:space="preserve"> simple sub </w:t>
            </w:r>
            <w:proofErr w:type="spellStart"/>
            <w:r w:rsidRPr="00310466">
              <w:rPr>
                <w:b/>
                <w:sz w:val="24"/>
                <w:szCs w:val="24"/>
              </w:rPr>
              <w:t>presiune</w:t>
            </w:r>
            <w:proofErr w:type="spellEnd"/>
            <w:r w:rsidRPr="00310466">
              <w:rPr>
                <w:b/>
                <w:sz w:val="24"/>
                <w:szCs w:val="24"/>
              </w:rPr>
              <w:t>":</w:t>
            </w:r>
          </w:p>
          <w:p w:rsidR="004D1DF3" w:rsidRPr="008842CE" w:rsidRDefault="004D1DF3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4D1DF3" w:rsidRPr="008842CE" w:rsidRDefault="004D1DF3" w:rsidP="00295D4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pct.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420-XVI din 22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2006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căruia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refere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esenţiale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grupele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respective,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stabilindu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-se,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suficient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exacţi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impuse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identificate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plasate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piaţă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varianta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propusă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pct. 7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nu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rezultă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careva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esenţiale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siguranţă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care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presiune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capacitatea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PSxV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50 bar</w:t>
            </w:r>
            <w:r w:rsidR="00A434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l,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CE">
              <w:rPr>
                <w:rStyle w:val="0pt"/>
                <w:rFonts w:eastAsiaTheme="minorHAnsi"/>
              </w:rPr>
              <w:t xml:space="preserve">fie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proiectate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fabricate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practici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comportă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formulare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lasă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loc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interpretări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procesul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implementare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D1DF3" w:rsidRPr="008842CE" w:rsidRDefault="00BF2A9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Constatare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F7A10" w:rsidRPr="007F7A10" w:rsidRDefault="007D4DF8" w:rsidP="007F7A10">
            <w:pPr>
              <w:tabs>
                <w:tab w:val="left" w:pos="567"/>
                <w:tab w:val="left" w:pos="15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7F7A10" w:rsidRPr="007F7A10">
              <w:rPr>
                <w:rFonts w:ascii="Times New Roman" w:hAnsi="Times New Roman"/>
                <w:sz w:val="24"/>
                <w:szCs w:val="24"/>
              </w:rPr>
              <w:t>ecipientele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la care </w:t>
            </w:r>
            <w:proofErr w:type="spellStart"/>
            <w:proofErr w:type="gram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produsul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PSxV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mic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cu 50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bar</w:t>
            </w:r>
            <w:r w:rsidR="007F7A10" w:rsidRPr="007F7A10">
              <w:rPr>
                <w:rFonts w:ascii="Times New Roman" w:hAnsi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care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înt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proiectate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fabricate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conformitate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A10" w:rsidRPr="007F7A10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practice,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poartă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inscripţiile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prevăzute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pct.1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  <w:r w:rsidR="007F7A10" w:rsidRPr="007F7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D1DF3" w:rsidRPr="007F7A10" w:rsidRDefault="004D1DF3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F3" w:rsidRPr="008842CE" w:rsidTr="006C1D9C">
        <w:trPr>
          <w:trHeight w:val="6940"/>
        </w:trPr>
        <w:tc>
          <w:tcPr>
            <w:tcW w:w="851" w:type="dxa"/>
            <w:vMerge/>
          </w:tcPr>
          <w:p w:rsidR="004D1DF3" w:rsidRPr="008842CE" w:rsidRDefault="004D1DF3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4D1DF3" w:rsidRPr="008842CE" w:rsidRDefault="004D1DF3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4D1DF3" w:rsidRPr="008842CE" w:rsidRDefault="004D1DF3" w:rsidP="009A36E2">
            <w:pPr>
              <w:pStyle w:val="40"/>
              <w:shd w:val="clear" w:color="auto" w:fill="auto"/>
              <w:spacing w:before="0" w:after="0" w:line="322" w:lineRule="exact"/>
              <w:ind w:left="20" w:firstLine="54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F3" w:rsidRDefault="004D1DF3" w:rsidP="00310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La pct. 11,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ţine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producătorului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păstra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declaraţia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10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piaţă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menţionat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art. 26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d)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nr. 235 </w:t>
            </w:r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producătorul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păstrării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viată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obiectului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piaţă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concret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păstrare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constitui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neconformitate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ciclul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viaţă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încît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constituind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mare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păstrare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redusă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Obiecţia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valabilă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pct. 19 lit. a) </w:t>
            </w:r>
            <w:proofErr w:type="spellStart"/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pct. 27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Reglementărilor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DF3" w:rsidRPr="008842CE" w:rsidRDefault="00BF2A9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Constatare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D1DF3" w:rsidRPr="0030304C" w:rsidRDefault="00E774B7" w:rsidP="00F01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de menţionat faptul că </w:t>
            </w:r>
            <w:r w:rsidR="003030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235 din 1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activităţile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BF2A9D"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sînt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041">
              <w:rPr>
                <w:rFonts w:ascii="Times New Roman" w:hAnsi="Times New Roman" w:cs="Times New Roman"/>
                <w:sz w:val="24"/>
                <w:szCs w:val="24"/>
              </w:rPr>
              <w:t xml:space="preserve">stipulate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proofErr w:type="spellEnd"/>
            <w:r w:rsidR="00F0104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01041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041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="00F0104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F01041">
              <w:rPr>
                <w:rFonts w:ascii="Times New Roman" w:hAnsi="Times New Roman" w:cs="Times New Roman"/>
                <w:sz w:val="24"/>
                <w:szCs w:val="24"/>
              </w:rPr>
              <w:t>conţin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04C">
              <w:rPr>
                <w:rFonts w:ascii="Times New Roman" w:hAnsi="Times New Roman" w:cs="Times New Roman"/>
                <w:sz w:val="24"/>
                <w:szCs w:val="24"/>
              </w:rPr>
              <w:t>concreţi</w:t>
            </w:r>
            <w:proofErr w:type="spellEnd"/>
            <w:r w:rsidR="0030304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0304C" w:rsidRPr="003030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0304C" w:rsidRPr="0030304C">
              <w:rPr>
                <w:rFonts w:ascii="Times New Roman" w:hAnsi="Times New Roman"/>
                <w:sz w:val="24"/>
                <w:szCs w:val="24"/>
                <w:lang w:val="ro-RO"/>
              </w:rPr>
              <w:t>ăstrare a documenta</w:t>
            </w:r>
            <w:r w:rsidR="0030304C" w:rsidRPr="0030304C">
              <w:rPr>
                <w:rFonts w:ascii="Cambria Math" w:hAnsi="Cambria Math"/>
                <w:sz w:val="24"/>
                <w:szCs w:val="24"/>
                <w:lang w:val="ro-RO"/>
              </w:rPr>
              <w:t>ț</w:t>
            </w:r>
            <w:r w:rsidR="0030304C" w:rsidRPr="00303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iei tehnice </w:t>
            </w:r>
            <w:r w:rsidR="0030304C" w:rsidRPr="0030304C">
              <w:rPr>
                <w:rFonts w:ascii="Cambria Math" w:hAnsi="Cambria Math"/>
                <w:sz w:val="24"/>
                <w:szCs w:val="24"/>
                <w:lang w:val="ro-RO"/>
              </w:rPr>
              <w:t>ș</w:t>
            </w:r>
            <w:r w:rsidR="0030304C" w:rsidRPr="0030304C">
              <w:rPr>
                <w:rFonts w:ascii="Times New Roman" w:hAnsi="Times New Roman"/>
                <w:sz w:val="24"/>
                <w:szCs w:val="24"/>
                <w:lang w:val="ro-RO"/>
              </w:rPr>
              <w:t>i declara</w:t>
            </w:r>
            <w:r w:rsidR="0030304C" w:rsidRPr="0030304C">
              <w:rPr>
                <w:rFonts w:ascii="Cambria Math" w:hAnsi="Cambria Math"/>
                <w:sz w:val="24"/>
                <w:szCs w:val="24"/>
                <w:lang w:val="ro-RO"/>
              </w:rPr>
              <w:t>ț</w:t>
            </w:r>
            <w:r w:rsidR="0030304C" w:rsidRPr="0030304C">
              <w:rPr>
                <w:rFonts w:ascii="Times New Roman" w:hAnsi="Times New Roman"/>
                <w:sz w:val="24"/>
                <w:szCs w:val="24"/>
                <w:lang w:val="ro-RO"/>
              </w:rPr>
              <w:t>iei UE de conformitate</w:t>
            </w:r>
            <w:r w:rsidR="0030304C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30304C" w:rsidRPr="00303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D1DF3" w:rsidRPr="008842CE" w:rsidTr="00310466">
        <w:trPr>
          <w:trHeight w:val="703"/>
        </w:trPr>
        <w:tc>
          <w:tcPr>
            <w:tcW w:w="851" w:type="dxa"/>
            <w:vMerge/>
          </w:tcPr>
          <w:p w:rsidR="004D1DF3" w:rsidRPr="008842CE" w:rsidRDefault="004D1DF3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4D1DF3" w:rsidRPr="008842CE" w:rsidRDefault="004D1DF3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4D1DF3" w:rsidRPr="008842CE" w:rsidRDefault="004D1DF3" w:rsidP="009A36E2">
            <w:pPr>
              <w:pStyle w:val="40"/>
              <w:shd w:val="clear" w:color="auto" w:fill="auto"/>
              <w:spacing w:before="0" w:after="0" w:line="322" w:lineRule="exact"/>
              <w:ind w:left="20" w:firstLine="54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D1DF3" w:rsidRPr="008842CE" w:rsidRDefault="004D1DF3" w:rsidP="00BB7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La pct. 48,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tot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textul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Anexei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nr. 2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simple sub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presiune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Organismele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notificate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"organism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notificat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 se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substitui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organismele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"organism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avînd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art. 2, art. 12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(4) </w:t>
            </w:r>
            <w:proofErr w:type="spellStart"/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art. 15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nr. 235 din 1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activităţile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cărora</w:t>
            </w:r>
            <w:proofErr w:type="spellEnd"/>
            <w:r w:rsidRPr="008842CE">
              <w:rPr>
                <w:rStyle w:val="13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Style w:val="13pt"/>
                <w:rFonts w:eastAsiaTheme="minorHAnsi"/>
                <w:sz w:val="24"/>
                <w:szCs w:val="24"/>
              </w:rPr>
              <w:t>acreditarea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presupune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atestare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organismul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faptului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un organism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îndeplineşte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standardele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referinţă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schemele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Totodată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art. 15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(2)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prenotate</w:t>
            </w:r>
            <w:proofErr w:type="spellEnd"/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organismele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urmare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greşită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formulei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"organ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notificat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deoarece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organ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supus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acreditări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recunoscut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Economiei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potrivit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pct. 48 al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Reglementării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fiind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acreditarea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D1DF3" w:rsidRPr="008842CE" w:rsidRDefault="004D1DF3" w:rsidP="004D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 acceptă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D1DF3" w:rsidRPr="008842CE" w:rsidRDefault="004D6500" w:rsidP="00374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Au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rigoare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7EAB" w:rsidRPr="008842CE" w:rsidTr="005839A6">
        <w:trPr>
          <w:trHeight w:val="3434"/>
        </w:trPr>
        <w:tc>
          <w:tcPr>
            <w:tcW w:w="851" w:type="dxa"/>
            <w:vMerge w:val="restart"/>
          </w:tcPr>
          <w:p w:rsidR="008C7EAB" w:rsidRPr="008842CE" w:rsidRDefault="008C7EAB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839A6" w:rsidRDefault="008C7EAB" w:rsidP="00F929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842CE">
              <w:rPr>
                <w:rFonts w:ascii="Times New Roman" w:hAnsi="Times New Roman"/>
                <w:color w:val="000000"/>
                <w:sz w:val="24"/>
                <w:szCs w:val="24"/>
              </w:rPr>
              <w:t>Inspectoratul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Principal de Stat </w:t>
            </w: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C7EAB" w:rsidRPr="008842CE" w:rsidRDefault="008C7EAB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Supravegherea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C7EAB" w:rsidRPr="008842CE" w:rsidRDefault="008C7EAB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Obiectelor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Industriale</w:t>
            </w:r>
            <w:proofErr w:type="spellEnd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/>
                <w:bCs/>
                <w:sz w:val="24"/>
                <w:szCs w:val="24"/>
              </w:rPr>
              <w:t>Periculoase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C7EAB" w:rsidRPr="008842CE" w:rsidRDefault="008C7EAB" w:rsidP="003939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proiectul Reglementării Tehnice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C7EAB" w:rsidRPr="008842CE" w:rsidRDefault="008C7EAB" w:rsidP="00361EE2">
            <w:pPr>
              <w:tabs>
                <w:tab w:val="left" w:pos="668"/>
              </w:tabs>
              <w:spacing w:line="322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2F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DC52FB">
              <w:rPr>
                <w:rFonts w:ascii="Times New Roman" w:hAnsi="Times New Roman" w:cs="Times New Roman"/>
                <w:sz w:val="24"/>
                <w:szCs w:val="24"/>
              </w:rPr>
              <w:t>corectat</w:t>
            </w:r>
            <w:proofErr w:type="spellEnd"/>
            <w:r w:rsidR="00DC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2FB">
              <w:rPr>
                <w:rFonts w:ascii="Times New Roman" w:hAnsi="Times New Roman" w:cs="Times New Roman"/>
                <w:sz w:val="24"/>
                <w:szCs w:val="24"/>
              </w:rPr>
              <w:t>eroarea</w:t>
            </w:r>
            <w:proofErr w:type="spellEnd"/>
            <w:r w:rsidR="00DC52FB">
              <w:rPr>
                <w:rFonts w:ascii="Times New Roman" w:hAnsi="Times New Roman" w:cs="Times New Roman"/>
                <w:sz w:val="24"/>
                <w:szCs w:val="24"/>
              </w:rPr>
              <w:t xml:space="preserve"> din pct.1 alin.1) </w:t>
            </w:r>
            <w:proofErr w:type="spellStart"/>
            <w:r w:rsidR="00DC52FB">
              <w:rPr>
                <w:rFonts w:ascii="Times New Roman" w:hAnsi="Times New Roman" w:cs="Times New Roman"/>
                <w:sz w:val="24"/>
                <w:szCs w:val="24"/>
              </w:rPr>
              <w:t>lit.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referitor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maxima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aluminiu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7EAB" w:rsidRPr="008842CE" w:rsidRDefault="008C7EAB" w:rsidP="004111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acceptă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C7EAB" w:rsidRPr="003860FC" w:rsidRDefault="003860F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Au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rigoare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7EAB" w:rsidRPr="008842CE" w:rsidTr="006B7BD6">
        <w:trPr>
          <w:trHeight w:val="6889"/>
        </w:trPr>
        <w:tc>
          <w:tcPr>
            <w:tcW w:w="851" w:type="dxa"/>
            <w:vMerge/>
          </w:tcPr>
          <w:p w:rsidR="008C7EAB" w:rsidRPr="008842CE" w:rsidRDefault="008C7EAB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8C7EAB" w:rsidRPr="008842CE" w:rsidRDefault="008C7EAB" w:rsidP="00F92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EAB" w:rsidRPr="008842CE" w:rsidRDefault="008C7EAB" w:rsidP="0039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anexa nr.1 la Reglementare</w:t>
            </w:r>
            <w:r w:rsidR="009C12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Tehnică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C7EAB" w:rsidRPr="008842CE" w:rsidRDefault="008C7EAB" w:rsidP="0028002B">
            <w:pPr>
              <w:tabs>
                <w:tab w:val="left" w:pos="586"/>
              </w:tabs>
              <w:spacing w:line="322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nr. 1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simple sub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presiune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'" </w:t>
            </w:r>
            <w:proofErr w:type="spellStart"/>
            <w:r w:rsidRPr="008842CE">
              <w:rPr>
                <w:rStyle w:val="13pt0pt"/>
                <w:rFonts w:eastAsiaTheme="minorHAnsi"/>
                <w:sz w:val="24"/>
                <w:szCs w:val="24"/>
              </w:rPr>
              <w:t>Cerinţe</w:t>
            </w:r>
            <w:proofErr w:type="spellEnd"/>
            <w:r w:rsidRPr="008842CE">
              <w:rPr>
                <w:rStyle w:val="13pt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Style w:val="13pt0pt"/>
                <w:rFonts w:eastAsiaTheme="minorHAnsi"/>
                <w:sz w:val="24"/>
                <w:szCs w:val="24"/>
              </w:rPr>
              <w:t>Esenţiale</w:t>
            </w:r>
            <w:proofErr w:type="spellEnd"/>
            <w:r w:rsidRPr="008842CE">
              <w:rPr>
                <w:rStyle w:val="13pt0pt"/>
                <w:rFonts w:eastAsiaTheme="minorHAnsi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Style w:val="13pt0pt"/>
                <w:rFonts w:eastAsiaTheme="minorHAnsi"/>
                <w:sz w:val="24"/>
                <w:szCs w:val="24"/>
              </w:rPr>
              <w:t>Siguranţă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deplin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indicate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7EAB" w:rsidRPr="008842CE" w:rsidRDefault="008C7EAB" w:rsidP="0028002B">
            <w:pPr>
              <w:spacing w:line="322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fabricarea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propusă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stipulate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unele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materialele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considerăm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deplin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indicate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standardele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conexe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7EAB" w:rsidRPr="008842CE" w:rsidRDefault="008C7EAB" w:rsidP="0028002B">
            <w:pPr>
              <w:spacing w:line="322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construcţia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lipsesc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dispozitivele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suprapresiunii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dispozitivilor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măsurare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presiunii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temperaturii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utilajului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dirijarea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proceselor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tehnologice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etc;</w:t>
            </w:r>
          </w:p>
          <w:p w:rsidR="008C7EAB" w:rsidRPr="008842CE" w:rsidRDefault="008C7EAB" w:rsidP="006B7BD6">
            <w:pPr>
              <w:spacing w:line="322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faţă</w:t>
            </w:r>
            <w:proofErr w:type="spellEnd"/>
            <w:proofErr w:type="gram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metodele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procedurile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rezistenţei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recipientelor</w:t>
            </w:r>
            <w:proofErr w:type="spellEnd"/>
            <w:r w:rsidRPr="008842C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7EAB" w:rsidRPr="008842CE" w:rsidRDefault="00556541" w:rsidP="005565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1B4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acceptă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C7EAB" w:rsidRPr="008842CE" w:rsidRDefault="009E1B70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Au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rigoare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8C7EAB" w:rsidRPr="008842CE" w:rsidTr="001422E6">
        <w:trPr>
          <w:trHeight w:val="2265"/>
        </w:trPr>
        <w:tc>
          <w:tcPr>
            <w:tcW w:w="851" w:type="dxa"/>
            <w:vMerge/>
          </w:tcPr>
          <w:p w:rsidR="008C7EAB" w:rsidRPr="008842CE" w:rsidRDefault="008C7EAB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8C7EAB" w:rsidRPr="008842CE" w:rsidRDefault="008C7EAB" w:rsidP="00F92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C7EAB" w:rsidRDefault="00B50FC9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Nota Informativă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0746A" w:rsidRPr="00250530" w:rsidRDefault="006B7BD6" w:rsidP="007F3F90">
            <w:pPr>
              <w:tabs>
                <w:tab w:val="left" w:pos="591"/>
              </w:tabs>
              <w:spacing w:after="313" w:line="322" w:lineRule="exact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7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corectat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>Lege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>Reglementare</w:t>
            </w:r>
            <w:proofErr w:type="spellEnd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Style w:val="13pt0pt"/>
                <w:rFonts w:eastAsiaTheme="minorHAnsi"/>
                <w:sz w:val="24"/>
                <w:szCs w:val="24"/>
              </w:rPr>
              <w:t>Tehnică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din Nota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Informativă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Hotărîrii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Reglementării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Recipiente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 xml:space="preserve"> simple sub </w:t>
            </w:r>
            <w:proofErr w:type="spellStart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presiune</w:t>
            </w:r>
            <w:proofErr w:type="spellEnd"/>
            <w:r w:rsidR="008C7EAB" w:rsidRPr="008842CE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7EAB" w:rsidRPr="006E2DA7" w:rsidRDefault="006E2DA7" w:rsidP="006E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C7EAB" w:rsidRPr="003860FC" w:rsidRDefault="003860F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Au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rigoare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55700" w:rsidRPr="008842CE" w:rsidTr="00823A63">
        <w:trPr>
          <w:trHeight w:val="2542"/>
        </w:trPr>
        <w:tc>
          <w:tcPr>
            <w:tcW w:w="851" w:type="dxa"/>
            <w:vMerge w:val="restart"/>
          </w:tcPr>
          <w:p w:rsidR="00A55700" w:rsidRPr="008842CE" w:rsidRDefault="00A55700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1984" w:type="dxa"/>
            <w:vMerge w:val="restart"/>
          </w:tcPr>
          <w:p w:rsidR="00A55700" w:rsidRPr="00173FBA" w:rsidRDefault="00A55700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ntrul Naţional de Acreditare </w:t>
            </w:r>
          </w:p>
          <w:p w:rsidR="00A55700" w:rsidRPr="008842CE" w:rsidRDefault="00A55700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5700" w:rsidRPr="005F7E8B" w:rsidRDefault="00A55700" w:rsidP="00801D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7E8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L</w:t>
            </w:r>
            <w:r w:rsidRPr="005F7E8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capitolul </w:t>
            </w:r>
            <w:r w:rsidRPr="005F7E8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55700" w:rsidRPr="005F7E8B" w:rsidRDefault="00A55700" w:rsidP="005F7E8B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24"/>
                <w:szCs w:val="24"/>
                <w:lang w:val="ro-RO"/>
              </w:rPr>
            </w:pPr>
            <w:r w:rsidRPr="005F7E8B">
              <w:rPr>
                <w:b w:val="0"/>
                <w:sz w:val="24"/>
                <w:szCs w:val="24"/>
                <w:lang w:val="ro-MO"/>
              </w:rPr>
              <w:t xml:space="preserve">La capitolul </w:t>
            </w:r>
            <w:r w:rsidRPr="005F7E8B">
              <w:rPr>
                <w:b w:val="0"/>
                <w:sz w:val="24"/>
                <w:szCs w:val="24"/>
              </w:rPr>
              <w:t xml:space="preserve">III,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alineatul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 “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Proceduri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evaluare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a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conformităţii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”: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Înainte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de pct. 69 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completat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cu </w:t>
            </w:r>
            <w:proofErr w:type="gramStart"/>
            <w:r w:rsidRPr="005F7E8B">
              <w:rPr>
                <w:b w:val="0"/>
                <w:sz w:val="24"/>
                <w:szCs w:val="24"/>
              </w:rPr>
              <w:t>un</w:t>
            </w:r>
            <w:proofErr w:type="gram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punct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în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următoarea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redacţie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: </w:t>
            </w:r>
            <w:r w:rsidRPr="005F7E8B">
              <w:rPr>
                <w:b w:val="0"/>
                <w:i/>
                <w:sz w:val="24"/>
                <w:szCs w:val="24"/>
              </w:rPr>
              <w:t>“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Procedurile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evaluare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a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conformităţii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prevăzute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în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prezenta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reglementare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se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efectuează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organisme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evaluare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a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conformităţii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acreditate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şi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recunoscute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în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conformitate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cu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legislaţia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în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i/>
                <w:sz w:val="24"/>
                <w:szCs w:val="24"/>
              </w:rPr>
              <w:t>vigoare</w:t>
            </w:r>
            <w:proofErr w:type="spellEnd"/>
            <w:r w:rsidRPr="005F7E8B">
              <w:rPr>
                <w:b w:val="0"/>
                <w:i/>
                <w:sz w:val="24"/>
                <w:szCs w:val="24"/>
              </w:rPr>
              <w:t>”</w:t>
            </w:r>
            <w:r w:rsidRPr="005F7E8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5700" w:rsidRPr="008371B6" w:rsidRDefault="00A55700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acceptă</w:t>
            </w:r>
            <w:proofErr w:type="spellEnd"/>
          </w:p>
          <w:p w:rsidR="00A55700" w:rsidRPr="008842CE" w:rsidRDefault="00A55700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55700" w:rsidRPr="008842CE" w:rsidRDefault="00A55700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Au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efectuate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rigoare</w:t>
            </w:r>
            <w:proofErr w:type="spellEnd"/>
            <w:r w:rsidRPr="003860FC">
              <w:rPr>
                <w:rStyle w:val="Emphasis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55700" w:rsidRPr="008842CE" w:rsidTr="00823A63">
        <w:trPr>
          <w:trHeight w:val="165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5700" w:rsidRPr="008842CE" w:rsidRDefault="00A55700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55700" w:rsidRPr="00FE5550" w:rsidRDefault="00A55700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700" w:rsidRPr="005F7E8B" w:rsidRDefault="00A55700" w:rsidP="00F6334D">
            <w:pPr>
              <w:pStyle w:val="Heading3"/>
              <w:spacing w:before="0" w:beforeAutospacing="0" w:after="0" w:afterAutospacing="0" w:line="360" w:lineRule="auto"/>
              <w:outlineLvl w:val="2"/>
              <w:rPr>
                <w:b w:val="0"/>
                <w:sz w:val="24"/>
                <w:szCs w:val="24"/>
              </w:rPr>
            </w:pPr>
            <w:r w:rsidRPr="005F7E8B">
              <w:rPr>
                <w:b w:val="0"/>
                <w:sz w:val="24"/>
                <w:szCs w:val="24"/>
              </w:rPr>
              <w:t xml:space="preserve">La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capitolul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</w:t>
            </w:r>
            <w:r w:rsidRPr="005F7E8B">
              <w:rPr>
                <w:b w:val="0"/>
                <w:sz w:val="24"/>
                <w:szCs w:val="24"/>
              </w:rPr>
              <w:t>V</w:t>
            </w:r>
          </w:p>
          <w:p w:rsidR="00A55700" w:rsidRPr="005F7E8B" w:rsidRDefault="00A55700" w:rsidP="00801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55700" w:rsidRPr="005F7E8B" w:rsidRDefault="00A55700" w:rsidP="00F6334D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ro-MO"/>
              </w:rPr>
            </w:pPr>
            <w:r w:rsidRPr="005F7E8B">
              <w:rPr>
                <w:b w:val="0"/>
                <w:sz w:val="24"/>
                <w:szCs w:val="24"/>
              </w:rPr>
              <w:t xml:space="preserve">La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capitolul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IV.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E8B">
              <w:rPr>
                <w:b w:val="0"/>
                <w:sz w:val="24"/>
                <w:szCs w:val="24"/>
              </w:rPr>
              <w:t>Cerinţele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privind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notificarea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adus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în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conformitate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cu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Legea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235 din 01.12.2011 “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privind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activităţile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acreditare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evaluare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conformităţii</w:t>
            </w:r>
            <w:proofErr w:type="spellEnd"/>
            <w:r w:rsidRPr="005F7E8B"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>”.</w:t>
            </w:r>
            <w:proofErr w:type="gramEnd"/>
            <w:r>
              <w:rPr>
                <w:b w:val="0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E8B">
              <w:rPr>
                <w:b w:val="0"/>
                <w:sz w:val="24"/>
                <w:szCs w:val="24"/>
              </w:rPr>
              <w:t xml:space="preserve">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stabilit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cerinţe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privind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recunoaşterea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OEC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acreditate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către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autoritatea</w:t>
            </w:r>
            <w:proofErr w:type="spellEnd"/>
            <w:r w:rsidRPr="005F7E8B">
              <w:rPr>
                <w:b w:val="0"/>
                <w:sz w:val="24"/>
                <w:szCs w:val="24"/>
              </w:rPr>
              <w:t xml:space="preserve"> de </w:t>
            </w:r>
            <w:proofErr w:type="spellStart"/>
            <w:r w:rsidRPr="005F7E8B">
              <w:rPr>
                <w:b w:val="0"/>
                <w:sz w:val="24"/>
                <w:szCs w:val="24"/>
              </w:rPr>
              <w:t>reglementare</w:t>
            </w:r>
            <w:proofErr w:type="spellEnd"/>
            <w:r w:rsidRPr="005F7E8B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5700" w:rsidRPr="008371B6" w:rsidRDefault="00A55700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Constatare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55700" w:rsidRPr="008371B6" w:rsidRDefault="00A55700" w:rsidP="00720DC1">
            <w:pPr>
              <w:pStyle w:val="ListParagraph"/>
              <w:shd w:val="clear" w:color="auto" w:fill="FFFFFF" w:themeFill="background1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pct.4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lit.f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) al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Hotărîrii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menţionat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Economiei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recunoaşte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organismele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realizeazã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conformitãţii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recipientelor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destinate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pieţei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naţionale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, conform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procedurilor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prevãzute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21EA1">
              <w:rPr>
                <w:rFonts w:ascii="Times New Roman" w:hAnsi="Times New Roman"/>
                <w:sz w:val="24"/>
                <w:szCs w:val="24"/>
              </w:rPr>
              <w:t>capitolul</w:t>
            </w:r>
            <w:proofErr w:type="spellEnd"/>
            <w:r w:rsidRPr="00321EA1">
              <w:rPr>
                <w:rFonts w:ascii="Times New Roman" w:hAnsi="Times New Roman"/>
                <w:sz w:val="24"/>
                <w:szCs w:val="24"/>
              </w:rPr>
              <w:t xml:space="preserve"> IV</w:t>
            </w:r>
            <w:r w:rsidRPr="00321E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55BA1" w:rsidRPr="008842CE" w:rsidTr="00816BE9">
        <w:trPr>
          <w:trHeight w:val="32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F6334D" w:rsidRDefault="00FE5C99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96734C" w:rsidRDefault="0096734C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ţional Anticorupţie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1E5C58" w:rsidRDefault="00D145DF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Pct.6, pct.129 al proiectului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D55BA1" w:rsidRDefault="006E52C5" w:rsidP="00643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Recomandarea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recomadă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autorului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reglementarea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noţiunii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speţă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6430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evidenţierea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exhaustivă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circumstanţelor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recipientul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apreciat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</w:t>
            </w:r>
            <w:r w:rsidR="003A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bun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Totodată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urmează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revăzută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sintagma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: „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acoperind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="003A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cerin</w:t>
            </w:r>
            <w:r w:rsidRPr="006E52C5">
              <w:rPr>
                <w:rFonts w:ascii="Cambria Math" w:eastAsia="Times New Roman" w:hAnsi="Cambria Math" w:cs="Times New Roman"/>
                <w:sz w:val="24"/>
                <w:szCs w:val="24"/>
              </w:rPr>
              <w:t>ț</w:t>
            </w:r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Reglementare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concretizării</w:t>
            </w:r>
            <w:proofErr w:type="spellEnd"/>
            <w:r w:rsidR="003A6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acţiunilor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efectuarea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evaluării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recipientului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2C5">
              <w:rPr>
                <w:rFonts w:ascii="Times New Roman" w:eastAsia="Times New Roman" w:hAnsi="Times New Roman" w:cs="Times New Roman"/>
                <w:sz w:val="24"/>
                <w:szCs w:val="24"/>
              </w:rPr>
              <w:t>cauză</w:t>
            </w:r>
            <w:proofErr w:type="spellEnd"/>
            <w:r w:rsidR="00816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CB255D" w:rsidRDefault="00CB255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55BA1" w:rsidRPr="006E52C5" w:rsidRDefault="00D55BA1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F6334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1E5C58" w:rsidRDefault="004E7323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Pct.103-104 al proiectului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9C3BCE" w:rsidP="00463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Recomandarea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autorului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revizuirea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normei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citate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prisma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sus-menţionate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stabilirii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norme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clare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reglementează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cronologia</w:t>
            </w:r>
            <w:proofErr w:type="spellEnd"/>
            <w:r w:rsidR="00A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desfăşurării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procedurii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speţă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examinare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autoritate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A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notificare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propriu-zisă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organismului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conformităţii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cît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faptului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dacă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prestat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autoritate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 cost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gratis.</w:t>
            </w:r>
            <w:r w:rsidR="00A02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Subsidiar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-model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notificare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acesteia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anexă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9C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</w:t>
            </w:r>
            <w:r w:rsid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7F4137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1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F6334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1E5C58" w:rsidRDefault="00715615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Pct.113 al proiectului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463D86" w:rsidP="007B0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Recomandarea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revizuirea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normei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pct.113 al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prisma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D86">
              <w:rPr>
                <w:rFonts w:ascii="Times New Roman" w:eastAsia="Times New Roman" w:hAnsi="Times New Roman" w:cs="Times New Roman"/>
                <w:sz w:val="24"/>
                <w:szCs w:val="24"/>
              </w:rPr>
              <w:t>sus-menţionate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7F4137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F6334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1E5C58" w:rsidRDefault="00F74CCE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Pct.124-125, 148 al proiectului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F74CCE" w:rsidP="00FA0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Recomandarea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recomandă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autorului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revizuirea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normei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prisma</w:t>
            </w:r>
            <w:proofErr w:type="spellEnd"/>
            <w:r w:rsidR="00FA0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analizei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>expuse</w:t>
            </w:r>
            <w:proofErr w:type="spellEnd"/>
            <w:r w:rsidRPr="00F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anterior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7F4137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1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F6334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F9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8842CE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97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8842CE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9779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066DDD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8842CE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Default="00066DDD" w:rsidP="009779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D55BA1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66DDD" w:rsidRPr="006E52C5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DD" w:rsidRPr="008842CE" w:rsidTr="00D55BA1">
        <w:trPr>
          <w:trHeight w:val="1695"/>
        </w:trPr>
        <w:tc>
          <w:tcPr>
            <w:tcW w:w="851" w:type="dxa"/>
            <w:tcBorders>
              <w:top w:val="single" w:sz="4" w:space="0" w:color="auto"/>
            </w:tcBorders>
          </w:tcPr>
          <w:p w:rsidR="00066DD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DD" w:rsidRDefault="00066DD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3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66DDD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 „Centrul Tehnic pentru Securitate Industrială şi Certificare”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6DDD" w:rsidRPr="008842CE" w:rsidRDefault="00066DD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66DDD" w:rsidRDefault="00066DDD" w:rsidP="009779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6DDD" w:rsidRDefault="00066DDD" w:rsidP="009779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6DDD" w:rsidRDefault="00066DDD" w:rsidP="009779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6DDD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DDD" w:rsidRPr="00D55BA1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66DDD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6DDD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66DDD" w:rsidRDefault="00066DDD" w:rsidP="0097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D55BA1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67B27"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84" w:type="dxa"/>
          </w:tcPr>
          <w:p w:rsidR="00487E6D" w:rsidRPr="008842CE" w:rsidRDefault="00767B27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S.A. „Franzeluţa”</w:t>
            </w: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FA772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de obiecţii şi propuneri</w:t>
            </w:r>
          </w:p>
        </w:tc>
        <w:tc>
          <w:tcPr>
            <w:tcW w:w="1701" w:type="dxa"/>
          </w:tcPr>
          <w:p w:rsidR="00487E6D" w:rsidRPr="008842CE" w:rsidRDefault="00FA772D" w:rsidP="00FA7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  <w:tc>
          <w:tcPr>
            <w:tcW w:w="3686" w:type="dxa"/>
          </w:tcPr>
          <w:p w:rsidR="00487E6D" w:rsidRPr="008842CE" w:rsidRDefault="00FA772D" w:rsidP="00FA7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4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---</w:t>
            </w:r>
          </w:p>
        </w:tc>
      </w:tr>
      <w:tr w:rsidR="00487E6D" w:rsidRPr="008842CE" w:rsidTr="00A52870">
        <w:tc>
          <w:tcPr>
            <w:tcW w:w="851" w:type="dxa"/>
          </w:tcPr>
          <w:p w:rsidR="00487E6D" w:rsidRPr="008842CE" w:rsidRDefault="00487E6D" w:rsidP="00B76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</w:tcPr>
          <w:p w:rsidR="00487E6D" w:rsidRPr="008842CE" w:rsidRDefault="00487E6D" w:rsidP="00F929B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D291A" w:rsidRDefault="00ED291A" w:rsidP="00F929B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F2144" w:rsidRPr="008842CE" w:rsidRDefault="002F2144" w:rsidP="00F929B4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F2144" w:rsidRPr="008842CE" w:rsidSect="00E72E4F">
      <w:pgSz w:w="15840" w:h="12240" w:orient="landscape"/>
      <w:pgMar w:top="284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38C3"/>
    <w:multiLevelType w:val="multilevel"/>
    <w:tmpl w:val="7D7C8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471B"/>
    <w:rsid w:val="00000BB2"/>
    <w:rsid w:val="00027418"/>
    <w:rsid w:val="00066DDD"/>
    <w:rsid w:val="000816C5"/>
    <w:rsid w:val="000F423B"/>
    <w:rsid w:val="000F67A7"/>
    <w:rsid w:val="00103ADB"/>
    <w:rsid w:val="00107899"/>
    <w:rsid w:val="00157E80"/>
    <w:rsid w:val="00173C5D"/>
    <w:rsid w:val="00173FBA"/>
    <w:rsid w:val="00192FB5"/>
    <w:rsid w:val="001A1142"/>
    <w:rsid w:val="001A4BFC"/>
    <w:rsid w:val="001B03E1"/>
    <w:rsid w:val="001B0EC3"/>
    <w:rsid w:val="001B483D"/>
    <w:rsid w:val="001E5C58"/>
    <w:rsid w:val="001F2A00"/>
    <w:rsid w:val="001F4C59"/>
    <w:rsid w:val="00226F45"/>
    <w:rsid w:val="00250278"/>
    <w:rsid w:val="00250530"/>
    <w:rsid w:val="00251DF6"/>
    <w:rsid w:val="0028002B"/>
    <w:rsid w:val="002864D6"/>
    <w:rsid w:val="00295D4C"/>
    <w:rsid w:val="002C60E2"/>
    <w:rsid w:val="002F2144"/>
    <w:rsid w:val="0030304C"/>
    <w:rsid w:val="00310466"/>
    <w:rsid w:val="00316DEF"/>
    <w:rsid w:val="00321EA1"/>
    <w:rsid w:val="00361EE2"/>
    <w:rsid w:val="003702E8"/>
    <w:rsid w:val="00372F8C"/>
    <w:rsid w:val="00374715"/>
    <w:rsid w:val="003860FC"/>
    <w:rsid w:val="003939CF"/>
    <w:rsid w:val="003A69A6"/>
    <w:rsid w:val="003B7607"/>
    <w:rsid w:val="003F37F8"/>
    <w:rsid w:val="004111FA"/>
    <w:rsid w:val="004211BF"/>
    <w:rsid w:val="00442842"/>
    <w:rsid w:val="004475E7"/>
    <w:rsid w:val="00457863"/>
    <w:rsid w:val="00463D86"/>
    <w:rsid w:val="00473A02"/>
    <w:rsid w:val="00487E6D"/>
    <w:rsid w:val="004925E5"/>
    <w:rsid w:val="004A0935"/>
    <w:rsid w:val="004B7792"/>
    <w:rsid w:val="004C0A43"/>
    <w:rsid w:val="004D1DF3"/>
    <w:rsid w:val="004D6500"/>
    <w:rsid w:val="004E7323"/>
    <w:rsid w:val="004E7AD7"/>
    <w:rsid w:val="004F5D11"/>
    <w:rsid w:val="00525C42"/>
    <w:rsid w:val="005328A0"/>
    <w:rsid w:val="005541B7"/>
    <w:rsid w:val="00556541"/>
    <w:rsid w:val="00562347"/>
    <w:rsid w:val="005839A6"/>
    <w:rsid w:val="00597EA8"/>
    <w:rsid w:val="005B1454"/>
    <w:rsid w:val="005D276A"/>
    <w:rsid w:val="005E471B"/>
    <w:rsid w:val="005F7E8B"/>
    <w:rsid w:val="00613944"/>
    <w:rsid w:val="00631748"/>
    <w:rsid w:val="006430D5"/>
    <w:rsid w:val="00656081"/>
    <w:rsid w:val="00680A55"/>
    <w:rsid w:val="00691DAB"/>
    <w:rsid w:val="006B7BD6"/>
    <w:rsid w:val="006C1D9C"/>
    <w:rsid w:val="006E2DA7"/>
    <w:rsid w:val="006E52C5"/>
    <w:rsid w:val="00715615"/>
    <w:rsid w:val="00720DC1"/>
    <w:rsid w:val="00730679"/>
    <w:rsid w:val="00752699"/>
    <w:rsid w:val="007569E2"/>
    <w:rsid w:val="00767B27"/>
    <w:rsid w:val="00783A00"/>
    <w:rsid w:val="007B04E8"/>
    <w:rsid w:val="007B4A0E"/>
    <w:rsid w:val="007B5D3E"/>
    <w:rsid w:val="007D0A05"/>
    <w:rsid w:val="007D4DF8"/>
    <w:rsid w:val="007F271D"/>
    <w:rsid w:val="007F3F90"/>
    <w:rsid w:val="007F4137"/>
    <w:rsid w:val="007F7A10"/>
    <w:rsid w:val="00801DBF"/>
    <w:rsid w:val="0080306F"/>
    <w:rsid w:val="00816BE9"/>
    <w:rsid w:val="00823DDB"/>
    <w:rsid w:val="008371B6"/>
    <w:rsid w:val="00857F0B"/>
    <w:rsid w:val="00874470"/>
    <w:rsid w:val="008842CE"/>
    <w:rsid w:val="008846BA"/>
    <w:rsid w:val="008977C6"/>
    <w:rsid w:val="008C7EAB"/>
    <w:rsid w:val="008F2F1C"/>
    <w:rsid w:val="009167EF"/>
    <w:rsid w:val="0096734C"/>
    <w:rsid w:val="00971EE7"/>
    <w:rsid w:val="0097696C"/>
    <w:rsid w:val="00977954"/>
    <w:rsid w:val="00981D43"/>
    <w:rsid w:val="009A36E2"/>
    <w:rsid w:val="009B25B2"/>
    <w:rsid w:val="009C1248"/>
    <w:rsid w:val="009C3BCE"/>
    <w:rsid w:val="009D6F9C"/>
    <w:rsid w:val="009E1B70"/>
    <w:rsid w:val="009E44A4"/>
    <w:rsid w:val="009F278B"/>
    <w:rsid w:val="00A00125"/>
    <w:rsid w:val="00A02E74"/>
    <w:rsid w:val="00A27405"/>
    <w:rsid w:val="00A36921"/>
    <w:rsid w:val="00A415DC"/>
    <w:rsid w:val="00A4295B"/>
    <w:rsid w:val="00A43404"/>
    <w:rsid w:val="00A456E1"/>
    <w:rsid w:val="00A52870"/>
    <w:rsid w:val="00A55700"/>
    <w:rsid w:val="00A65EBD"/>
    <w:rsid w:val="00A70BA6"/>
    <w:rsid w:val="00A718AC"/>
    <w:rsid w:val="00A76D3C"/>
    <w:rsid w:val="00AB36B7"/>
    <w:rsid w:val="00AB7675"/>
    <w:rsid w:val="00AC61A6"/>
    <w:rsid w:val="00AD327B"/>
    <w:rsid w:val="00AF1752"/>
    <w:rsid w:val="00AF2AFE"/>
    <w:rsid w:val="00B43D16"/>
    <w:rsid w:val="00B50FC9"/>
    <w:rsid w:val="00B65ABA"/>
    <w:rsid w:val="00B760F9"/>
    <w:rsid w:val="00BA7D12"/>
    <w:rsid w:val="00BB18F3"/>
    <w:rsid w:val="00BB74BF"/>
    <w:rsid w:val="00BF2A9D"/>
    <w:rsid w:val="00C02266"/>
    <w:rsid w:val="00C0746A"/>
    <w:rsid w:val="00C215AC"/>
    <w:rsid w:val="00C44F1A"/>
    <w:rsid w:val="00C9043F"/>
    <w:rsid w:val="00C95E36"/>
    <w:rsid w:val="00C97759"/>
    <w:rsid w:val="00CB255D"/>
    <w:rsid w:val="00CC4DB3"/>
    <w:rsid w:val="00CE7FA1"/>
    <w:rsid w:val="00CF5351"/>
    <w:rsid w:val="00D0357A"/>
    <w:rsid w:val="00D145DF"/>
    <w:rsid w:val="00D16658"/>
    <w:rsid w:val="00D55BA1"/>
    <w:rsid w:val="00D64E6B"/>
    <w:rsid w:val="00D766E2"/>
    <w:rsid w:val="00DA09AE"/>
    <w:rsid w:val="00DA45B5"/>
    <w:rsid w:val="00DC52FB"/>
    <w:rsid w:val="00E05EE2"/>
    <w:rsid w:val="00E203D1"/>
    <w:rsid w:val="00E4447B"/>
    <w:rsid w:val="00E53E26"/>
    <w:rsid w:val="00E716BC"/>
    <w:rsid w:val="00E72E4F"/>
    <w:rsid w:val="00E774B7"/>
    <w:rsid w:val="00EC43E9"/>
    <w:rsid w:val="00ED291A"/>
    <w:rsid w:val="00EF1277"/>
    <w:rsid w:val="00F01041"/>
    <w:rsid w:val="00F249E8"/>
    <w:rsid w:val="00F26C78"/>
    <w:rsid w:val="00F523E1"/>
    <w:rsid w:val="00F524B9"/>
    <w:rsid w:val="00F6334D"/>
    <w:rsid w:val="00F64EE3"/>
    <w:rsid w:val="00F74CCE"/>
    <w:rsid w:val="00F7521D"/>
    <w:rsid w:val="00F929B4"/>
    <w:rsid w:val="00FA0502"/>
    <w:rsid w:val="00FA09C4"/>
    <w:rsid w:val="00FA772D"/>
    <w:rsid w:val="00FE5550"/>
    <w:rsid w:val="00FE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44"/>
  </w:style>
  <w:style w:type="paragraph" w:styleId="Heading3">
    <w:name w:val="heading 3"/>
    <w:basedOn w:val="Normal"/>
    <w:link w:val="Heading3Char"/>
    <w:uiPriority w:val="9"/>
    <w:qFormat/>
    <w:rsid w:val="00837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7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8C"/>
    <w:rPr>
      <w:rFonts w:ascii="Tahoma" w:hAnsi="Tahoma" w:cs="Tahoma"/>
      <w:sz w:val="16"/>
      <w:szCs w:val="16"/>
    </w:rPr>
  </w:style>
  <w:style w:type="paragraph" w:customStyle="1" w:styleId="tt">
    <w:name w:val="tt"/>
    <w:basedOn w:val="Normal"/>
    <w:rsid w:val="007569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">
    <w:name w:val="Основной текст_"/>
    <w:basedOn w:val="DefaultParagraphFont"/>
    <w:rsid w:val="0045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">
    <w:name w:val="Основной текст (4)_"/>
    <w:basedOn w:val="DefaultParagraphFont"/>
    <w:link w:val="40"/>
    <w:rsid w:val="0045786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0">
    <w:name w:val="Основной текст"/>
    <w:basedOn w:val="a"/>
    <w:rsid w:val="00457863"/>
    <w:rPr>
      <w:u w:val="single"/>
    </w:rPr>
  </w:style>
  <w:style w:type="paragraph" w:customStyle="1" w:styleId="40">
    <w:name w:val="Основной текст (4)"/>
    <w:basedOn w:val="Normal"/>
    <w:link w:val="4"/>
    <w:rsid w:val="00457863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0pt">
    <w:name w:val="Основной текст + Интервал 0 pt"/>
    <w:basedOn w:val="a"/>
    <w:rsid w:val="00C97759"/>
    <w:rPr>
      <w:spacing w:val="-10"/>
    </w:rPr>
  </w:style>
  <w:style w:type="character" w:customStyle="1" w:styleId="5">
    <w:name w:val="Основной текст (5)_"/>
    <w:basedOn w:val="DefaultParagraphFont"/>
    <w:link w:val="50"/>
    <w:rsid w:val="00C97759"/>
    <w:rPr>
      <w:sz w:val="8"/>
      <w:szCs w:val="8"/>
      <w:shd w:val="clear" w:color="auto" w:fill="FFFFFF"/>
    </w:rPr>
  </w:style>
  <w:style w:type="character" w:customStyle="1" w:styleId="5TimesNewRoman">
    <w:name w:val="Основной текст (5) + Times New Roman;Курсив"/>
    <w:basedOn w:val="5"/>
    <w:rsid w:val="00C97759"/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Normal"/>
    <w:link w:val="5"/>
    <w:rsid w:val="00C97759"/>
    <w:pPr>
      <w:shd w:val="clear" w:color="auto" w:fill="FFFFFF"/>
      <w:spacing w:after="0" w:line="509" w:lineRule="exact"/>
    </w:pPr>
    <w:rPr>
      <w:sz w:val="8"/>
      <w:szCs w:val="8"/>
    </w:rPr>
  </w:style>
  <w:style w:type="character" w:customStyle="1" w:styleId="13pt">
    <w:name w:val="Основной текст + 13 pt;Курсив"/>
    <w:basedOn w:val="a"/>
    <w:rsid w:val="00EF1277"/>
    <w:rPr>
      <w:i/>
      <w:iCs/>
      <w:spacing w:val="0"/>
      <w:sz w:val="26"/>
      <w:szCs w:val="26"/>
    </w:rPr>
  </w:style>
  <w:style w:type="character" w:customStyle="1" w:styleId="13pt0pt">
    <w:name w:val="Основной текст + 13 pt;Курсив;Интервал 0 pt"/>
    <w:basedOn w:val="a"/>
    <w:rsid w:val="00BB18F3"/>
    <w:rPr>
      <w:i/>
      <w:iCs/>
      <w:spacing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28002B"/>
    <w:pPr>
      <w:ind w:left="720"/>
      <w:contextualSpacing/>
    </w:pPr>
  </w:style>
  <w:style w:type="character" w:styleId="Emphasis">
    <w:name w:val="Emphasis"/>
    <w:basedOn w:val="DefaultParagraphFont"/>
    <w:qFormat/>
    <w:rsid w:val="003860F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371B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0BE6-62FD-438E-BF13-9CC89B3D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1109</cp:revision>
  <dcterms:created xsi:type="dcterms:W3CDTF">2014-09-15T06:27:00Z</dcterms:created>
  <dcterms:modified xsi:type="dcterms:W3CDTF">2014-11-10T09:30:00Z</dcterms:modified>
</cp:coreProperties>
</file>