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B4B" w:rsidRPr="00086B4B" w:rsidRDefault="00562B6C" w:rsidP="009C693C">
      <w:pPr>
        <w:jc w:val="right"/>
        <w:rPr>
          <w:b/>
          <w:sz w:val="28"/>
          <w:szCs w:val="28"/>
        </w:rPr>
      </w:pPr>
      <w:bookmarkStart w:id="0" w:name="_GoBack"/>
      <w:bookmarkEnd w:id="0"/>
      <w:r w:rsidRPr="00086B4B">
        <w:rPr>
          <w:i/>
          <w:szCs w:val="28"/>
        </w:rPr>
        <w:t>Proiect</w:t>
      </w:r>
    </w:p>
    <w:p w:rsidR="00415F74" w:rsidRPr="009C693C" w:rsidRDefault="00415F74" w:rsidP="00415F74">
      <w:pPr>
        <w:jc w:val="center"/>
        <w:rPr>
          <w:b/>
        </w:rPr>
      </w:pPr>
      <w:r w:rsidRPr="009C693C">
        <w:rPr>
          <w:b/>
        </w:rPr>
        <w:t xml:space="preserve">Notă informativă </w:t>
      </w:r>
    </w:p>
    <w:p w:rsidR="00415F74" w:rsidRPr="009C693C" w:rsidRDefault="00415F74" w:rsidP="00415F74">
      <w:pPr>
        <w:jc w:val="center"/>
        <w:rPr>
          <w:rStyle w:val="docheader"/>
          <w:b/>
          <w:bCs/>
        </w:rPr>
      </w:pPr>
      <w:r w:rsidRPr="009C693C">
        <w:rPr>
          <w:b/>
        </w:rPr>
        <w:t xml:space="preserve">la proiectul Hotărîrii Guvernului </w:t>
      </w:r>
      <w:r w:rsidR="0037296F" w:rsidRPr="009C693C">
        <w:rPr>
          <w:b/>
        </w:rPr>
        <w:t xml:space="preserve">Republicii Moldova </w:t>
      </w:r>
      <w:r w:rsidRPr="009C693C">
        <w:rPr>
          <w:rStyle w:val="docheader"/>
          <w:b/>
          <w:bCs/>
        </w:rPr>
        <w:t xml:space="preserve">pentru </w:t>
      </w:r>
    </w:p>
    <w:p w:rsidR="00EF1CBD" w:rsidRPr="009C693C" w:rsidRDefault="00415F74" w:rsidP="0037296F">
      <w:pPr>
        <w:jc w:val="center"/>
        <w:rPr>
          <w:b/>
        </w:rPr>
      </w:pPr>
      <w:r w:rsidRPr="009C693C">
        <w:rPr>
          <w:rStyle w:val="docheader"/>
          <w:b/>
          <w:bCs/>
        </w:rPr>
        <w:t xml:space="preserve">aprobarea Regulamentului </w:t>
      </w:r>
      <w:r w:rsidR="0037296F" w:rsidRPr="009C693C">
        <w:rPr>
          <w:rStyle w:val="docheader"/>
          <w:b/>
          <w:bCs/>
        </w:rPr>
        <w:t xml:space="preserve">de organizare şi </w:t>
      </w:r>
      <w:r w:rsidRPr="009C693C">
        <w:rPr>
          <w:b/>
        </w:rPr>
        <w:t xml:space="preserve">funcţionare </w:t>
      </w:r>
      <w:r w:rsidR="0037296F" w:rsidRPr="009C693C">
        <w:rPr>
          <w:b/>
        </w:rPr>
        <w:t>al Agenţiei Naţionale de Asigurare a Calităţii în Învățământul Profesional</w:t>
      </w:r>
    </w:p>
    <w:p w:rsidR="0037296F" w:rsidRPr="009C693C" w:rsidRDefault="0037296F" w:rsidP="0037296F">
      <w:pPr>
        <w:jc w:val="center"/>
      </w:pPr>
    </w:p>
    <w:p w:rsidR="00415F74" w:rsidRPr="009C693C" w:rsidRDefault="00415F74" w:rsidP="00AC07AA">
      <w:pPr>
        <w:jc w:val="both"/>
      </w:pPr>
      <w:r w:rsidRPr="009C693C">
        <w:tab/>
      </w:r>
      <w:r w:rsidR="004368EA" w:rsidRPr="009C693C">
        <w:rPr>
          <w:b/>
        </w:rPr>
        <w:t>Argumen</w:t>
      </w:r>
      <w:r w:rsidR="004368EA" w:rsidRPr="009C693C">
        <w:t xml:space="preserve">t. </w:t>
      </w:r>
      <w:r w:rsidRPr="009C693C">
        <w:t xml:space="preserve">La 13 august 2014, Guvernul Republicii Moldova a adoptat </w:t>
      </w:r>
      <w:r w:rsidR="0037296F" w:rsidRPr="009C693C">
        <w:t>H</w:t>
      </w:r>
      <w:r w:rsidRPr="009C693C">
        <w:t>otărîrea</w:t>
      </w:r>
      <w:r w:rsidR="00AC07AA" w:rsidRPr="009C693C">
        <w:t xml:space="preserve"> nr. 652 din 13 august 2014 cu privire la crearea Agenţiei Naţionale de Asigurare a Calităţii în Învăţămîntul Profesional. Actul normativ a fost adoptat în scopul execut</w:t>
      </w:r>
      <w:r w:rsidR="00CC306E" w:rsidRPr="009C693C">
        <w:t xml:space="preserve">ării prevederilor </w:t>
      </w:r>
      <w:r w:rsidR="004368EA" w:rsidRPr="009C693C">
        <w:t>art. 115 al Codului Educației</w:t>
      </w:r>
      <w:r w:rsidR="00AC07AA" w:rsidRPr="009C693C">
        <w:t>, fiind luată în considerare necesitatea asigurării calităţii educaţiei, prin stabilirea cadrului  normativ care să permită dezvoltarea</w:t>
      </w:r>
      <w:r w:rsidR="0037296F" w:rsidRPr="009C693C">
        <w:t xml:space="preserve"> </w:t>
      </w:r>
      <w:r w:rsidR="00AC07AA" w:rsidRPr="009C693C">
        <w:t>unei culturi instituţionale a calităţii educaţiei şi a protecţiei beneficiarului de educaţie.</w:t>
      </w:r>
    </w:p>
    <w:p w:rsidR="00AC07AA" w:rsidRPr="009C693C" w:rsidRDefault="00AC07AA" w:rsidP="00AC07AA">
      <w:pPr>
        <w:jc w:val="both"/>
      </w:pPr>
      <w:r w:rsidRPr="009C693C">
        <w:tab/>
      </w:r>
      <w:r w:rsidR="004653B7" w:rsidRPr="009C693C">
        <w:t xml:space="preserve">Prin pct.3 al </w:t>
      </w:r>
      <w:r w:rsidR="0037296F" w:rsidRPr="009C693C">
        <w:t>H</w:t>
      </w:r>
      <w:r w:rsidR="00086B4B" w:rsidRPr="009C693C">
        <w:t>otărîrii nr. 652 din 13</w:t>
      </w:r>
      <w:r w:rsidR="004653B7" w:rsidRPr="009C693C">
        <w:t xml:space="preserve"> august 2014 cu privire la crearea Agenţiei Naţionale de Asigurare a Calităţii în Învăţămîntul Profesional, a fost aprobată componenţa nominală a Consiliului interimar de </w:t>
      </w:r>
      <w:r w:rsidR="00086B4B" w:rsidRPr="009C693C">
        <w:t>C</w:t>
      </w:r>
      <w:r w:rsidR="004653B7" w:rsidRPr="009C693C">
        <w:t xml:space="preserve">onducere al Agenţiei Naţionale de Asigurare a Calităţii în Învăţămîntul </w:t>
      </w:r>
      <w:r w:rsidR="00173CF8" w:rsidRPr="009C693C">
        <w:t>P</w:t>
      </w:r>
      <w:r w:rsidR="004653B7" w:rsidRPr="009C693C">
        <w:t>rofesional</w:t>
      </w:r>
      <w:r w:rsidR="00CC306E" w:rsidRPr="009C693C">
        <w:t xml:space="preserve"> (în continuare ANACIP)</w:t>
      </w:r>
      <w:r w:rsidR="004653B7" w:rsidRPr="009C693C">
        <w:t>, care va activa pe o perioadă ce nu va depăşi 6 luni.</w:t>
      </w:r>
    </w:p>
    <w:p w:rsidR="001A2C5F" w:rsidRPr="009C693C" w:rsidRDefault="004653B7" w:rsidP="00AC07AA">
      <w:pPr>
        <w:jc w:val="both"/>
      </w:pPr>
      <w:r w:rsidRPr="009C693C">
        <w:tab/>
      </w:r>
      <w:r w:rsidR="001A2C5F" w:rsidRPr="009C693C">
        <w:tab/>
        <w:t>Astfel, în vederea executării hotărîrii nominalizare, Consiliul interimar al ANACIP a elaborat proiectul Regulamentul de organizare şi funcţionare al Agenţiei Naţionale de Asigurare a Calităţii în Învăţămîntul Profesional</w:t>
      </w:r>
      <w:r w:rsidR="003C06A3" w:rsidRPr="009C693C">
        <w:t xml:space="preserve"> şi-l propune pentru aprobare prin </w:t>
      </w:r>
      <w:r w:rsidR="00173CF8" w:rsidRPr="009C693C">
        <w:t>hotărîre</w:t>
      </w:r>
      <w:r w:rsidR="003C06A3" w:rsidRPr="009C693C">
        <w:t xml:space="preserve"> de Guvern.</w:t>
      </w:r>
    </w:p>
    <w:p w:rsidR="003C06A3" w:rsidRPr="009C693C" w:rsidRDefault="00F822A3" w:rsidP="009E605C">
      <w:pPr>
        <w:jc w:val="both"/>
        <w:rPr>
          <w:color w:val="000000"/>
        </w:rPr>
      </w:pPr>
      <w:r w:rsidRPr="009C693C">
        <w:tab/>
      </w:r>
      <w:r w:rsidR="00934948" w:rsidRPr="009C693C">
        <w:rPr>
          <w:b/>
          <w:color w:val="000000"/>
        </w:rPr>
        <w:t>Esența proiectului</w:t>
      </w:r>
      <w:r w:rsidR="00934948" w:rsidRPr="009C693C">
        <w:rPr>
          <w:color w:val="000000"/>
        </w:rPr>
        <w:t xml:space="preserve">. </w:t>
      </w:r>
      <w:r w:rsidR="00415F74" w:rsidRPr="009C693C">
        <w:rPr>
          <w:color w:val="000000"/>
        </w:rPr>
        <w:t xml:space="preserve">Proiectul Regulamentului este structurat în </w:t>
      </w:r>
      <w:r w:rsidR="003C06A3" w:rsidRPr="009C693C">
        <w:rPr>
          <w:color w:val="000000"/>
        </w:rPr>
        <w:t xml:space="preserve">şapte </w:t>
      </w:r>
      <w:r w:rsidR="00415F74" w:rsidRPr="009C693C">
        <w:rPr>
          <w:color w:val="000000"/>
        </w:rPr>
        <w:t>capitole, după cum urmează</w:t>
      </w:r>
    </w:p>
    <w:p w:rsidR="00415F74" w:rsidRPr="009C693C" w:rsidRDefault="00415F74" w:rsidP="00415F74">
      <w:pPr>
        <w:ind w:firstLine="720"/>
        <w:jc w:val="both"/>
        <w:rPr>
          <w:color w:val="000000"/>
        </w:rPr>
      </w:pPr>
      <w:r w:rsidRPr="009C693C">
        <w:rPr>
          <w:color w:val="000000"/>
        </w:rPr>
        <w:t xml:space="preserve">I. Dispoziţii generale; </w:t>
      </w:r>
    </w:p>
    <w:p w:rsidR="003C06A3" w:rsidRPr="009C693C" w:rsidRDefault="00415F74" w:rsidP="00415F74">
      <w:pPr>
        <w:ind w:left="720"/>
        <w:jc w:val="both"/>
        <w:rPr>
          <w:color w:val="000000"/>
        </w:rPr>
      </w:pPr>
      <w:r w:rsidRPr="009C693C">
        <w:rPr>
          <w:color w:val="000000"/>
        </w:rPr>
        <w:t>II.</w:t>
      </w:r>
      <w:r w:rsidR="00934948" w:rsidRPr="009C693C">
        <w:rPr>
          <w:color w:val="000000"/>
        </w:rPr>
        <w:t xml:space="preserve"> A</w:t>
      </w:r>
      <w:r w:rsidR="003C06A3" w:rsidRPr="009C693C">
        <w:rPr>
          <w:rFonts w:eastAsiaTheme="minorHAnsi"/>
          <w:bCs/>
          <w:lang w:eastAsia="en-US"/>
        </w:rPr>
        <w:t>tribuții,</w:t>
      </w:r>
      <w:r w:rsidR="00934948" w:rsidRPr="009C693C">
        <w:rPr>
          <w:rFonts w:eastAsiaTheme="minorHAnsi"/>
          <w:bCs/>
          <w:lang w:eastAsia="en-US"/>
        </w:rPr>
        <w:t xml:space="preserve"> responsabilități și </w:t>
      </w:r>
      <w:r w:rsidR="003C06A3" w:rsidRPr="009C693C">
        <w:rPr>
          <w:rFonts w:eastAsiaTheme="minorHAnsi"/>
          <w:bCs/>
          <w:lang w:eastAsia="en-US"/>
        </w:rPr>
        <w:t xml:space="preserve"> drepturi ANACIP</w:t>
      </w:r>
      <w:r w:rsidR="0037296F" w:rsidRPr="009C693C">
        <w:rPr>
          <w:rFonts w:eastAsiaTheme="minorHAnsi"/>
          <w:bCs/>
          <w:lang w:eastAsia="en-US"/>
        </w:rPr>
        <w:t>;</w:t>
      </w:r>
    </w:p>
    <w:p w:rsidR="003C06A3" w:rsidRPr="009C693C" w:rsidRDefault="00415F74" w:rsidP="00415F74">
      <w:pPr>
        <w:ind w:left="720"/>
        <w:jc w:val="both"/>
        <w:rPr>
          <w:color w:val="000000"/>
        </w:rPr>
      </w:pPr>
      <w:r w:rsidRPr="009C693C">
        <w:rPr>
          <w:color w:val="000000"/>
        </w:rPr>
        <w:t xml:space="preserve">III. </w:t>
      </w:r>
      <w:r w:rsidR="003C06A3" w:rsidRPr="009C693C">
        <w:rPr>
          <w:rFonts w:eastAsiaTheme="minorHAnsi"/>
          <w:bCs/>
          <w:color w:val="0D0D0D"/>
          <w:lang w:eastAsia="en-US"/>
        </w:rPr>
        <w:t>Structura organizatorică a ANACIP</w:t>
      </w:r>
      <w:r w:rsidR="0037296F" w:rsidRPr="009C693C">
        <w:rPr>
          <w:rFonts w:eastAsiaTheme="minorHAnsi"/>
          <w:bCs/>
          <w:color w:val="0D0D0D"/>
          <w:lang w:eastAsia="en-US"/>
        </w:rPr>
        <w:t>;</w:t>
      </w:r>
      <w:r w:rsidR="003C06A3" w:rsidRPr="009C693C">
        <w:rPr>
          <w:color w:val="000000"/>
        </w:rPr>
        <w:t xml:space="preserve"> </w:t>
      </w:r>
    </w:p>
    <w:p w:rsidR="00415F74" w:rsidRPr="009C693C" w:rsidRDefault="00415F74" w:rsidP="00415F74">
      <w:pPr>
        <w:ind w:left="720"/>
        <w:jc w:val="both"/>
        <w:rPr>
          <w:color w:val="000000"/>
        </w:rPr>
      </w:pPr>
      <w:r w:rsidRPr="009C693C">
        <w:rPr>
          <w:color w:val="000000"/>
        </w:rPr>
        <w:t xml:space="preserve">IV. </w:t>
      </w:r>
      <w:r w:rsidR="003C06A3" w:rsidRPr="009C693C">
        <w:rPr>
          <w:rFonts w:eastAsiaTheme="minorHAnsi"/>
          <w:bCs/>
          <w:lang w:eastAsia="en-US"/>
        </w:rPr>
        <w:t xml:space="preserve">Ședințele. Procesul </w:t>
      </w:r>
      <w:r w:rsidR="0037296F" w:rsidRPr="009C693C">
        <w:rPr>
          <w:rFonts w:eastAsiaTheme="minorHAnsi"/>
          <w:bCs/>
          <w:lang w:eastAsia="en-US"/>
        </w:rPr>
        <w:t>decisional;</w:t>
      </w:r>
      <w:r w:rsidR="003C06A3" w:rsidRPr="009C693C">
        <w:rPr>
          <w:color w:val="000000"/>
        </w:rPr>
        <w:t xml:space="preserve"> </w:t>
      </w:r>
      <w:r w:rsidRPr="009C693C">
        <w:rPr>
          <w:color w:val="000000"/>
        </w:rPr>
        <w:t xml:space="preserve"> </w:t>
      </w:r>
    </w:p>
    <w:p w:rsidR="00415F74" w:rsidRPr="009C693C" w:rsidRDefault="00415F74" w:rsidP="00415F74">
      <w:pPr>
        <w:ind w:left="720"/>
        <w:jc w:val="both"/>
        <w:rPr>
          <w:color w:val="000000"/>
        </w:rPr>
      </w:pPr>
      <w:r w:rsidRPr="009C693C">
        <w:rPr>
          <w:color w:val="000000"/>
        </w:rPr>
        <w:t>V.</w:t>
      </w:r>
      <w:r w:rsidR="003C06A3" w:rsidRPr="009C693C">
        <w:rPr>
          <w:rFonts w:eastAsiaTheme="minorHAnsi"/>
          <w:bCs/>
          <w:lang w:eastAsia="en-US"/>
        </w:rPr>
        <w:t xml:space="preserve"> </w:t>
      </w:r>
      <w:r w:rsidR="003C06A3" w:rsidRPr="009C693C">
        <w:rPr>
          <w:color w:val="000000"/>
        </w:rPr>
        <w:t>A</w:t>
      </w:r>
      <w:r w:rsidR="003C06A3" w:rsidRPr="009C693C">
        <w:rPr>
          <w:rFonts w:eastAsiaTheme="minorHAnsi"/>
          <w:bCs/>
          <w:lang w:eastAsia="en-US"/>
        </w:rPr>
        <w:t>specte financiare</w:t>
      </w:r>
      <w:r w:rsidR="0037296F" w:rsidRPr="009C693C">
        <w:rPr>
          <w:rFonts w:eastAsiaTheme="minorHAnsi"/>
          <w:bCs/>
          <w:lang w:eastAsia="en-US"/>
        </w:rPr>
        <w:t>;</w:t>
      </w:r>
      <w:r w:rsidR="003C06A3" w:rsidRPr="009C693C">
        <w:rPr>
          <w:color w:val="000000"/>
        </w:rPr>
        <w:t xml:space="preserve"> </w:t>
      </w:r>
    </w:p>
    <w:p w:rsidR="003C06A3" w:rsidRPr="009C693C" w:rsidRDefault="009C693C" w:rsidP="00415F74">
      <w:pPr>
        <w:ind w:left="720"/>
        <w:jc w:val="both"/>
        <w:rPr>
          <w:color w:val="000000"/>
        </w:rPr>
      </w:pPr>
      <w:r w:rsidRPr="009C693C">
        <w:rPr>
          <w:color w:val="000000"/>
        </w:rPr>
        <w:t>VI</w:t>
      </w:r>
      <w:r w:rsidR="003C06A3" w:rsidRPr="009C693C">
        <w:rPr>
          <w:color w:val="000000"/>
        </w:rPr>
        <w:t xml:space="preserve">. </w:t>
      </w:r>
      <w:r w:rsidR="003C06A3" w:rsidRPr="009C693C">
        <w:rPr>
          <w:rFonts w:eastAsiaTheme="minorHAnsi"/>
          <w:bCs/>
          <w:color w:val="0D0D0D"/>
          <w:lang w:eastAsia="en-US"/>
        </w:rPr>
        <w:t>Dispoziţii tranzitorii și finale</w:t>
      </w:r>
      <w:r w:rsidR="00173CF8" w:rsidRPr="009C693C">
        <w:rPr>
          <w:rFonts w:eastAsiaTheme="minorHAnsi"/>
          <w:bCs/>
          <w:color w:val="0D0D0D"/>
          <w:lang w:eastAsia="en-US"/>
        </w:rPr>
        <w:t>.</w:t>
      </w:r>
    </w:p>
    <w:p w:rsidR="00FA36C1" w:rsidRPr="009C693C" w:rsidRDefault="00B334F4" w:rsidP="00086B4B">
      <w:pPr>
        <w:autoSpaceDE w:val="0"/>
        <w:autoSpaceDN w:val="0"/>
        <w:adjustRightInd w:val="0"/>
        <w:jc w:val="both"/>
      </w:pPr>
      <w:r w:rsidRPr="009C693C">
        <w:rPr>
          <w:rFonts w:eastAsiaTheme="minorHAnsi"/>
          <w:bCs/>
          <w:lang w:eastAsia="en-US"/>
        </w:rPr>
        <w:tab/>
      </w:r>
    </w:p>
    <w:p w:rsidR="004265F7" w:rsidRPr="009C693C" w:rsidRDefault="004265F7" w:rsidP="00A1188B">
      <w:pPr>
        <w:autoSpaceDE w:val="0"/>
        <w:autoSpaceDN w:val="0"/>
        <w:adjustRightInd w:val="0"/>
        <w:ind w:firstLine="708"/>
        <w:jc w:val="both"/>
      </w:pPr>
      <w:r w:rsidRPr="009C693C">
        <w:t>Dispoziţiile tranzitorii şi finale ale proiectului de regulament cuprind activitatea  Consiliului Interimar de Conducere al ANACIP, avînd scopul să asigure realizarea prevederilor Hotărîrii  nr. 652 din 13  august 2014  cu privire  la crearea Agenţiei Naţionale de Asigurare a Calităţii în Învăţămîntul Profesional.</w:t>
      </w:r>
    </w:p>
    <w:p w:rsidR="00934948" w:rsidRPr="009C693C" w:rsidRDefault="00934948" w:rsidP="009C693C">
      <w:pPr>
        <w:autoSpaceDE w:val="0"/>
        <w:autoSpaceDN w:val="0"/>
        <w:adjustRightInd w:val="0"/>
        <w:jc w:val="both"/>
        <w:rPr>
          <w:b/>
          <w:i/>
        </w:rPr>
      </w:pPr>
      <w:r w:rsidRPr="009C693C">
        <w:t xml:space="preserve">Numărul de posturi in Agenție va constitui 45 de persoane (15 persoane în Consiliul de Conducere și 30 de persoane în aparatul administrativ). Potrivit </w:t>
      </w:r>
      <w:r w:rsidR="009C693C" w:rsidRPr="009C693C">
        <w:t>hotărîrii de Guvern nr. 652 din 13.08.2014</w:t>
      </w:r>
      <w:r w:rsidRPr="009C693C">
        <w:t xml:space="preserve"> al proiectului, remunerarea membrilor Consiliului de Conducere, a personalului aparatului administrativ, precum şi a evaluatorilor se va efectua în conformitate cu statul de funcţii şi grila proprie de salarizare, aprobate de către Consiliul de Conducere, cu respectarea cadrului legal.</w:t>
      </w:r>
    </w:p>
    <w:p w:rsidR="004368EA" w:rsidRPr="009C693C" w:rsidRDefault="004368EA" w:rsidP="00A1188B">
      <w:pPr>
        <w:autoSpaceDE w:val="0"/>
        <w:autoSpaceDN w:val="0"/>
        <w:adjustRightInd w:val="0"/>
        <w:ind w:firstLine="708"/>
        <w:jc w:val="both"/>
      </w:pPr>
      <w:r w:rsidRPr="009C693C">
        <w:rPr>
          <w:b/>
          <w:i/>
        </w:rPr>
        <w:t xml:space="preserve">Costul implementării. </w:t>
      </w:r>
      <w:r w:rsidRPr="009C693C">
        <w:t>În primii 2 ani de funcționare, Agenția Națională de  Asigurare a Calității în Învățămîntul Profesional va fi susținută din bugetul de stat. Activitatea de mai departe a Agenției va fi susținută financiar din  contractele de evaluare a instituțiilor ofertante de programe de formare profesională, precum și a evaluării programelor de formare profesională pentru autorizarea de  funcționare provizorie, acreditare sau neacreditare a acestor</w:t>
      </w:r>
      <w:r w:rsidR="00934948" w:rsidRPr="009C693C">
        <w:t>a.</w:t>
      </w:r>
    </w:p>
    <w:p w:rsidR="00934948" w:rsidRPr="009C693C" w:rsidRDefault="00934948" w:rsidP="00A1188B">
      <w:pPr>
        <w:autoSpaceDE w:val="0"/>
        <w:autoSpaceDN w:val="0"/>
        <w:adjustRightInd w:val="0"/>
        <w:ind w:firstLine="708"/>
        <w:jc w:val="both"/>
      </w:pPr>
    </w:p>
    <w:p w:rsidR="00934948" w:rsidRPr="009C693C" w:rsidRDefault="00934948" w:rsidP="00934948">
      <w:pPr>
        <w:jc w:val="both"/>
      </w:pPr>
      <w:r w:rsidRPr="009C693C">
        <w:rPr>
          <w:b/>
          <w:i/>
        </w:rPr>
        <w:t>Impactul implementării</w:t>
      </w:r>
      <w:r w:rsidRPr="009C693C">
        <w:t>. Agenţia Națională de  Asigurare a Calității în Învățămîntul Profesional</w:t>
      </w:r>
    </w:p>
    <w:p w:rsidR="00934948" w:rsidRPr="009C693C" w:rsidRDefault="00934948" w:rsidP="00934948">
      <w:pPr>
        <w:jc w:val="both"/>
      </w:pPr>
      <w:r w:rsidRPr="009C693C">
        <w:t xml:space="preserve"> va contribui la:</w:t>
      </w:r>
    </w:p>
    <w:p w:rsidR="00934948" w:rsidRPr="009C693C" w:rsidRDefault="00934948" w:rsidP="00934948">
      <w:pPr>
        <w:pStyle w:val="ListParagraph"/>
        <w:numPr>
          <w:ilvl w:val="0"/>
          <w:numId w:val="5"/>
        </w:numPr>
        <w:spacing w:after="0" w:line="240" w:lineRule="auto"/>
        <w:contextualSpacing w:val="0"/>
        <w:jc w:val="both"/>
        <w:rPr>
          <w:rFonts w:ascii="Times New Roman" w:hAnsi="Times New Roman"/>
          <w:sz w:val="24"/>
          <w:szCs w:val="24"/>
          <w:lang w:val="ro-RO"/>
        </w:rPr>
      </w:pPr>
      <w:r w:rsidRPr="009C693C">
        <w:rPr>
          <w:rFonts w:ascii="Times New Roman" w:hAnsi="Times New Roman"/>
          <w:sz w:val="24"/>
          <w:szCs w:val="24"/>
          <w:lang w:val="ro-RO"/>
        </w:rPr>
        <w:t>realizarea politicilor statului în domeniul asigurării calităţii învăţămîntului;</w:t>
      </w:r>
    </w:p>
    <w:p w:rsidR="00934948" w:rsidRPr="009C693C" w:rsidRDefault="00934948" w:rsidP="00934948">
      <w:pPr>
        <w:numPr>
          <w:ilvl w:val="0"/>
          <w:numId w:val="5"/>
        </w:numPr>
        <w:jc w:val="both"/>
      </w:pPr>
      <w:r w:rsidRPr="009C693C">
        <w:t>sporirea credibilității şi atractivității învăţămîntului profesional naţional în plan internaţional;</w:t>
      </w:r>
    </w:p>
    <w:p w:rsidR="00934948" w:rsidRDefault="00934948" w:rsidP="00934948">
      <w:pPr>
        <w:numPr>
          <w:ilvl w:val="0"/>
          <w:numId w:val="5"/>
        </w:numPr>
        <w:jc w:val="both"/>
      </w:pPr>
      <w:r w:rsidRPr="009C693C">
        <w:t xml:space="preserve">sporirea competitivităţii specialistului format în cadrul sistemului naţional de formare profesională pe piaţa forţei de muncă naţională şi internaţională. </w:t>
      </w:r>
    </w:p>
    <w:p w:rsidR="009E605C" w:rsidRPr="009C693C" w:rsidRDefault="009E605C" w:rsidP="009E605C">
      <w:pPr>
        <w:ind w:left="720"/>
        <w:jc w:val="both"/>
      </w:pPr>
    </w:p>
    <w:p w:rsidR="00934948" w:rsidRPr="009E605C" w:rsidRDefault="009E605C" w:rsidP="00A1188B">
      <w:pPr>
        <w:autoSpaceDE w:val="0"/>
        <w:autoSpaceDN w:val="0"/>
        <w:adjustRightInd w:val="0"/>
        <w:ind w:firstLine="708"/>
        <w:jc w:val="both"/>
        <w:rPr>
          <w:b/>
        </w:rPr>
      </w:pPr>
      <w:r w:rsidRPr="009E605C">
        <w:rPr>
          <w:b/>
        </w:rPr>
        <w:t>Ministru                                   Maia SANDU</w:t>
      </w:r>
    </w:p>
    <w:sectPr w:rsidR="00934948" w:rsidRPr="009E605C" w:rsidSect="009E605C">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699"/>
    <w:multiLevelType w:val="hybridMultilevel"/>
    <w:tmpl w:val="5E86BEF4"/>
    <w:lvl w:ilvl="0" w:tplc="0F12605E">
      <w:start w:val="1"/>
      <w:numFmt w:val="decimal"/>
      <w:lvlText w:val="(%1)"/>
      <w:lvlJc w:val="left"/>
      <w:pPr>
        <w:tabs>
          <w:tab w:val="num" w:pos="720"/>
        </w:tabs>
        <w:ind w:left="720" w:hanging="360"/>
      </w:pPr>
      <w:rPr>
        <w:lang w:val="ro-RO"/>
      </w:rPr>
    </w:lvl>
    <w:lvl w:ilvl="1" w:tplc="00005772">
      <w:start w:val="1"/>
      <w:numFmt w:val="lowerLetter"/>
      <w:lvlText w:val="%2)"/>
      <w:lvlJc w:val="left"/>
      <w:pPr>
        <w:tabs>
          <w:tab w:val="num" w:pos="1440"/>
        </w:tabs>
        <w:ind w:left="1440" w:hanging="360"/>
      </w:pPr>
    </w:lvl>
    <w:lvl w:ilvl="2" w:tplc="0000139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230"/>
    <w:multiLevelType w:val="hybridMultilevel"/>
    <w:tmpl w:val="2C2AC00A"/>
    <w:lvl w:ilvl="0" w:tplc="00006032">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00015A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8CD4409"/>
    <w:multiLevelType w:val="hybridMultilevel"/>
    <w:tmpl w:val="41967604"/>
    <w:lvl w:ilvl="0" w:tplc="86A6F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107A6"/>
    <w:multiLevelType w:val="hybridMultilevel"/>
    <w:tmpl w:val="1A0ED3D8"/>
    <w:lvl w:ilvl="0" w:tplc="D4C4EEF6">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FB2709"/>
    <w:multiLevelType w:val="hybridMultilevel"/>
    <w:tmpl w:val="EF985E1C"/>
    <w:lvl w:ilvl="0" w:tplc="D070D090">
      <w:start w:val="1"/>
      <w:numFmt w:val="lowerLetter"/>
      <w:lvlText w:val="%1)"/>
      <w:lvlJc w:val="left"/>
      <w:pPr>
        <w:tabs>
          <w:tab w:val="num" w:pos="1440"/>
        </w:tabs>
        <w:ind w:left="1440" w:hanging="360"/>
      </w:pPr>
      <w:rPr>
        <w:rFonts w:hint="default"/>
      </w:rPr>
    </w:lvl>
    <w:lvl w:ilvl="1" w:tplc="686EA9B6">
      <w:start w:val="1"/>
      <w:numFmt w:val="upperRoman"/>
      <w:lvlText w:val="%2."/>
      <w:lvlJc w:val="left"/>
      <w:pPr>
        <w:tabs>
          <w:tab w:val="num" w:pos="1800"/>
        </w:tabs>
        <w:ind w:left="1800" w:hanging="720"/>
      </w:pPr>
      <w:rPr>
        <w:rFonts w:hint="default"/>
      </w:rPr>
    </w:lvl>
    <w:lvl w:ilvl="2" w:tplc="467EAEAE">
      <w:start w:val="3"/>
      <w:numFmt w:val="bullet"/>
      <w:lvlText w:val="-"/>
      <w:lvlJc w:val="left"/>
      <w:pPr>
        <w:tabs>
          <w:tab w:val="num" w:pos="2955"/>
        </w:tabs>
        <w:ind w:left="2955" w:hanging="975"/>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74"/>
    <w:rsid w:val="00063DE4"/>
    <w:rsid w:val="00086B4B"/>
    <w:rsid w:val="001265CD"/>
    <w:rsid w:val="00173CF8"/>
    <w:rsid w:val="0018029B"/>
    <w:rsid w:val="001A2C5F"/>
    <w:rsid w:val="00207456"/>
    <w:rsid w:val="002C2A2F"/>
    <w:rsid w:val="0032446A"/>
    <w:rsid w:val="0037296F"/>
    <w:rsid w:val="003C06A3"/>
    <w:rsid w:val="003F0028"/>
    <w:rsid w:val="00415016"/>
    <w:rsid w:val="00415F74"/>
    <w:rsid w:val="004171AE"/>
    <w:rsid w:val="004265F7"/>
    <w:rsid w:val="004368EA"/>
    <w:rsid w:val="00455350"/>
    <w:rsid w:val="004653B7"/>
    <w:rsid w:val="004A5D4D"/>
    <w:rsid w:val="0053395E"/>
    <w:rsid w:val="00562B6C"/>
    <w:rsid w:val="0057174E"/>
    <w:rsid w:val="00626522"/>
    <w:rsid w:val="006712DB"/>
    <w:rsid w:val="00692D23"/>
    <w:rsid w:val="006D373A"/>
    <w:rsid w:val="007C2C2B"/>
    <w:rsid w:val="008342CF"/>
    <w:rsid w:val="00934948"/>
    <w:rsid w:val="009B2F47"/>
    <w:rsid w:val="009C693C"/>
    <w:rsid w:val="009D6773"/>
    <w:rsid w:val="009E605C"/>
    <w:rsid w:val="00A1188B"/>
    <w:rsid w:val="00A53A38"/>
    <w:rsid w:val="00AC07AA"/>
    <w:rsid w:val="00B334F4"/>
    <w:rsid w:val="00BD3FEA"/>
    <w:rsid w:val="00BE4AEE"/>
    <w:rsid w:val="00BF4E8D"/>
    <w:rsid w:val="00C267E3"/>
    <w:rsid w:val="00CC306E"/>
    <w:rsid w:val="00D0221A"/>
    <w:rsid w:val="00D9484B"/>
    <w:rsid w:val="00DB79E3"/>
    <w:rsid w:val="00E342F9"/>
    <w:rsid w:val="00E4163B"/>
    <w:rsid w:val="00E42FA6"/>
    <w:rsid w:val="00F05BFD"/>
    <w:rsid w:val="00F24AFD"/>
    <w:rsid w:val="00F822A3"/>
    <w:rsid w:val="00FA0253"/>
    <w:rsid w:val="00FA36C1"/>
    <w:rsid w:val="00FC4934"/>
    <w:rsid w:val="00FD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52E2E-C43F-4C94-8693-53E4BC06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F74"/>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415F74"/>
  </w:style>
  <w:style w:type="paragraph" w:styleId="BalloonText">
    <w:name w:val="Balloon Text"/>
    <w:basedOn w:val="Normal"/>
    <w:link w:val="BalloonTextChar"/>
    <w:uiPriority w:val="99"/>
    <w:semiHidden/>
    <w:unhideWhenUsed/>
    <w:rsid w:val="00A1188B"/>
    <w:rPr>
      <w:rFonts w:ascii="Tahoma" w:hAnsi="Tahoma" w:cs="Tahoma"/>
      <w:sz w:val="16"/>
      <w:szCs w:val="16"/>
    </w:rPr>
  </w:style>
  <w:style w:type="character" w:customStyle="1" w:styleId="BalloonTextChar">
    <w:name w:val="Balloon Text Char"/>
    <w:basedOn w:val="DefaultParagraphFont"/>
    <w:link w:val="BalloonText"/>
    <w:uiPriority w:val="99"/>
    <w:semiHidden/>
    <w:rsid w:val="00A1188B"/>
    <w:rPr>
      <w:rFonts w:ascii="Tahoma" w:eastAsia="Times New Roman" w:hAnsi="Tahoma" w:cs="Tahoma"/>
      <w:sz w:val="16"/>
      <w:szCs w:val="16"/>
      <w:lang w:val="ro-RO" w:eastAsia="ru-RU"/>
    </w:rPr>
  </w:style>
  <w:style w:type="paragraph" w:styleId="ListParagraph">
    <w:name w:val="List Paragraph"/>
    <w:basedOn w:val="Normal"/>
    <w:uiPriority w:val="99"/>
    <w:qFormat/>
    <w:rsid w:val="00934948"/>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205A2-8133-46CB-B200-6B494768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2961</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admin</cp:lastModifiedBy>
  <cp:revision>2</cp:revision>
  <cp:lastPrinted>2014-11-12T09:42:00Z</cp:lastPrinted>
  <dcterms:created xsi:type="dcterms:W3CDTF">2014-11-18T15:26:00Z</dcterms:created>
  <dcterms:modified xsi:type="dcterms:W3CDTF">2014-11-18T15:26:00Z</dcterms:modified>
</cp:coreProperties>
</file>