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89" w:rsidRPr="009E4C09" w:rsidRDefault="00531389" w:rsidP="00531389">
      <w:pPr>
        <w:pStyle w:val="Frspaiere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9E4C09">
        <w:rPr>
          <w:rFonts w:ascii="Times New Roman" w:hAnsi="Times New Roman" w:cs="Times New Roman"/>
          <w:b/>
          <w:sz w:val="26"/>
          <w:szCs w:val="26"/>
          <w:lang w:val="ro-RO"/>
        </w:rPr>
        <w:t>NOTĂ INFORMATIVĂ</w:t>
      </w:r>
    </w:p>
    <w:p w:rsidR="001A168B" w:rsidRDefault="00531389" w:rsidP="00531389">
      <w:pPr>
        <w:pStyle w:val="Frspaiere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</w:pPr>
      <w:r w:rsidRPr="009E4C09">
        <w:rPr>
          <w:rFonts w:ascii="Times New Roman" w:hAnsi="Times New Roman" w:cs="Times New Roman"/>
          <w:b/>
          <w:sz w:val="26"/>
          <w:szCs w:val="26"/>
          <w:lang w:val="ro-RO"/>
        </w:rPr>
        <w:t xml:space="preserve">la proiectul </w:t>
      </w:r>
      <w:proofErr w:type="spellStart"/>
      <w:r w:rsidRPr="009E4C09">
        <w:rPr>
          <w:rFonts w:ascii="Times New Roman" w:hAnsi="Times New Roman" w:cs="Times New Roman"/>
          <w:b/>
          <w:sz w:val="26"/>
          <w:szCs w:val="26"/>
          <w:lang w:val="ro-RO"/>
        </w:rPr>
        <w:t>Hotărîrii</w:t>
      </w:r>
      <w:proofErr w:type="spellEnd"/>
      <w:r w:rsidRPr="009E4C09">
        <w:rPr>
          <w:rFonts w:ascii="Times New Roman" w:hAnsi="Times New Roman" w:cs="Times New Roman"/>
          <w:b/>
          <w:sz w:val="26"/>
          <w:szCs w:val="26"/>
          <w:lang w:val="ro-RO"/>
        </w:rPr>
        <w:t xml:space="preserve"> Guvernului „</w:t>
      </w:r>
      <w:r w:rsidRPr="009E4C09"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  <w:t xml:space="preserve">Cu privire la </w:t>
      </w:r>
      <w:r w:rsidR="001A168B"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  <w:t xml:space="preserve">aprobarea </w:t>
      </w:r>
    </w:p>
    <w:p w:rsidR="00531389" w:rsidRPr="009E4C09" w:rsidRDefault="009B675E" w:rsidP="00531389">
      <w:pPr>
        <w:pStyle w:val="Frspaiere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  <w:t>modific</w:t>
      </w:r>
      <w:r w:rsidR="001A168B"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  <w:t>ărilor și completărilor ce se operează în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  <w:t xml:space="preserve"> </w:t>
      </w:r>
      <w:r w:rsidR="00531389" w:rsidRPr="009E4C09"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  <w:t>anex</w:t>
      </w:r>
      <w:r w:rsidR="001A168B"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  <w:t>a</w:t>
      </w:r>
      <w:r w:rsidR="00531389" w:rsidRPr="009E4C09"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  <w:t xml:space="preserve"> nr. 2 </w:t>
      </w:r>
    </w:p>
    <w:p w:rsidR="00531389" w:rsidRPr="009E4C09" w:rsidRDefault="00531389" w:rsidP="00531389">
      <w:pPr>
        <w:pStyle w:val="Frspaiere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9E4C09"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  <w:t xml:space="preserve">la </w:t>
      </w:r>
      <w:proofErr w:type="spellStart"/>
      <w:r w:rsidRPr="009E4C09"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  <w:t>Hotărîrea</w:t>
      </w:r>
      <w:proofErr w:type="spellEnd"/>
      <w:r w:rsidRPr="009E4C09">
        <w:rPr>
          <w:rFonts w:ascii="Times New Roman" w:eastAsia="Times New Roman" w:hAnsi="Times New Roman" w:cs="Times New Roman"/>
          <w:b/>
          <w:sz w:val="26"/>
          <w:szCs w:val="26"/>
          <w:lang w:val="ro-RO" w:eastAsia="ro-RO"/>
        </w:rPr>
        <w:t xml:space="preserve"> Guvernului nr. 931 din 8 decembrie 2011”</w:t>
      </w:r>
    </w:p>
    <w:p w:rsidR="00531389" w:rsidRPr="009E4C09" w:rsidRDefault="00531389" w:rsidP="00531389">
      <w:pPr>
        <w:pStyle w:val="Frspaiere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3D0C4F" w:rsidRDefault="00901CA2" w:rsidP="00531389">
      <w:pPr>
        <w:pStyle w:val="NormalWeb"/>
        <w:ind w:firstLine="708"/>
        <w:rPr>
          <w:sz w:val="26"/>
          <w:szCs w:val="26"/>
          <w:lang w:eastAsia="ru-RU"/>
        </w:rPr>
      </w:pPr>
      <w:r w:rsidRPr="009E4C09">
        <w:rPr>
          <w:sz w:val="26"/>
          <w:szCs w:val="26"/>
          <w:lang w:eastAsia="ru-RU"/>
        </w:rPr>
        <w:t>Legea nr. 278 din 14.12.2007 cu privire la tutun și la articolele din tutun</w:t>
      </w:r>
      <w:r>
        <w:rPr>
          <w:sz w:val="26"/>
          <w:szCs w:val="26"/>
          <w:lang w:eastAsia="ru-RU"/>
        </w:rPr>
        <w:t xml:space="preserve"> a fost </w:t>
      </w:r>
      <w:r w:rsidRPr="009E4C09">
        <w:rPr>
          <w:sz w:val="26"/>
          <w:szCs w:val="26"/>
          <w:lang w:eastAsia="ru-RU"/>
        </w:rPr>
        <w:t xml:space="preserve"> republicată </w:t>
      </w:r>
      <w:r>
        <w:rPr>
          <w:sz w:val="26"/>
          <w:szCs w:val="26"/>
          <w:lang w:eastAsia="ru-RU"/>
        </w:rPr>
        <w:t xml:space="preserve">la 17.07.2015 </w:t>
      </w:r>
      <w:r w:rsidRPr="009E4C09">
        <w:rPr>
          <w:sz w:val="26"/>
          <w:szCs w:val="26"/>
          <w:lang w:eastAsia="ru-RU"/>
        </w:rPr>
        <w:t>sub denumirea de Legea privind controlul tutunului</w:t>
      </w:r>
      <w:r>
        <w:rPr>
          <w:sz w:val="26"/>
          <w:szCs w:val="26"/>
          <w:lang w:eastAsia="ru-RU"/>
        </w:rPr>
        <w:t xml:space="preserve">. De menționat, că articolul cu privire la restricțiile de comercializare a produselor din tutun a primit o nouă redacție. Ca rezultat, </w:t>
      </w:r>
      <w:r w:rsidRPr="003D0C4F">
        <w:rPr>
          <w:i/>
          <w:sz w:val="26"/>
          <w:szCs w:val="26"/>
          <w:lang w:eastAsia="ru-RU"/>
        </w:rPr>
        <w:t xml:space="preserve">pe </w:t>
      </w:r>
      <w:proofErr w:type="spellStart"/>
      <w:r w:rsidRPr="003D0C4F">
        <w:rPr>
          <w:i/>
          <w:sz w:val="26"/>
          <w:szCs w:val="26"/>
          <w:lang w:eastAsia="ru-RU"/>
        </w:rPr>
        <w:t>lîngă</w:t>
      </w:r>
      <w:proofErr w:type="spellEnd"/>
      <w:r w:rsidRPr="003D0C4F">
        <w:rPr>
          <w:i/>
          <w:sz w:val="26"/>
          <w:szCs w:val="26"/>
          <w:lang w:eastAsia="ru-RU"/>
        </w:rPr>
        <w:t xml:space="preserve"> rețeaua comerțului ambulant</w:t>
      </w:r>
      <w:r w:rsidR="008869A3">
        <w:rPr>
          <w:sz w:val="26"/>
          <w:szCs w:val="26"/>
          <w:lang w:eastAsia="ru-RU"/>
        </w:rPr>
        <w:t>, restricție care era prevăzută și în redacția precedentă a Legii citate</w:t>
      </w:r>
      <w:r w:rsidR="003D0C4F">
        <w:rPr>
          <w:i/>
          <w:sz w:val="26"/>
          <w:szCs w:val="26"/>
          <w:lang w:eastAsia="ru-RU"/>
        </w:rPr>
        <w:t xml:space="preserve"> </w:t>
      </w:r>
      <w:r w:rsidR="003D0C4F">
        <w:rPr>
          <w:sz w:val="26"/>
          <w:szCs w:val="26"/>
          <w:lang w:eastAsia="ru-RU"/>
        </w:rPr>
        <w:t>(art. 25, alin.(1), litera b))</w:t>
      </w:r>
      <w:r>
        <w:rPr>
          <w:sz w:val="26"/>
          <w:szCs w:val="26"/>
          <w:lang w:eastAsia="ru-RU"/>
        </w:rPr>
        <w:t xml:space="preserve">, </w:t>
      </w:r>
      <w:r w:rsidR="008869A3">
        <w:rPr>
          <w:sz w:val="26"/>
          <w:szCs w:val="26"/>
          <w:lang w:eastAsia="ru-RU"/>
        </w:rPr>
        <w:t xml:space="preserve">actual </w:t>
      </w:r>
      <w:proofErr w:type="spellStart"/>
      <w:r>
        <w:rPr>
          <w:sz w:val="26"/>
          <w:szCs w:val="26"/>
          <w:lang w:eastAsia="ru-RU"/>
        </w:rPr>
        <w:t>vînzarea</w:t>
      </w:r>
      <w:proofErr w:type="spellEnd"/>
      <w:r>
        <w:rPr>
          <w:sz w:val="26"/>
          <w:szCs w:val="26"/>
          <w:lang w:eastAsia="ru-RU"/>
        </w:rPr>
        <w:t xml:space="preserve"> produselor  din  tutun este  interzisă </w:t>
      </w:r>
      <w:r w:rsidR="008869A3">
        <w:rPr>
          <w:sz w:val="26"/>
          <w:szCs w:val="26"/>
          <w:lang w:eastAsia="ru-RU"/>
        </w:rPr>
        <w:t xml:space="preserve">și </w:t>
      </w:r>
      <w:r>
        <w:rPr>
          <w:sz w:val="26"/>
          <w:szCs w:val="26"/>
          <w:lang w:eastAsia="ru-RU"/>
        </w:rPr>
        <w:t xml:space="preserve">în unitățile comerciale  </w:t>
      </w:r>
      <w:r w:rsidRPr="00901CA2">
        <w:rPr>
          <w:i/>
          <w:sz w:val="26"/>
          <w:szCs w:val="26"/>
          <w:lang w:eastAsia="ru-RU"/>
        </w:rPr>
        <w:t>cu o suprafață mai mică de 20 m</w:t>
      </w:r>
      <w:r w:rsidRPr="00901CA2">
        <w:rPr>
          <w:i/>
          <w:sz w:val="26"/>
          <w:szCs w:val="26"/>
          <w:vertAlign w:val="superscript"/>
          <w:lang w:eastAsia="ru-RU"/>
        </w:rPr>
        <w:t>2</w:t>
      </w:r>
      <w:r w:rsidRPr="00901CA2">
        <w:rPr>
          <w:i/>
          <w:sz w:val="26"/>
          <w:szCs w:val="26"/>
          <w:lang w:eastAsia="ru-RU"/>
        </w:rPr>
        <w:t xml:space="preserve"> și care sunt amplasate la o distanță </w:t>
      </w:r>
      <w:r w:rsidR="00277889">
        <w:rPr>
          <w:i/>
          <w:sz w:val="26"/>
          <w:szCs w:val="26"/>
          <w:lang w:eastAsia="ru-RU"/>
        </w:rPr>
        <w:t xml:space="preserve">de cel puțin </w:t>
      </w:r>
      <w:r w:rsidRPr="00901CA2">
        <w:rPr>
          <w:i/>
          <w:sz w:val="26"/>
          <w:szCs w:val="26"/>
          <w:lang w:eastAsia="ru-RU"/>
        </w:rPr>
        <w:t xml:space="preserve"> 200 m de la instituțiile de </w:t>
      </w:r>
      <w:proofErr w:type="spellStart"/>
      <w:r w:rsidR="00F93AED">
        <w:rPr>
          <w:i/>
          <w:sz w:val="26"/>
          <w:szCs w:val="26"/>
          <w:lang w:eastAsia="ru-RU"/>
        </w:rPr>
        <w:t>î</w:t>
      </w:r>
      <w:r w:rsidRPr="00901CA2">
        <w:rPr>
          <w:i/>
          <w:sz w:val="26"/>
          <w:szCs w:val="26"/>
          <w:lang w:eastAsia="ru-RU"/>
        </w:rPr>
        <w:t>nvățămînt</w:t>
      </w:r>
      <w:proofErr w:type="spellEnd"/>
      <w:r w:rsidRPr="00901CA2">
        <w:rPr>
          <w:i/>
          <w:sz w:val="26"/>
          <w:szCs w:val="26"/>
          <w:lang w:eastAsia="ru-RU"/>
        </w:rPr>
        <w:t xml:space="preserve"> și instituțiile medico-sanitare</w:t>
      </w:r>
      <w:r w:rsidR="003D0C4F">
        <w:rPr>
          <w:i/>
          <w:sz w:val="26"/>
          <w:szCs w:val="26"/>
          <w:lang w:eastAsia="ru-RU"/>
        </w:rPr>
        <w:t xml:space="preserve"> </w:t>
      </w:r>
      <w:r w:rsidR="003D0C4F">
        <w:rPr>
          <w:sz w:val="26"/>
          <w:szCs w:val="26"/>
          <w:lang w:eastAsia="ru-RU"/>
        </w:rPr>
        <w:t>(art. 25, alin. (6))</w:t>
      </w:r>
      <w:r>
        <w:rPr>
          <w:sz w:val="26"/>
          <w:szCs w:val="26"/>
          <w:lang w:eastAsia="ru-RU"/>
        </w:rPr>
        <w:t xml:space="preserve">. </w:t>
      </w:r>
    </w:p>
    <w:p w:rsidR="003D0C4F" w:rsidRPr="004958C7" w:rsidRDefault="003D0C4F" w:rsidP="003D0C4F">
      <w:pPr>
        <w:pStyle w:val="NormalWeb"/>
        <w:ind w:firstLine="708"/>
        <w:rPr>
          <w:b/>
          <w:sz w:val="26"/>
          <w:szCs w:val="26"/>
          <w:lang w:eastAsia="ru-RU"/>
        </w:rPr>
      </w:pPr>
      <w:r w:rsidRPr="009E4C09">
        <w:rPr>
          <w:sz w:val="26"/>
          <w:szCs w:val="26"/>
          <w:lang w:eastAsia="ru-RU"/>
        </w:rPr>
        <w:t xml:space="preserve">Consecutiv, conform Nomenclatorului unităților comerciale care desfășoară comerț cu amănuntul, aprobat prin </w:t>
      </w:r>
      <w:proofErr w:type="spellStart"/>
      <w:r w:rsidRPr="009E4C09">
        <w:rPr>
          <w:sz w:val="26"/>
          <w:szCs w:val="26"/>
          <w:lang w:eastAsia="ru-RU"/>
        </w:rPr>
        <w:t>Hotărîrea</w:t>
      </w:r>
      <w:proofErr w:type="spellEnd"/>
      <w:r w:rsidRPr="009E4C09">
        <w:rPr>
          <w:sz w:val="26"/>
          <w:szCs w:val="26"/>
          <w:lang w:eastAsia="ru-RU"/>
        </w:rPr>
        <w:t xml:space="preserve"> Guvernului nr. 931 din 08.12.2011, </w:t>
      </w:r>
      <w:r w:rsidRPr="003D0C4F">
        <w:rPr>
          <w:i/>
          <w:sz w:val="26"/>
          <w:szCs w:val="26"/>
          <w:lang w:eastAsia="ru-RU"/>
        </w:rPr>
        <w:t>unitățile de comerț ambulant sunt</w:t>
      </w:r>
      <w:r w:rsidRPr="004958C7">
        <w:rPr>
          <w:b/>
          <w:sz w:val="26"/>
          <w:szCs w:val="26"/>
          <w:lang w:eastAsia="ru-RU"/>
        </w:rPr>
        <w:t>:</w:t>
      </w:r>
    </w:p>
    <w:p w:rsidR="003D0C4F" w:rsidRPr="009E4C09" w:rsidRDefault="003D0C4F" w:rsidP="003D0C4F">
      <w:pPr>
        <w:pStyle w:val="NormalWeb"/>
        <w:numPr>
          <w:ilvl w:val="0"/>
          <w:numId w:val="1"/>
        </w:numPr>
        <w:rPr>
          <w:sz w:val="26"/>
          <w:szCs w:val="26"/>
          <w:lang w:eastAsia="ru-RU"/>
        </w:rPr>
      </w:pPr>
      <w:r w:rsidRPr="003D0C4F">
        <w:rPr>
          <w:i/>
          <w:sz w:val="26"/>
          <w:szCs w:val="26"/>
          <w:lang w:eastAsia="ru-RU"/>
        </w:rPr>
        <w:t>staționare provizorii</w:t>
      </w:r>
      <w:r w:rsidRPr="009E4C09">
        <w:rPr>
          <w:sz w:val="26"/>
          <w:szCs w:val="26"/>
          <w:lang w:eastAsia="ru-RU"/>
        </w:rPr>
        <w:t xml:space="preserve"> (pavilion, gheretă);</w:t>
      </w:r>
    </w:p>
    <w:p w:rsidR="003D0C4F" w:rsidRPr="009E4C09" w:rsidRDefault="003D0C4F" w:rsidP="003D0C4F">
      <w:pPr>
        <w:pStyle w:val="NormalWeb"/>
        <w:numPr>
          <w:ilvl w:val="0"/>
          <w:numId w:val="1"/>
        </w:numPr>
        <w:rPr>
          <w:sz w:val="26"/>
          <w:szCs w:val="26"/>
          <w:lang w:eastAsia="ru-RU"/>
        </w:rPr>
      </w:pPr>
      <w:r w:rsidRPr="003D0C4F">
        <w:rPr>
          <w:i/>
          <w:sz w:val="26"/>
          <w:szCs w:val="26"/>
          <w:lang w:eastAsia="ru-RU"/>
        </w:rPr>
        <w:t>mobile</w:t>
      </w:r>
      <w:r w:rsidRPr="009E4C09">
        <w:rPr>
          <w:sz w:val="26"/>
          <w:szCs w:val="26"/>
          <w:lang w:eastAsia="ru-RU"/>
        </w:rPr>
        <w:t xml:space="preserve"> (automagazin, rulotă, tonetă, tarabă, stand, tejghea, cărucior, aparat automat pentru </w:t>
      </w:r>
      <w:proofErr w:type="spellStart"/>
      <w:r w:rsidRPr="009E4C09">
        <w:rPr>
          <w:sz w:val="26"/>
          <w:szCs w:val="26"/>
          <w:lang w:eastAsia="ru-RU"/>
        </w:rPr>
        <w:t>vînzări</w:t>
      </w:r>
      <w:proofErr w:type="spellEnd"/>
      <w:r w:rsidRPr="009E4C09">
        <w:rPr>
          <w:sz w:val="26"/>
          <w:szCs w:val="26"/>
          <w:lang w:eastAsia="ru-RU"/>
        </w:rPr>
        <w:t>).</w:t>
      </w:r>
    </w:p>
    <w:p w:rsidR="009B486E" w:rsidRDefault="003D0C4F" w:rsidP="00531389">
      <w:pPr>
        <w:pStyle w:val="NormalWeb"/>
        <w:ind w:firstLine="708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În temeiul aceleași </w:t>
      </w:r>
      <w:proofErr w:type="spellStart"/>
      <w:r>
        <w:rPr>
          <w:sz w:val="26"/>
          <w:szCs w:val="26"/>
          <w:lang w:eastAsia="ru-RU"/>
        </w:rPr>
        <w:t>Hotărîri</w:t>
      </w:r>
      <w:proofErr w:type="spellEnd"/>
      <w:r>
        <w:rPr>
          <w:sz w:val="26"/>
          <w:szCs w:val="26"/>
          <w:lang w:eastAsia="ru-RU"/>
        </w:rPr>
        <w:t xml:space="preserve"> a Guvernului </w:t>
      </w:r>
      <w:r w:rsidRPr="003D0C4F">
        <w:rPr>
          <w:i/>
          <w:sz w:val="26"/>
          <w:szCs w:val="26"/>
          <w:lang w:eastAsia="ru-RU"/>
        </w:rPr>
        <w:t>gheretele</w:t>
      </w:r>
      <w:r>
        <w:rPr>
          <w:sz w:val="26"/>
          <w:szCs w:val="26"/>
          <w:lang w:eastAsia="ru-RU"/>
        </w:rPr>
        <w:t xml:space="preserve"> dispun de o suprafață comercială standard de 12 m</w:t>
      </w:r>
      <w:r>
        <w:rPr>
          <w:sz w:val="26"/>
          <w:szCs w:val="26"/>
          <w:vertAlign w:val="superscript"/>
          <w:lang w:eastAsia="ru-RU"/>
        </w:rPr>
        <w:t>2</w:t>
      </w:r>
      <w:r>
        <w:rPr>
          <w:sz w:val="26"/>
          <w:szCs w:val="26"/>
          <w:lang w:eastAsia="ru-RU"/>
        </w:rPr>
        <w:t xml:space="preserve">. Prin urmare, se creează incertitudine între </w:t>
      </w:r>
      <w:r w:rsidR="009B486E">
        <w:rPr>
          <w:sz w:val="26"/>
          <w:szCs w:val="26"/>
          <w:lang w:eastAsia="ru-RU"/>
        </w:rPr>
        <w:t xml:space="preserve">prevederile alin. (1) și (6) din art. 25 al Legii privind controlul tutunului: </w:t>
      </w:r>
      <w:r w:rsidR="008869A3">
        <w:rPr>
          <w:sz w:val="26"/>
          <w:szCs w:val="26"/>
          <w:lang w:eastAsia="ru-RU"/>
        </w:rPr>
        <w:t xml:space="preserve">norma din alin. (1), litera b) interzice </w:t>
      </w:r>
      <w:proofErr w:type="spellStart"/>
      <w:r w:rsidR="008869A3">
        <w:rPr>
          <w:sz w:val="26"/>
          <w:szCs w:val="26"/>
          <w:lang w:eastAsia="ru-RU"/>
        </w:rPr>
        <w:t>vînzarea</w:t>
      </w:r>
      <w:proofErr w:type="spellEnd"/>
      <w:r w:rsidR="008869A3">
        <w:rPr>
          <w:sz w:val="26"/>
          <w:szCs w:val="26"/>
          <w:lang w:eastAsia="ru-RU"/>
        </w:rPr>
        <w:t xml:space="preserve"> produselor din tutun </w:t>
      </w:r>
      <w:r w:rsidR="008869A3" w:rsidRPr="008869A3">
        <w:rPr>
          <w:i/>
          <w:sz w:val="26"/>
          <w:szCs w:val="26"/>
          <w:lang w:eastAsia="ru-RU"/>
        </w:rPr>
        <w:t>prin toate gheretele</w:t>
      </w:r>
      <w:r w:rsidR="008869A3">
        <w:rPr>
          <w:sz w:val="26"/>
          <w:szCs w:val="26"/>
          <w:lang w:eastAsia="ru-RU"/>
        </w:rPr>
        <w:t xml:space="preserve">, iar norma din alin. (6)   - </w:t>
      </w:r>
      <w:r w:rsidR="009B486E">
        <w:rPr>
          <w:sz w:val="26"/>
          <w:szCs w:val="26"/>
          <w:lang w:eastAsia="ru-RU"/>
        </w:rPr>
        <w:t>restric</w:t>
      </w:r>
      <w:r w:rsidR="008869A3">
        <w:rPr>
          <w:sz w:val="26"/>
          <w:szCs w:val="26"/>
          <w:lang w:eastAsia="ru-RU"/>
        </w:rPr>
        <w:t xml:space="preserve">ționează comerțul cu produsele vizate doar în gheretele </w:t>
      </w:r>
      <w:r w:rsidR="009B486E">
        <w:rPr>
          <w:sz w:val="26"/>
          <w:szCs w:val="26"/>
          <w:lang w:eastAsia="ru-RU"/>
        </w:rPr>
        <w:t>amplasate la o distanță mai mică de 200 metri de la instituți</w:t>
      </w:r>
      <w:r w:rsidR="008869A3">
        <w:rPr>
          <w:sz w:val="26"/>
          <w:szCs w:val="26"/>
          <w:lang w:eastAsia="ru-RU"/>
        </w:rPr>
        <w:t>i</w:t>
      </w:r>
      <w:r w:rsidR="009B486E">
        <w:rPr>
          <w:sz w:val="26"/>
          <w:szCs w:val="26"/>
          <w:lang w:eastAsia="ru-RU"/>
        </w:rPr>
        <w:t xml:space="preserve">le de </w:t>
      </w:r>
      <w:proofErr w:type="spellStart"/>
      <w:r w:rsidR="009B486E">
        <w:rPr>
          <w:sz w:val="26"/>
          <w:szCs w:val="26"/>
          <w:lang w:eastAsia="ru-RU"/>
        </w:rPr>
        <w:t>învățămînt</w:t>
      </w:r>
      <w:proofErr w:type="spellEnd"/>
      <w:r w:rsidR="009B486E">
        <w:rPr>
          <w:sz w:val="26"/>
          <w:szCs w:val="26"/>
          <w:lang w:eastAsia="ru-RU"/>
        </w:rPr>
        <w:t xml:space="preserve"> și medico-sanitare.</w:t>
      </w:r>
    </w:p>
    <w:p w:rsidR="00277889" w:rsidRDefault="004B2D02" w:rsidP="00277889">
      <w:pPr>
        <w:pStyle w:val="NormalWeb"/>
        <w:ind w:firstLine="708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În</w:t>
      </w:r>
      <w:r w:rsidR="005555D9">
        <w:rPr>
          <w:sz w:val="26"/>
          <w:szCs w:val="26"/>
          <w:lang w:eastAsia="ru-RU"/>
        </w:rPr>
        <w:t>tru elucidarea situației și eliminării interpretărilor duble,</w:t>
      </w:r>
      <w:r>
        <w:rPr>
          <w:sz w:val="26"/>
          <w:szCs w:val="26"/>
          <w:lang w:eastAsia="ru-RU"/>
        </w:rPr>
        <w:t xml:space="preserve"> s-a impus revizuirea noțiunii de „</w:t>
      </w:r>
      <w:r w:rsidRPr="004B2D02">
        <w:rPr>
          <w:i/>
          <w:sz w:val="26"/>
          <w:szCs w:val="26"/>
          <w:lang w:eastAsia="ru-RU"/>
        </w:rPr>
        <w:t>comerț ambulant</w:t>
      </w:r>
      <w:r>
        <w:rPr>
          <w:sz w:val="26"/>
          <w:szCs w:val="26"/>
          <w:lang w:eastAsia="ru-RU"/>
        </w:rPr>
        <w:t>”</w:t>
      </w:r>
      <w:r w:rsidR="00277889">
        <w:rPr>
          <w:sz w:val="26"/>
          <w:szCs w:val="26"/>
          <w:lang w:eastAsia="ru-RU"/>
        </w:rPr>
        <w:t xml:space="preserve"> prin prisma  legislației și practicii  statelor  UE.  C</w:t>
      </w:r>
      <w:r w:rsidR="00277889" w:rsidRPr="009E4C09">
        <w:rPr>
          <w:sz w:val="26"/>
          <w:szCs w:val="26"/>
          <w:lang w:eastAsia="ru-RU"/>
        </w:rPr>
        <w:t>onform Ordonanței Guvernului României nr. 99 din 29.08.2000 privind comercializarea produselor și serviciilor de piață, prin „</w:t>
      </w:r>
      <w:r w:rsidR="00277889" w:rsidRPr="00150D7E">
        <w:rPr>
          <w:i/>
          <w:sz w:val="26"/>
          <w:szCs w:val="26"/>
          <w:lang w:eastAsia="ru-RU"/>
        </w:rPr>
        <w:t>comerț ambulant</w:t>
      </w:r>
      <w:r w:rsidR="00277889" w:rsidRPr="009E4C09">
        <w:rPr>
          <w:sz w:val="26"/>
          <w:szCs w:val="26"/>
          <w:lang w:eastAsia="ru-RU"/>
        </w:rPr>
        <w:t>” se înțelege „</w:t>
      </w:r>
      <w:r w:rsidR="00277889" w:rsidRPr="00150D7E">
        <w:rPr>
          <w:i/>
          <w:sz w:val="26"/>
          <w:szCs w:val="26"/>
          <w:lang w:eastAsia="ru-RU"/>
        </w:rPr>
        <w:t xml:space="preserve">activitatea de comercializare cu amănuntul realizată prin trecere dintr-un loc în altul, în rulote mobile, standuri mobile, chioșcuri mobile sau în vehicule special amenajate”. </w:t>
      </w:r>
      <w:r w:rsidR="00277889">
        <w:rPr>
          <w:sz w:val="26"/>
          <w:szCs w:val="26"/>
          <w:lang w:eastAsia="ru-RU"/>
        </w:rPr>
        <w:t>De asemenea, î</w:t>
      </w:r>
      <w:r w:rsidR="00277889" w:rsidRPr="009E4C09">
        <w:rPr>
          <w:sz w:val="26"/>
          <w:szCs w:val="26"/>
          <w:lang w:eastAsia="ru-RU"/>
        </w:rPr>
        <w:t xml:space="preserve">nsăși sensul </w:t>
      </w:r>
      <w:proofErr w:type="spellStart"/>
      <w:r w:rsidR="00277889" w:rsidRPr="009E4C09">
        <w:rPr>
          <w:sz w:val="26"/>
          <w:szCs w:val="26"/>
          <w:lang w:eastAsia="ru-RU"/>
        </w:rPr>
        <w:t>cuvîntului</w:t>
      </w:r>
      <w:proofErr w:type="spellEnd"/>
      <w:r w:rsidR="00277889" w:rsidRPr="009E4C09">
        <w:rPr>
          <w:sz w:val="26"/>
          <w:szCs w:val="26"/>
          <w:lang w:eastAsia="ru-RU"/>
        </w:rPr>
        <w:t xml:space="preserve"> „</w:t>
      </w:r>
      <w:r w:rsidR="00277889" w:rsidRPr="00150D7E">
        <w:rPr>
          <w:i/>
          <w:sz w:val="26"/>
          <w:szCs w:val="26"/>
          <w:lang w:eastAsia="ru-RU"/>
        </w:rPr>
        <w:t>ambulant</w:t>
      </w:r>
      <w:r w:rsidR="00277889" w:rsidRPr="009E4C09">
        <w:rPr>
          <w:sz w:val="26"/>
          <w:szCs w:val="26"/>
          <w:lang w:eastAsia="ru-RU"/>
        </w:rPr>
        <w:t>” în temeiul dicționarului explicativ al limbii române este acela „care se deplasează dintr-un loc în altul, care nu are un loc fix”.</w:t>
      </w:r>
      <w:r w:rsidR="00372EDB">
        <w:rPr>
          <w:sz w:val="26"/>
          <w:szCs w:val="26"/>
          <w:lang w:eastAsia="ru-RU"/>
        </w:rPr>
        <w:t xml:space="preserve"> Astfel</w:t>
      </w:r>
      <w:r w:rsidR="00277889" w:rsidRPr="009E4C09">
        <w:rPr>
          <w:sz w:val="26"/>
          <w:szCs w:val="26"/>
          <w:lang w:eastAsia="ru-RU"/>
        </w:rPr>
        <w:t xml:space="preserve">, </w:t>
      </w:r>
      <w:r w:rsidR="00277889" w:rsidRPr="00150D7E">
        <w:rPr>
          <w:i/>
          <w:sz w:val="26"/>
          <w:szCs w:val="26"/>
          <w:lang w:eastAsia="ru-RU"/>
        </w:rPr>
        <w:t xml:space="preserve">gheretele </w:t>
      </w:r>
      <w:r w:rsidR="007C7EBA">
        <w:rPr>
          <w:i/>
          <w:sz w:val="26"/>
          <w:szCs w:val="26"/>
          <w:lang w:eastAsia="ru-RU"/>
        </w:rPr>
        <w:t xml:space="preserve">staționare </w:t>
      </w:r>
      <w:r w:rsidR="00277889" w:rsidRPr="00150D7E">
        <w:rPr>
          <w:i/>
          <w:sz w:val="26"/>
          <w:szCs w:val="26"/>
          <w:lang w:eastAsia="ru-RU"/>
        </w:rPr>
        <w:t>nu pot fi atribuite unităților de comerț ambulant</w:t>
      </w:r>
      <w:r w:rsidR="00277889" w:rsidRPr="009E4C09">
        <w:rPr>
          <w:sz w:val="26"/>
          <w:szCs w:val="26"/>
          <w:lang w:eastAsia="ru-RU"/>
        </w:rPr>
        <w:t xml:space="preserve">, or acestea din urmă au adresă exactă înregistrată la structurile teritoriale ale Inspectoratul Fiscal Principal de Stat, </w:t>
      </w:r>
      <w:r w:rsidR="00277889">
        <w:rPr>
          <w:sz w:val="26"/>
          <w:szCs w:val="26"/>
          <w:lang w:eastAsia="ru-RU"/>
        </w:rPr>
        <w:t xml:space="preserve">utilizează </w:t>
      </w:r>
      <w:r w:rsidR="00277889" w:rsidRPr="009E4C09">
        <w:rPr>
          <w:sz w:val="26"/>
          <w:szCs w:val="26"/>
          <w:lang w:eastAsia="ru-RU"/>
        </w:rPr>
        <w:t xml:space="preserve">mașini de casă și control înregistrate pe aceste adrese, sunt conectate la sursă de energie electrică și telefon. </w:t>
      </w:r>
      <w:r w:rsidR="00277889">
        <w:rPr>
          <w:sz w:val="26"/>
          <w:szCs w:val="26"/>
          <w:lang w:eastAsia="ru-RU"/>
        </w:rPr>
        <w:t xml:space="preserve"> </w:t>
      </w:r>
    </w:p>
    <w:p w:rsidR="00B964D5" w:rsidRPr="005555D9" w:rsidRDefault="00B964D5" w:rsidP="00277889">
      <w:pPr>
        <w:pStyle w:val="NormalWeb"/>
        <w:ind w:firstLine="708"/>
        <w:rPr>
          <w:b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În această ordine de idei, proiectul vizat vine întru ajustarea noțiunii de „</w:t>
      </w:r>
      <w:r w:rsidRPr="00150D7E">
        <w:rPr>
          <w:i/>
          <w:sz w:val="26"/>
          <w:szCs w:val="26"/>
          <w:lang w:eastAsia="ru-RU"/>
        </w:rPr>
        <w:t>comerț ambulant</w:t>
      </w:r>
      <w:r>
        <w:rPr>
          <w:sz w:val="26"/>
          <w:szCs w:val="26"/>
          <w:lang w:eastAsia="ru-RU"/>
        </w:rPr>
        <w:t xml:space="preserve">” la legislația </w:t>
      </w:r>
      <w:r w:rsidR="0052432A">
        <w:rPr>
          <w:sz w:val="26"/>
          <w:szCs w:val="26"/>
          <w:lang w:eastAsia="ru-RU"/>
        </w:rPr>
        <w:t xml:space="preserve">statelor </w:t>
      </w:r>
      <w:r>
        <w:rPr>
          <w:sz w:val="26"/>
          <w:szCs w:val="26"/>
          <w:lang w:eastAsia="ru-RU"/>
        </w:rPr>
        <w:t xml:space="preserve">UE, care include în unitățile comerțului ambulant </w:t>
      </w:r>
      <w:r w:rsidRPr="00B964D5">
        <w:rPr>
          <w:i/>
          <w:sz w:val="26"/>
          <w:szCs w:val="26"/>
          <w:lang w:eastAsia="ru-RU"/>
        </w:rPr>
        <w:t>rulotele mobile, standuri mobile, chioșcuri mobile sau vehicule special amenajate.</w:t>
      </w:r>
      <w:r>
        <w:rPr>
          <w:sz w:val="26"/>
          <w:szCs w:val="26"/>
          <w:lang w:eastAsia="ru-RU"/>
        </w:rPr>
        <w:t xml:space="preserve"> </w:t>
      </w:r>
      <w:r w:rsidR="00372EDB">
        <w:rPr>
          <w:sz w:val="26"/>
          <w:szCs w:val="26"/>
          <w:lang w:eastAsia="ru-RU"/>
        </w:rPr>
        <w:t xml:space="preserve">Ca rezultat, </w:t>
      </w:r>
      <w:r w:rsidR="00372EDB" w:rsidRPr="005555D9">
        <w:rPr>
          <w:b/>
          <w:sz w:val="26"/>
          <w:szCs w:val="26"/>
          <w:lang w:eastAsia="ru-RU"/>
        </w:rPr>
        <w:t xml:space="preserve">restricțiile de comercializare a produselor din tutun se vor </w:t>
      </w:r>
      <w:proofErr w:type="spellStart"/>
      <w:r w:rsidR="00372EDB" w:rsidRPr="005555D9">
        <w:rPr>
          <w:b/>
          <w:sz w:val="26"/>
          <w:szCs w:val="26"/>
          <w:lang w:eastAsia="ru-RU"/>
        </w:rPr>
        <w:t>răsfrînge</w:t>
      </w:r>
      <w:proofErr w:type="spellEnd"/>
      <w:r w:rsidR="00372EDB" w:rsidRPr="005555D9">
        <w:rPr>
          <w:b/>
          <w:sz w:val="26"/>
          <w:szCs w:val="26"/>
          <w:lang w:eastAsia="ru-RU"/>
        </w:rPr>
        <w:t xml:space="preserve"> asupra  gheretelor amplasate în preajma instituțiilor de </w:t>
      </w:r>
      <w:proofErr w:type="spellStart"/>
      <w:r w:rsidR="00372EDB" w:rsidRPr="005555D9">
        <w:rPr>
          <w:b/>
          <w:sz w:val="26"/>
          <w:szCs w:val="26"/>
          <w:lang w:eastAsia="ru-RU"/>
        </w:rPr>
        <w:t>învățămînt</w:t>
      </w:r>
      <w:proofErr w:type="spellEnd"/>
      <w:r w:rsidR="00372EDB" w:rsidRPr="005555D9">
        <w:rPr>
          <w:b/>
          <w:sz w:val="26"/>
          <w:szCs w:val="26"/>
          <w:lang w:eastAsia="ru-RU"/>
        </w:rPr>
        <w:t xml:space="preserve"> și medico-sanitare (la o distanță mai mică de 200 metri de la aceste instituții). </w:t>
      </w:r>
    </w:p>
    <w:p w:rsidR="005555D9" w:rsidRDefault="00047BA7" w:rsidP="005555D9">
      <w:pPr>
        <w:pStyle w:val="NormalWeb"/>
        <w:rPr>
          <w:sz w:val="26"/>
          <w:szCs w:val="26"/>
        </w:rPr>
      </w:pPr>
      <w:r>
        <w:rPr>
          <w:sz w:val="26"/>
          <w:szCs w:val="26"/>
          <w:lang w:eastAsia="ru-RU"/>
        </w:rPr>
        <w:t xml:space="preserve">  </w:t>
      </w:r>
      <w:r w:rsidR="00CF6153">
        <w:rPr>
          <w:sz w:val="26"/>
          <w:szCs w:val="26"/>
          <w:lang w:eastAsia="ru-RU"/>
        </w:rPr>
        <w:t>Un alt motiv care a contribuit la elaborarea proiectului dat este acela, că</w:t>
      </w:r>
      <w:r w:rsidR="005555D9">
        <w:rPr>
          <w:sz w:val="26"/>
          <w:szCs w:val="26"/>
          <w:lang w:eastAsia="ru-RU"/>
        </w:rPr>
        <w:t xml:space="preserve"> </w:t>
      </w:r>
      <w:r w:rsidR="005555D9" w:rsidRPr="009E4C09">
        <w:rPr>
          <w:sz w:val="26"/>
          <w:szCs w:val="26"/>
          <w:lang w:eastAsia="ru-RU"/>
        </w:rPr>
        <w:t xml:space="preserve">restricțiile de comercializare a produselor din tutun prin </w:t>
      </w:r>
      <w:r w:rsidR="00CF6153">
        <w:rPr>
          <w:sz w:val="26"/>
          <w:szCs w:val="26"/>
          <w:lang w:eastAsia="ru-RU"/>
        </w:rPr>
        <w:t xml:space="preserve">toate </w:t>
      </w:r>
      <w:r w:rsidR="005555D9" w:rsidRPr="009E4C09">
        <w:rPr>
          <w:sz w:val="26"/>
          <w:szCs w:val="26"/>
          <w:lang w:eastAsia="ru-RU"/>
        </w:rPr>
        <w:t>gherete</w:t>
      </w:r>
      <w:r w:rsidR="00D65CF1">
        <w:rPr>
          <w:sz w:val="26"/>
          <w:szCs w:val="26"/>
          <w:lang w:eastAsia="ru-RU"/>
        </w:rPr>
        <w:t>le</w:t>
      </w:r>
      <w:r w:rsidR="005555D9" w:rsidRPr="009E4C09">
        <w:rPr>
          <w:sz w:val="26"/>
          <w:szCs w:val="26"/>
          <w:lang w:eastAsia="ru-RU"/>
        </w:rPr>
        <w:t xml:space="preserve"> și chioșcuri</w:t>
      </w:r>
      <w:r w:rsidR="00D65CF1">
        <w:rPr>
          <w:sz w:val="26"/>
          <w:szCs w:val="26"/>
          <w:lang w:eastAsia="ru-RU"/>
        </w:rPr>
        <w:t>le</w:t>
      </w:r>
      <w:r w:rsidR="005555D9" w:rsidRPr="009E4C09">
        <w:rPr>
          <w:sz w:val="26"/>
          <w:szCs w:val="26"/>
          <w:lang w:eastAsia="ru-RU"/>
        </w:rPr>
        <w:t xml:space="preserve"> </w:t>
      </w:r>
      <w:r w:rsidR="00D65CF1">
        <w:rPr>
          <w:sz w:val="26"/>
          <w:szCs w:val="26"/>
          <w:lang w:eastAsia="ru-RU"/>
        </w:rPr>
        <w:t xml:space="preserve">din țară </w:t>
      </w:r>
      <w:r w:rsidR="005555D9" w:rsidRPr="009E4C09">
        <w:rPr>
          <w:sz w:val="26"/>
          <w:szCs w:val="26"/>
          <w:lang w:eastAsia="ru-RU"/>
        </w:rPr>
        <w:t xml:space="preserve">vor avea impact negativ asupra bugetului de stat și bugetelor locale, formate din impozite pe venit, </w:t>
      </w:r>
      <w:r w:rsidR="005555D9">
        <w:rPr>
          <w:sz w:val="26"/>
          <w:szCs w:val="26"/>
          <w:lang w:eastAsia="ru-RU"/>
        </w:rPr>
        <w:t xml:space="preserve">contribuții din </w:t>
      </w:r>
      <w:r w:rsidR="005555D9" w:rsidRPr="009E4C09">
        <w:rPr>
          <w:sz w:val="26"/>
          <w:szCs w:val="26"/>
          <w:lang w:eastAsia="ru-RU"/>
        </w:rPr>
        <w:t xml:space="preserve">salariu și respectiv, taxe locale. Ca rezultat al restricțiilor respective, o bună parte din gherete s-ar putea închide. </w:t>
      </w:r>
      <w:r w:rsidR="005555D9">
        <w:rPr>
          <w:sz w:val="26"/>
          <w:szCs w:val="26"/>
          <w:lang w:eastAsia="ru-RU"/>
        </w:rPr>
        <w:t xml:space="preserve">În acest context, </w:t>
      </w:r>
      <w:proofErr w:type="spellStart"/>
      <w:r w:rsidR="005555D9" w:rsidRPr="009E4C09">
        <w:rPr>
          <w:sz w:val="26"/>
          <w:szCs w:val="26"/>
        </w:rPr>
        <w:t>avînd</w:t>
      </w:r>
      <w:proofErr w:type="spellEnd"/>
      <w:r w:rsidR="005555D9" w:rsidRPr="009E4C09">
        <w:rPr>
          <w:sz w:val="26"/>
          <w:szCs w:val="26"/>
        </w:rPr>
        <w:t xml:space="preserve"> în vedere investițiile </w:t>
      </w:r>
      <w:r w:rsidR="005555D9" w:rsidRPr="009E4C09">
        <w:rPr>
          <w:sz w:val="26"/>
          <w:szCs w:val="26"/>
        </w:rPr>
        <w:lastRenderedPageBreak/>
        <w:t>efectuate pentru desfășurarea activității comerciale, crearea unui număr mare de locuri de muncă</w:t>
      </w:r>
      <w:r w:rsidR="005555D9">
        <w:rPr>
          <w:sz w:val="26"/>
          <w:szCs w:val="26"/>
        </w:rPr>
        <w:t>,</w:t>
      </w:r>
      <w:r w:rsidR="005555D9" w:rsidRPr="009E4C09">
        <w:rPr>
          <w:sz w:val="26"/>
          <w:szCs w:val="26"/>
        </w:rPr>
        <w:t xml:space="preserve"> agenții economici din domeniul vizat </w:t>
      </w:r>
      <w:r w:rsidR="00D65CF1">
        <w:rPr>
          <w:sz w:val="26"/>
          <w:szCs w:val="26"/>
        </w:rPr>
        <w:t xml:space="preserve">evident că </w:t>
      </w:r>
      <w:r w:rsidR="005555D9" w:rsidRPr="009E4C09">
        <w:rPr>
          <w:sz w:val="26"/>
          <w:szCs w:val="26"/>
        </w:rPr>
        <w:t xml:space="preserve">exprimă nemulțumiri privind restricțiile comercializării produselor din tutun. </w:t>
      </w:r>
      <w:r w:rsidR="005555D9">
        <w:rPr>
          <w:sz w:val="26"/>
          <w:szCs w:val="26"/>
        </w:rPr>
        <w:t xml:space="preserve">În opinia agenților economici, perioada de 2 luni (legea a fost publicată la 17.07.2015, a intrat în vigoare la 17.09.2015) privind conformarea acestora la prevederile legale este insuficientă, în special norma ce ține de amplasarea unităților comerciale în preajma instituțiilor de </w:t>
      </w:r>
      <w:proofErr w:type="spellStart"/>
      <w:r w:rsidR="005555D9">
        <w:rPr>
          <w:sz w:val="26"/>
          <w:szCs w:val="26"/>
        </w:rPr>
        <w:t>învățămînt</w:t>
      </w:r>
      <w:proofErr w:type="spellEnd"/>
      <w:r w:rsidR="005555D9">
        <w:rPr>
          <w:sz w:val="26"/>
          <w:szCs w:val="26"/>
        </w:rPr>
        <w:t xml:space="preserve"> și de sănătate.</w:t>
      </w:r>
    </w:p>
    <w:p w:rsidR="00531389" w:rsidRPr="00DC4784" w:rsidRDefault="00531389" w:rsidP="00531389">
      <w:pPr>
        <w:pStyle w:val="NormalWeb"/>
      </w:pPr>
    </w:p>
    <w:p w:rsidR="00531389" w:rsidRDefault="00531389" w:rsidP="00531389">
      <w:pPr>
        <w:pStyle w:val="NormalWeb"/>
        <w:ind w:firstLine="708"/>
        <w:rPr>
          <w:sz w:val="26"/>
          <w:szCs w:val="26"/>
        </w:rPr>
      </w:pPr>
      <w:r w:rsidRPr="009E4C09">
        <w:rPr>
          <w:sz w:val="26"/>
          <w:szCs w:val="26"/>
        </w:rPr>
        <w:t>Faţă de cele menţionate mai sus a fost elaborat proiectul respectiv, care se propune spre avizare instituțiilor de resort.</w:t>
      </w:r>
    </w:p>
    <w:p w:rsidR="00170AFE" w:rsidRDefault="00170AFE" w:rsidP="00531389">
      <w:pPr>
        <w:pStyle w:val="NormalWeb"/>
        <w:ind w:firstLine="708"/>
        <w:rPr>
          <w:sz w:val="26"/>
          <w:szCs w:val="26"/>
        </w:rPr>
      </w:pPr>
    </w:p>
    <w:p w:rsidR="00170AFE" w:rsidRDefault="00170AFE" w:rsidP="00531389">
      <w:pPr>
        <w:pStyle w:val="NormalWeb"/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Viceprim-ministru,</w:t>
      </w:r>
    </w:p>
    <w:p w:rsidR="00170AFE" w:rsidRPr="00170AFE" w:rsidRDefault="00170AFE" w:rsidP="00531389">
      <w:pPr>
        <w:pStyle w:val="NormalWeb"/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ministru                                                                                  Octavian CALMÎC</w:t>
      </w:r>
    </w:p>
    <w:p w:rsidR="004C4EF7" w:rsidRDefault="004C4EF7" w:rsidP="00531389">
      <w:pPr>
        <w:pStyle w:val="NormalWeb"/>
        <w:ind w:firstLine="708"/>
        <w:rPr>
          <w:sz w:val="26"/>
          <w:szCs w:val="26"/>
        </w:rPr>
      </w:pPr>
    </w:p>
    <w:p w:rsidR="004C4EF7" w:rsidRDefault="004C4EF7" w:rsidP="00531389">
      <w:pPr>
        <w:pStyle w:val="NormalWeb"/>
        <w:ind w:firstLine="708"/>
        <w:rPr>
          <w:sz w:val="26"/>
          <w:szCs w:val="26"/>
        </w:rPr>
      </w:pPr>
    </w:p>
    <w:sectPr w:rsidR="004C4EF7" w:rsidSect="00810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B7A64"/>
    <w:multiLevelType w:val="hybridMultilevel"/>
    <w:tmpl w:val="5860F2CC"/>
    <w:lvl w:ilvl="0" w:tplc="B56C95FC">
      <w:start w:val="1"/>
      <w:numFmt w:val="decimal"/>
      <w:lvlText w:val="%1.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F3823"/>
    <w:multiLevelType w:val="hybridMultilevel"/>
    <w:tmpl w:val="30EC4330"/>
    <w:lvl w:ilvl="0" w:tplc="FA2C30B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8F76D73"/>
    <w:multiLevelType w:val="hybridMultilevel"/>
    <w:tmpl w:val="24C03306"/>
    <w:lvl w:ilvl="0" w:tplc="BB0AF882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89"/>
    <w:rsid w:val="00047BA7"/>
    <w:rsid w:val="00061CA7"/>
    <w:rsid w:val="001010DF"/>
    <w:rsid w:val="00170AFE"/>
    <w:rsid w:val="001A168B"/>
    <w:rsid w:val="001F309C"/>
    <w:rsid w:val="00277889"/>
    <w:rsid w:val="00372EDB"/>
    <w:rsid w:val="003D0C4F"/>
    <w:rsid w:val="004B2D02"/>
    <w:rsid w:val="004C4EF7"/>
    <w:rsid w:val="0052432A"/>
    <w:rsid w:val="00531389"/>
    <w:rsid w:val="005555D9"/>
    <w:rsid w:val="00666887"/>
    <w:rsid w:val="007C7EBA"/>
    <w:rsid w:val="00861C53"/>
    <w:rsid w:val="008869A3"/>
    <w:rsid w:val="008D29EB"/>
    <w:rsid w:val="00901CA2"/>
    <w:rsid w:val="009B486E"/>
    <w:rsid w:val="009B675E"/>
    <w:rsid w:val="00B964D5"/>
    <w:rsid w:val="00CF6153"/>
    <w:rsid w:val="00D65CF1"/>
    <w:rsid w:val="00DF25D0"/>
    <w:rsid w:val="00F83F6E"/>
    <w:rsid w:val="00F9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38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31389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3138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5313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38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531389"/>
    <w:pPr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3138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531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659</Words>
  <Characters>3823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ZIT</dc:creator>
  <cp:lastModifiedBy>Rodica</cp:lastModifiedBy>
  <cp:revision>3</cp:revision>
  <cp:lastPrinted>2016-01-05T09:14:00Z</cp:lastPrinted>
  <dcterms:created xsi:type="dcterms:W3CDTF">2016-01-26T08:59:00Z</dcterms:created>
  <dcterms:modified xsi:type="dcterms:W3CDTF">2016-01-26T09:38:00Z</dcterms:modified>
</cp:coreProperties>
</file>