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03" w:rsidRPr="000A6867" w:rsidRDefault="00254503" w:rsidP="00254503">
      <w:pPr>
        <w:spacing w:after="0" w:line="240" w:lineRule="auto"/>
        <w:ind w:left="7080" w:firstLine="770"/>
        <w:jc w:val="both"/>
        <w:rPr>
          <w:rFonts w:ascii="Times New Roman" w:hAnsi="Times New Roman"/>
          <w:sz w:val="28"/>
          <w:szCs w:val="28"/>
          <w:lang w:val="ro-RO"/>
        </w:rPr>
      </w:pPr>
      <w:r w:rsidRPr="000A6867">
        <w:rPr>
          <w:rFonts w:ascii="Times New Roman" w:hAnsi="Times New Roman"/>
          <w:sz w:val="28"/>
          <w:szCs w:val="28"/>
          <w:lang w:val="ro-RO"/>
        </w:rPr>
        <w:t xml:space="preserve">Anexă </w:t>
      </w:r>
    </w:p>
    <w:p w:rsidR="00254503" w:rsidRPr="000A6867" w:rsidRDefault="00254503" w:rsidP="00254503">
      <w:pPr>
        <w:spacing w:after="0" w:line="240" w:lineRule="auto"/>
        <w:ind w:left="6372" w:firstLine="770"/>
        <w:jc w:val="both"/>
        <w:rPr>
          <w:rFonts w:ascii="Times New Roman" w:hAnsi="Times New Roman"/>
          <w:sz w:val="28"/>
          <w:szCs w:val="28"/>
          <w:lang w:val="ro-RO"/>
        </w:rPr>
      </w:pPr>
      <w:r w:rsidRPr="000A6867">
        <w:rPr>
          <w:rFonts w:ascii="Times New Roman" w:hAnsi="Times New Roman"/>
          <w:sz w:val="28"/>
          <w:szCs w:val="28"/>
          <w:lang w:val="ro-RO"/>
        </w:rPr>
        <w:t xml:space="preserve">la Nota informativă </w:t>
      </w:r>
    </w:p>
    <w:p w:rsidR="00254503" w:rsidRPr="000A6867" w:rsidRDefault="00254503" w:rsidP="00254503">
      <w:pPr>
        <w:spacing w:after="0" w:line="240" w:lineRule="auto"/>
        <w:ind w:firstLine="770"/>
        <w:jc w:val="center"/>
        <w:rPr>
          <w:rFonts w:ascii="Times New Roman" w:hAnsi="Times New Roman"/>
          <w:b/>
          <w:sz w:val="28"/>
          <w:szCs w:val="28"/>
          <w:lang w:val="ro-RO"/>
        </w:rPr>
      </w:pPr>
    </w:p>
    <w:p w:rsidR="00254503" w:rsidRPr="000A6867" w:rsidRDefault="00254503" w:rsidP="00254503">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 xml:space="preserve">Analiza preliminară a impactului de reglementare </w:t>
      </w:r>
    </w:p>
    <w:p w:rsidR="00254503" w:rsidRPr="000A6867" w:rsidRDefault="00254503" w:rsidP="00254503">
      <w:pPr>
        <w:spacing w:after="0" w:line="240" w:lineRule="auto"/>
        <w:ind w:firstLine="770"/>
        <w:jc w:val="center"/>
        <w:rPr>
          <w:rFonts w:ascii="Times New Roman" w:hAnsi="Times New Roman"/>
          <w:b/>
          <w:bCs/>
          <w:i/>
          <w:iCs/>
          <w:sz w:val="28"/>
          <w:szCs w:val="28"/>
          <w:lang w:val="ro-RO"/>
        </w:rPr>
      </w:pPr>
      <w:r w:rsidRPr="000A6867">
        <w:rPr>
          <w:rFonts w:ascii="Times New Roman" w:hAnsi="Times New Roman"/>
          <w:b/>
          <w:bCs/>
          <w:i/>
          <w:iCs/>
          <w:sz w:val="28"/>
          <w:szCs w:val="28"/>
          <w:lang w:val="ro-RO"/>
        </w:rPr>
        <w:t xml:space="preserve">la proiectul </w:t>
      </w:r>
      <w:proofErr w:type="spellStart"/>
      <w:r w:rsidRPr="000A6867">
        <w:rPr>
          <w:rFonts w:ascii="Times New Roman" w:hAnsi="Times New Roman"/>
          <w:b/>
          <w:bCs/>
          <w:i/>
          <w:iCs/>
          <w:sz w:val="28"/>
          <w:szCs w:val="28"/>
          <w:lang w:val="ro-RO"/>
        </w:rPr>
        <w:t>Hotărîrii</w:t>
      </w:r>
      <w:proofErr w:type="spellEnd"/>
      <w:r w:rsidRPr="000A6867">
        <w:rPr>
          <w:rFonts w:ascii="Times New Roman" w:hAnsi="Times New Roman"/>
          <w:b/>
          <w:bCs/>
          <w:i/>
          <w:iCs/>
          <w:sz w:val="28"/>
          <w:szCs w:val="28"/>
          <w:lang w:val="ro-RO"/>
        </w:rPr>
        <w:t xml:space="preserve"> Guvernului cu privire la modificarea </w:t>
      </w:r>
    </w:p>
    <w:p w:rsidR="00254503" w:rsidRPr="000A6867" w:rsidRDefault="00254503" w:rsidP="00254503">
      <w:pPr>
        <w:spacing w:after="0" w:line="240" w:lineRule="auto"/>
        <w:ind w:firstLine="770"/>
        <w:jc w:val="center"/>
        <w:rPr>
          <w:rFonts w:ascii="Times New Roman" w:hAnsi="Times New Roman"/>
          <w:b/>
          <w:i/>
          <w:sz w:val="28"/>
          <w:szCs w:val="28"/>
          <w:lang w:val="ro-RO"/>
        </w:rPr>
      </w:pPr>
      <w:r w:rsidRPr="000A6867">
        <w:rPr>
          <w:rFonts w:ascii="Times New Roman" w:hAnsi="Times New Roman"/>
          <w:b/>
          <w:bCs/>
          <w:i/>
          <w:iCs/>
          <w:sz w:val="28"/>
          <w:szCs w:val="28"/>
          <w:lang w:val="ro-RO"/>
        </w:rPr>
        <w:t xml:space="preserve"> </w:t>
      </w:r>
      <w:proofErr w:type="spellStart"/>
      <w:r w:rsidRPr="000A6867">
        <w:rPr>
          <w:rFonts w:ascii="Times New Roman" w:hAnsi="Times New Roman"/>
          <w:b/>
          <w:bCs/>
          <w:i/>
          <w:iCs/>
          <w:sz w:val="28"/>
          <w:szCs w:val="28"/>
          <w:lang w:val="ro-RO"/>
        </w:rPr>
        <w:t>Hotărîrii</w:t>
      </w:r>
      <w:proofErr w:type="spellEnd"/>
      <w:r w:rsidRPr="000A6867">
        <w:rPr>
          <w:rFonts w:ascii="Times New Roman" w:hAnsi="Times New Roman"/>
          <w:b/>
          <w:bCs/>
          <w:i/>
          <w:iCs/>
          <w:sz w:val="28"/>
          <w:szCs w:val="28"/>
          <w:lang w:val="ro-RO"/>
        </w:rPr>
        <w:t xml:space="preserve"> Guvernului </w:t>
      </w:r>
      <w:r w:rsidRPr="000A6867">
        <w:rPr>
          <w:rFonts w:ascii="Times New Roman" w:hAnsi="Times New Roman"/>
          <w:b/>
          <w:i/>
          <w:sz w:val="28"/>
          <w:szCs w:val="28"/>
          <w:lang w:val="ro-RO"/>
        </w:rPr>
        <w:t>nr. 338 din 11 mai 2011 pentru aprobarea Regulamentului sanitar privind formulele de început şi formulele de continuare ale preparatelor pentru sugari respectiv ale preparatelor pentru copii mici</w:t>
      </w:r>
    </w:p>
    <w:p w:rsidR="00254503" w:rsidRPr="000A6867" w:rsidRDefault="00254503" w:rsidP="00254503">
      <w:pPr>
        <w:spacing w:after="0" w:line="240" w:lineRule="auto"/>
        <w:ind w:firstLine="770"/>
        <w:rPr>
          <w:rFonts w:ascii="Times New Roman" w:hAnsi="Times New Roman"/>
          <w:sz w:val="28"/>
          <w:szCs w:val="28"/>
          <w:lang w:val="ro-RO"/>
        </w:rPr>
      </w:pPr>
    </w:p>
    <w:p w:rsidR="00254503" w:rsidRPr="000A6867" w:rsidRDefault="00254503" w:rsidP="00254503">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Introducere</w:t>
      </w:r>
    </w:p>
    <w:p w:rsidR="00254503" w:rsidRPr="000A6867" w:rsidRDefault="00254503" w:rsidP="00254503">
      <w:pPr>
        <w:tabs>
          <w:tab w:val="num" w:pos="0"/>
        </w:tabs>
        <w:spacing w:after="0" w:line="240" w:lineRule="auto"/>
        <w:ind w:firstLine="770"/>
        <w:jc w:val="both"/>
        <w:rPr>
          <w:rFonts w:ascii="Times New Roman" w:hAnsi="Times New Roman"/>
          <w:sz w:val="28"/>
          <w:szCs w:val="28"/>
          <w:lang w:val="ro-RO"/>
        </w:rPr>
      </w:pPr>
      <w:r w:rsidRPr="00D63F41">
        <w:rPr>
          <w:rFonts w:ascii="Times New Roman" w:hAnsi="Times New Roman"/>
          <w:sz w:val="28"/>
          <w:szCs w:val="28"/>
          <w:lang w:val="ro-RO"/>
        </w:rPr>
        <w:t>Analiza finală a impactului de reglementare (în continuare AIR) pentru proiect</w:t>
      </w:r>
      <w:r>
        <w:rPr>
          <w:rFonts w:ascii="Times New Roman" w:hAnsi="Times New Roman"/>
          <w:sz w:val="28"/>
          <w:szCs w:val="28"/>
          <w:lang w:val="ro-RO"/>
        </w:rPr>
        <w:t>ul</w:t>
      </w:r>
      <w:r w:rsidRPr="00D63F41">
        <w:rPr>
          <w:rFonts w:ascii="Times New Roman" w:hAnsi="Times New Roman"/>
          <w:sz w:val="28"/>
          <w:szCs w:val="28"/>
          <w:lang w:val="ro-RO"/>
        </w:rPr>
        <w:t xml:space="preserve"> de </w:t>
      </w:r>
      <w:proofErr w:type="spellStart"/>
      <w:r w:rsidRPr="00D63F41">
        <w:rPr>
          <w:rFonts w:ascii="Times New Roman" w:hAnsi="Times New Roman"/>
          <w:sz w:val="28"/>
          <w:szCs w:val="28"/>
          <w:lang w:val="ro-RO"/>
        </w:rPr>
        <w:t>Hotărîre</w:t>
      </w:r>
      <w:proofErr w:type="spellEnd"/>
      <w:r w:rsidRPr="00D63F41">
        <w:rPr>
          <w:rFonts w:ascii="Times New Roman" w:hAnsi="Times New Roman"/>
          <w:sz w:val="28"/>
          <w:szCs w:val="28"/>
          <w:lang w:val="ro-RO"/>
        </w:rPr>
        <w:t xml:space="preserve"> de Guvern de modificare şi completare a </w:t>
      </w:r>
      <w:proofErr w:type="spellStart"/>
      <w:r w:rsidRPr="00D63F41">
        <w:rPr>
          <w:rFonts w:ascii="Times New Roman" w:hAnsi="Times New Roman"/>
          <w:sz w:val="28"/>
          <w:szCs w:val="28"/>
          <w:lang w:val="ro-RO"/>
        </w:rPr>
        <w:t>Hotărîrii</w:t>
      </w:r>
      <w:proofErr w:type="spellEnd"/>
      <w:r w:rsidRPr="00D63F41">
        <w:rPr>
          <w:rFonts w:ascii="Times New Roman" w:hAnsi="Times New Roman"/>
          <w:sz w:val="28"/>
          <w:szCs w:val="28"/>
          <w:lang w:val="ro-RO"/>
        </w:rPr>
        <w:t xml:space="preserve"> Guvernului nr. 338 din 11 mai 2011 pentru aprobarea Regulamentului sanitar privind formulele de început şi formulele de continuare ale preparatelor pentru sugari respectiv ale preparatelor pentru copii mici (în continuare act normativ) a fost elaborată în vederea executării art. 13 din</w:t>
      </w:r>
      <w:r w:rsidRPr="000A6867">
        <w:rPr>
          <w:rFonts w:ascii="Times New Roman" w:hAnsi="Times New Roman"/>
          <w:sz w:val="28"/>
          <w:szCs w:val="28"/>
          <w:lang w:val="ro-RO"/>
        </w:rPr>
        <w:t xml:space="preserve"> Legea nr.235-XVI din 20 iulie 2006 cu privire la principiile de bază de reglementare a activităţii de întreprinzător şi în conformitate cu aceasta, precum şi a prevederilor din </w:t>
      </w:r>
      <w:proofErr w:type="spellStart"/>
      <w:r w:rsidRPr="000A6867">
        <w:rPr>
          <w:rFonts w:ascii="Times New Roman" w:hAnsi="Times New Roman"/>
          <w:sz w:val="28"/>
          <w:szCs w:val="28"/>
          <w:lang w:val="ro-RO"/>
        </w:rPr>
        <w:t>Hotărîrea</w:t>
      </w:r>
      <w:proofErr w:type="spellEnd"/>
      <w:r w:rsidRPr="000A6867">
        <w:rPr>
          <w:rFonts w:ascii="Times New Roman" w:hAnsi="Times New Roman"/>
          <w:sz w:val="28"/>
          <w:szCs w:val="28"/>
          <w:lang w:val="ro-RO"/>
        </w:rPr>
        <w:t xml:space="preserve"> Guvernului nr.1230 din 24 octombrie 2006 cu privire la aprobarea metodologiei de analiză a impactului de reglementare şi de monitorizare a eficienţei actului de reglementare.  </w:t>
      </w:r>
    </w:p>
    <w:p w:rsidR="00254503" w:rsidRPr="000A6867" w:rsidRDefault="00254503" w:rsidP="00254503">
      <w:pPr>
        <w:tabs>
          <w:tab w:val="num" w:pos="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Prezenta AIR reprezintă argumentarea necesităţii elaborării proiectului </w:t>
      </w:r>
      <w:proofErr w:type="spellStart"/>
      <w:r w:rsidRPr="000A6867">
        <w:rPr>
          <w:rFonts w:ascii="Times New Roman" w:hAnsi="Times New Roman"/>
          <w:sz w:val="28"/>
          <w:szCs w:val="28"/>
          <w:lang w:val="ro-RO"/>
        </w:rPr>
        <w:t>Hotărîrii</w:t>
      </w:r>
      <w:proofErr w:type="spellEnd"/>
      <w:r w:rsidRPr="000A6867">
        <w:rPr>
          <w:rFonts w:ascii="Times New Roman" w:hAnsi="Times New Roman"/>
          <w:sz w:val="28"/>
          <w:szCs w:val="28"/>
          <w:lang w:val="ro-RO"/>
        </w:rPr>
        <w:t xml:space="preserve"> Guvernului cu privire la aprobarea </w:t>
      </w:r>
      <w:r w:rsidRPr="00D63F41">
        <w:rPr>
          <w:rFonts w:ascii="Times New Roman" w:hAnsi="Times New Roman"/>
          <w:sz w:val="28"/>
          <w:szCs w:val="28"/>
          <w:lang w:val="ro-RO"/>
        </w:rPr>
        <w:t>proiect</w:t>
      </w:r>
      <w:r>
        <w:rPr>
          <w:rFonts w:ascii="Times New Roman" w:hAnsi="Times New Roman"/>
          <w:sz w:val="28"/>
          <w:szCs w:val="28"/>
          <w:lang w:val="ro-RO"/>
        </w:rPr>
        <w:t>ului</w:t>
      </w:r>
      <w:r w:rsidRPr="00D63F41">
        <w:rPr>
          <w:rFonts w:ascii="Times New Roman" w:hAnsi="Times New Roman"/>
          <w:sz w:val="28"/>
          <w:szCs w:val="28"/>
          <w:lang w:val="ro-RO"/>
        </w:rPr>
        <w:t xml:space="preserve"> de </w:t>
      </w:r>
      <w:proofErr w:type="spellStart"/>
      <w:r w:rsidRPr="00D63F41">
        <w:rPr>
          <w:rFonts w:ascii="Times New Roman" w:hAnsi="Times New Roman"/>
          <w:sz w:val="28"/>
          <w:szCs w:val="28"/>
          <w:lang w:val="ro-RO"/>
        </w:rPr>
        <w:t>Hotărîre</w:t>
      </w:r>
      <w:proofErr w:type="spellEnd"/>
      <w:r w:rsidRPr="00D63F41">
        <w:rPr>
          <w:rFonts w:ascii="Times New Roman" w:hAnsi="Times New Roman"/>
          <w:sz w:val="28"/>
          <w:szCs w:val="28"/>
          <w:lang w:val="ro-RO"/>
        </w:rPr>
        <w:t xml:space="preserve"> de Guvern de modificare şi completare a </w:t>
      </w:r>
      <w:proofErr w:type="spellStart"/>
      <w:r w:rsidRPr="00D63F41">
        <w:rPr>
          <w:rFonts w:ascii="Times New Roman" w:hAnsi="Times New Roman"/>
          <w:sz w:val="28"/>
          <w:szCs w:val="28"/>
          <w:lang w:val="ro-RO"/>
        </w:rPr>
        <w:t>Hotărîrii</w:t>
      </w:r>
      <w:proofErr w:type="spellEnd"/>
      <w:r w:rsidRPr="00D63F41">
        <w:rPr>
          <w:rFonts w:ascii="Times New Roman" w:hAnsi="Times New Roman"/>
          <w:sz w:val="28"/>
          <w:szCs w:val="28"/>
          <w:lang w:val="ro-RO"/>
        </w:rPr>
        <w:t xml:space="preserve"> Guvernului nr. 338 din 11 mai 2011 pentru aprobarea Regulamentului sanitar privind formulele de început şi formulele de continuare ale preparatelor pentru sugari respectiv ale preparatelor pentru copii mici</w:t>
      </w:r>
      <w:r w:rsidRPr="000A6867">
        <w:rPr>
          <w:rFonts w:ascii="Times New Roman" w:hAnsi="Times New Roman"/>
          <w:sz w:val="28"/>
          <w:szCs w:val="28"/>
          <w:lang w:val="ro-RO"/>
        </w:rPr>
        <w:t xml:space="preserve">, în baza evaluării  impactului identificabil asupra activităţii de întreprinzător, asupra sănătăţii populaţiei şi intereselor consumatorului în rezultatul întreprinderii acestei acţiuni. </w:t>
      </w:r>
    </w:p>
    <w:p w:rsidR="00254503" w:rsidRPr="000A6867" w:rsidRDefault="00254503" w:rsidP="00254503">
      <w:pPr>
        <w:tabs>
          <w:tab w:val="num" w:pos="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În procesul de analiză a fost consultat Manualul privind evaluarea impactului de reglementare în Moldova.</w:t>
      </w:r>
    </w:p>
    <w:p w:rsidR="00254503" w:rsidRPr="000A6867" w:rsidRDefault="00254503" w:rsidP="00254503">
      <w:pPr>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 </w:t>
      </w:r>
    </w:p>
    <w:p w:rsidR="00254503" w:rsidRPr="000A6867" w:rsidRDefault="00254503" w:rsidP="00254503">
      <w:pPr>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Definirea problemei</w:t>
      </w:r>
    </w:p>
    <w:p w:rsidR="00254503" w:rsidRPr="000A6867" w:rsidRDefault="00254503" w:rsidP="00254503">
      <w:pPr>
        <w:spacing w:after="0" w:line="240" w:lineRule="auto"/>
        <w:ind w:firstLine="770"/>
        <w:jc w:val="both"/>
        <w:rPr>
          <w:rFonts w:ascii="Times New Roman" w:hAnsi="Times New Roman"/>
          <w:i/>
          <w:iCs/>
          <w:sz w:val="28"/>
          <w:szCs w:val="28"/>
          <w:lang w:val="ro-RO"/>
        </w:rPr>
      </w:pPr>
      <w:r w:rsidRPr="000A6867">
        <w:rPr>
          <w:rFonts w:ascii="Times New Roman" w:hAnsi="Times New Roman"/>
          <w:b/>
          <w:i/>
          <w:iCs/>
          <w:sz w:val="28"/>
          <w:szCs w:val="28"/>
          <w:lang w:val="ro-RO"/>
        </w:rPr>
        <w:t>Componenta juridică</w:t>
      </w:r>
      <w:r w:rsidRPr="000A6867">
        <w:rPr>
          <w:rFonts w:ascii="Times New Roman" w:hAnsi="Times New Roman"/>
          <w:i/>
          <w:iCs/>
          <w:sz w:val="28"/>
          <w:szCs w:val="28"/>
          <w:lang w:val="ro-RO"/>
        </w:rPr>
        <w:t>.</w:t>
      </w:r>
    </w:p>
    <w:p w:rsidR="00254503" w:rsidRPr="000A6867" w:rsidRDefault="00254503" w:rsidP="00254503">
      <w:pPr>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În prezent, formulele de început şi formulele de continuare ale preparatelor pentru sugari respectiv ale preparatelor pentru copii mici </w:t>
      </w:r>
      <w:proofErr w:type="spellStart"/>
      <w:r w:rsidRPr="000A6867">
        <w:rPr>
          <w:rFonts w:ascii="Times New Roman" w:hAnsi="Times New Roman"/>
          <w:sz w:val="28"/>
          <w:szCs w:val="28"/>
          <w:lang w:val="ro-RO"/>
        </w:rPr>
        <w:t>sînt</w:t>
      </w:r>
      <w:proofErr w:type="spellEnd"/>
      <w:r w:rsidRPr="000A6867">
        <w:rPr>
          <w:rFonts w:ascii="Times New Roman" w:hAnsi="Times New Roman"/>
          <w:sz w:val="28"/>
          <w:szCs w:val="28"/>
          <w:lang w:val="ro-RO"/>
        </w:rPr>
        <w:t xml:space="preserve"> reglementate ca produse alimentare şi constituie obiectul următoarelor acte normative:</w:t>
      </w:r>
    </w:p>
    <w:p w:rsidR="00254503" w:rsidRPr="000A6867" w:rsidRDefault="00254503" w:rsidP="00254503">
      <w:pPr>
        <w:numPr>
          <w:ilvl w:val="0"/>
          <w:numId w:val="2"/>
        </w:numPr>
        <w:tabs>
          <w:tab w:val="clear" w:pos="720"/>
          <w:tab w:val="num" w:pos="0"/>
        </w:tabs>
        <w:spacing w:after="0" w:line="240" w:lineRule="auto"/>
        <w:ind w:left="0" w:firstLine="770"/>
        <w:jc w:val="both"/>
        <w:rPr>
          <w:rFonts w:ascii="Times New Roman" w:hAnsi="Times New Roman"/>
          <w:sz w:val="28"/>
          <w:szCs w:val="28"/>
          <w:lang w:val="ro-RO"/>
        </w:rPr>
      </w:pPr>
      <w:r w:rsidRPr="000A6867">
        <w:rPr>
          <w:rFonts w:ascii="Times New Roman" w:hAnsi="Times New Roman"/>
          <w:sz w:val="28"/>
          <w:szCs w:val="28"/>
          <w:lang w:val="ro-RO"/>
        </w:rPr>
        <w:t>Legii nr.78-XV din 18 martie 2004 privind produsele alimentare;</w:t>
      </w:r>
    </w:p>
    <w:p w:rsidR="00254503" w:rsidRPr="000A6867" w:rsidRDefault="00254503" w:rsidP="00254503">
      <w:pPr>
        <w:numPr>
          <w:ilvl w:val="0"/>
          <w:numId w:val="2"/>
        </w:numPr>
        <w:tabs>
          <w:tab w:val="num" w:pos="0"/>
        </w:tabs>
        <w:spacing w:after="0" w:line="240" w:lineRule="auto"/>
        <w:ind w:left="0" w:firstLine="770"/>
        <w:jc w:val="both"/>
        <w:rPr>
          <w:rFonts w:ascii="Times New Roman" w:hAnsi="Times New Roman"/>
          <w:sz w:val="28"/>
          <w:szCs w:val="28"/>
          <w:lang w:val="ro-RO"/>
        </w:rPr>
      </w:pPr>
      <w:proofErr w:type="spellStart"/>
      <w:r w:rsidRPr="000A6867">
        <w:rPr>
          <w:rFonts w:ascii="Times New Roman" w:hAnsi="Times New Roman"/>
          <w:sz w:val="28"/>
          <w:szCs w:val="28"/>
          <w:lang w:val="ro-RO"/>
        </w:rPr>
        <w:t>Hotărîrii</w:t>
      </w:r>
      <w:proofErr w:type="spellEnd"/>
      <w:r w:rsidRPr="000A6867">
        <w:rPr>
          <w:rFonts w:ascii="Times New Roman" w:hAnsi="Times New Roman"/>
          <w:sz w:val="28"/>
          <w:szCs w:val="28"/>
          <w:lang w:val="ro-RO"/>
        </w:rPr>
        <w:t xml:space="preserve"> Guvernului nr.996 din 20 august 2003 cu privire la aprobarea Normelor privind etichetarea produselor şi a mărfurilor de uz casnic;</w:t>
      </w:r>
    </w:p>
    <w:p w:rsidR="00254503" w:rsidRPr="000A6867" w:rsidRDefault="00254503" w:rsidP="00254503">
      <w:pPr>
        <w:numPr>
          <w:ilvl w:val="0"/>
          <w:numId w:val="2"/>
        </w:numPr>
        <w:tabs>
          <w:tab w:val="num" w:pos="0"/>
        </w:tabs>
        <w:spacing w:after="0" w:line="240" w:lineRule="auto"/>
        <w:ind w:left="0" w:firstLine="770"/>
        <w:jc w:val="both"/>
        <w:rPr>
          <w:rFonts w:ascii="Times New Roman" w:hAnsi="Times New Roman"/>
          <w:sz w:val="28"/>
          <w:szCs w:val="28"/>
          <w:lang w:val="ro-RO"/>
        </w:rPr>
      </w:pPr>
      <w:proofErr w:type="spellStart"/>
      <w:r w:rsidRPr="000A6867">
        <w:rPr>
          <w:rFonts w:ascii="Times New Roman" w:hAnsi="Times New Roman"/>
          <w:sz w:val="28"/>
          <w:szCs w:val="28"/>
          <w:lang w:val="ro-RO"/>
        </w:rPr>
        <w:t>Hotărîre</w:t>
      </w:r>
      <w:proofErr w:type="spellEnd"/>
      <w:r w:rsidRPr="000A6867">
        <w:rPr>
          <w:rFonts w:ascii="Times New Roman" w:hAnsi="Times New Roman"/>
          <w:sz w:val="28"/>
          <w:szCs w:val="28"/>
          <w:lang w:val="ro-RO"/>
        </w:rPr>
        <w:t xml:space="preserve"> cu privire la aprobarea şi implementarea Normelor sanitare privind etichetarea nutriţională, etichetarea produselor alimentare cu destinaţie specială, etichetarea produselor genetic modificate sau provenite din organisme genetic modificate nr.01-04 din 31.05.2004.</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Măsurile propuse în proiectul de act normativ asigură armonizarea legislaţiei naţionale cu Directiva 2006/141/CE a Comisiei din 22 decembrie 2006 </w:t>
      </w:r>
      <w:r w:rsidRPr="000A6867">
        <w:rPr>
          <w:rFonts w:ascii="Times New Roman" w:hAnsi="Times New Roman"/>
          <w:sz w:val="28"/>
          <w:szCs w:val="28"/>
          <w:lang w:val="ro-RO"/>
        </w:rPr>
        <w:lastRenderedPageBreak/>
        <w:t xml:space="preserve">privind formulele de început </w:t>
      </w:r>
      <w:r>
        <w:rPr>
          <w:rFonts w:ascii="Times New Roman" w:hAnsi="Times New Roman"/>
          <w:sz w:val="28"/>
          <w:szCs w:val="28"/>
          <w:lang w:val="ro-RO"/>
        </w:rPr>
        <w:t xml:space="preserve"> ș</w:t>
      </w:r>
      <w:r w:rsidRPr="000A6867">
        <w:rPr>
          <w:rFonts w:ascii="Times New Roman" w:hAnsi="Times New Roman"/>
          <w:sz w:val="28"/>
          <w:szCs w:val="28"/>
          <w:lang w:val="ro-RO"/>
        </w:rPr>
        <w:t xml:space="preserve">i formulele de continuare ale preparatelor pentru sugari respectiv ale preparatelor pentru copii de vârstă mică </w:t>
      </w:r>
      <w:r>
        <w:rPr>
          <w:rFonts w:ascii="Times New Roman" w:hAnsi="Times New Roman"/>
          <w:sz w:val="28"/>
          <w:szCs w:val="28"/>
          <w:lang w:val="ro-RO"/>
        </w:rPr>
        <w:t>ș</w:t>
      </w:r>
      <w:r w:rsidRPr="000A6867">
        <w:rPr>
          <w:rFonts w:ascii="Times New Roman" w:hAnsi="Times New Roman"/>
          <w:sz w:val="28"/>
          <w:szCs w:val="28"/>
          <w:lang w:val="ro-RO"/>
        </w:rPr>
        <w:t>i de modificare a Directivei 1999/21/CE.  Directiva 89/398/CEE se referă la produsele alimentare destinate unei alimenta</w:t>
      </w:r>
      <w:r>
        <w:rPr>
          <w:rFonts w:ascii="Times New Roman" w:hAnsi="Times New Roman"/>
          <w:sz w:val="28"/>
          <w:szCs w:val="28"/>
          <w:lang w:val="ro-RO"/>
        </w:rPr>
        <w:t>ț</w:t>
      </w:r>
      <w:r w:rsidRPr="000A6867">
        <w:rPr>
          <w:rFonts w:ascii="Times New Roman" w:hAnsi="Times New Roman"/>
          <w:sz w:val="28"/>
          <w:szCs w:val="28"/>
          <w:lang w:val="ro-RO"/>
        </w:rPr>
        <w:t>ii speciale</w:t>
      </w:r>
      <w:r>
        <w:rPr>
          <w:rFonts w:ascii="Times New Roman" w:hAnsi="Times New Roman"/>
          <w:sz w:val="28"/>
          <w:szCs w:val="28"/>
          <w:lang w:val="ro-RO"/>
        </w:rPr>
        <w:t xml:space="preserve"> și în scopul </w:t>
      </w:r>
      <w:r>
        <w:rPr>
          <w:sz w:val="28"/>
          <w:szCs w:val="28"/>
          <w:lang w:val="ro-RO"/>
        </w:rPr>
        <w:t xml:space="preserve">armonizării cu </w:t>
      </w:r>
      <w:r w:rsidRPr="004A6EA6">
        <w:rPr>
          <w:color w:val="000000"/>
          <w:sz w:val="28"/>
          <w:szCs w:val="28"/>
          <w:lang w:val="ro-RO"/>
        </w:rPr>
        <w:t>Regulamentul (CE) nr. 1243/2008 al Comisiei din 12 decembrie 2008</w:t>
      </w:r>
      <w:r>
        <w:rPr>
          <w:color w:val="000000"/>
          <w:sz w:val="28"/>
          <w:szCs w:val="28"/>
          <w:lang w:val="ro-RO"/>
        </w:rPr>
        <w:t xml:space="preserve"> publicată în Jurnalul Oficial </w:t>
      </w:r>
      <w:r w:rsidRPr="00886902">
        <w:rPr>
          <w:sz w:val="28"/>
          <w:szCs w:val="28"/>
          <w:lang w:val="ro-RO"/>
        </w:rPr>
        <w:t xml:space="preserve">al Comunităţilor Europene (JOCE) </w:t>
      </w:r>
      <w:r w:rsidRPr="00A44486">
        <w:rPr>
          <w:color w:val="000000"/>
          <w:sz w:val="28"/>
          <w:szCs w:val="28"/>
          <w:lang w:val="ro-RO"/>
        </w:rPr>
        <w:t xml:space="preserve">L 335 </w:t>
      </w:r>
      <w:r>
        <w:rPr>
          <w:color w:val="000000"/>
          <w:sz w:val="28"/>
          <w:szCs w:val="28"/>
          <w:lang w:val="ro-RO"/>
        </w:rPr>
        <w:t>din</w:t>
      </w:r>
      <w:r w:rsidRPr="00A44486">
        <w:rPr>
          <w:color w:val="000000"/>
          <w:sz w:val="28"/>
          <w:szCs w:val="28"/>
          <w:lang w:val="ro-RO"/>
        </w:rPr>
        <w:t xml:space="preserve"> 13</w:t>
      </w:r>
      <w:r>
        <w:rPr>
          <w:color w:val="000000"/>
          <w:sz w:val="28"/>
          <w:szCs w:val="28"/>
          <w:lang w:val="ro-RO"/>
        </w:rPr>
        <w:t xml:space="preserve"> decembrie </w:t>
      </w:r>
      <w:r w:rsidRPr="00A44486">
        <w:rPr>
          <w:color w:val="000000"/>
          <w:sz w:val="28"/>
          <w:szCs w:val="28"/>
          <w:lang w:val="ro-RO"/>
        </w:rPr>
        <w:t>2008</w:t>
      </w:r>
      <w:r>
        <w:rPr>
          <w:color w:val="000000"/>
          <w:sz w:val="28"/>
          <w:szCs w:val="28"/>
          <w:lang w:val="ro-RO"/>
        </w:rPr>
        <w:t xml:space="preserve"> şi </w:t>
      </w:r>
      <w:r w:rsidRPr="000A6867">
        <w:rPr>
          <w:sz w:val="28"/>
          <w:szCs w:val="28"/>
          <w:lang w:val="ro-RO"/>
        </w:rPr>
        <w:t>asigurării unui nivel mai înalt de protecţie a sănătăţii populaţiei</w:t>
      </w:r>
      <w:r w:rsidRPr="000A6867">
        <w:rPr>
          <w:rFonts w:ascii="Times New Roman" w:hAnsi="Times New Roman"/>
          <w:sz w:val="28"/>
          <w:szCs w:val="28"/>
          <w:lang w:val="ro-RO"/>
        </w:rPr>
        <w:t>. Dispozi</w:t>
      </w:r>
      <w:r>
        <w:rPr>
          <w:rFonts w:ascii="Times New Roman" w:hAnsi="Times New Roman"/>
          <w:sz w:val="28"/>
          <w:szCs w:val="28"/>
          <w:lang w:val="ro-RO"/>
        </w:rPr>
        <w:t>ț</w:t>
      </w:r>
      <w:r w:rsidRPr="000A6867">
        <w:rPr>
          <w:rFonts w:ascii="Times New Roman" w:hAnsi="Times New Roman"/>
          <w:sz w:val="28"/>
          <w:szCs w:val="28"/>
          <w:lang w:val="ro-RO"/>
        </w:rPr>
        <w:t>iile specifice aplicabile anumitor grupe de alimente destinate unei alimenta</w:t>
      </w:r>
      <w:r>
        <w:rPr>
          <w:rFonts w:ascii="Times New Roman" w:hAnsi="Times New Roman"/>
          <w:sz w:val="28"/>
          <w:szCs w:val="28"/>
          <w:lang w:val="ro-RO"/>
        </w:rPr>
        <w:t>ț</w:t>
      </w:r>
      <w:r w:rsidRPr="000A6867">
        <w:rPr>
          <w:rFonts w:ascii="Times New Roman" w:hAnsi="Times New Roman"/>
          <w:sz w:val="28"/>
          <w:szCs w:val="28"/>
          <w:lang w:val="ro-RO"/>
        </w:rPr>
        <w:t>ii speciale sunt stabilite de directive speciale.</w:t>
      </w:r>
    </w:p>
    <w:p w:rsidR="00254503" w:rsidRPr="000A6867" w:rsidRDefault="00254503" w:rsidP="00254503">
      <w:pPr>
        <w:spacing w:after="0" w:line="240" w:lineRule="auto"/>
        <w:ind w:firstLine="770"/>
        <w:jc w:val="both"/>
        <w:rPr>
          <w:rFonts w:ascii="Times New Roman" w:hAnsi="Times New Roman"/>
          <w:i/>
          <w:sz w:val="28"/>
          <w:szCs w:val="28"/>
          <w:lang w:val="ro-RO"/>
        </w:rPr>
      </w:pPr>
      <w:r w:rsidRPr="000A6867">
        <w:rPr>
          <w:rFonts w:ascii="Times New Roman" w:hAnsi="Times New Roman"/>
          <w:i/>
          <w:sz w:val="28"/>
          <w:szCs w:val="28"/>
          <w:lang w:val="ro-RO"/>
        </w:rPr>
        <w:t>Elementul analitic. Motivul apariţiei problemei şi estimarea dimensiunii acesteia.</w:t>
      </w:r>
    </w:p>
    <w:p w:rsidR="00254503" w:rsidRPr="000A6867" w:rsidRDefault="00254503" w:rsidP="00254503">
      <w:pPr>
        <w:spacing w:after="0" w:line="240" w:lineRule="auto"/>
        <w:ind w:firstLine="770"/>
        <w:jc w:val="both"/>
        <w:rPr>
          <w:rFonts w:ascii="Times New Roman" w:hAnsi="Times New Roman"/>
          <w:color w:val="000000"/>
          <w:sz w:val="28"/>
          <w:szCs w:val="28"/>
          <w:lang w:val="ro-RO"/>
        </w:rPr>
      </w:pPr>
      <w:r w:rsidRPr="000A6867">
        <w:rPr>
          <w:rFonts w:ascii="Times New Roman" w:hAnsi="Times New Roman"/>
          <w:sz w:val="28"/>
          <w:szCs w:val="28"/>
          <w:lang w:val="ro-RO"/>
        </w:rPr>
        <w:t xml:space="preserve">Legea nr.78/2004 defineşte noţiunea de produsele alimentare cu destinaţie nutriţională specială </w:t>
      </w:r>
      <w:r w:rsidRPr="000A6867">
        <w:rPr>
          <w:rFonts w:ascii="Times New Roman" w:hAnsi="Times New Roman"/>
          <w:color w:val="000000"/>
          <w:sz w:val="28"/>
          <w:szCs w:val="28"/>
          <w:lang w:val="ro-RO"/>
        </w:rPr>
        <w:t xml:space="preserve">trebuie să satisfacă cerinţele nutriţionale speciale ale anumitor categorii de persoane cu dereglări ale proceselor digestive sau metabolice ori aflate în condiţii fiziologice speciale care, din această cauză, pot să obţină un beneficiu special ca urmare a consumului controlat de anumite substanţe din produsele alimentare, precum şi cerinţele sugarilor sau ale copiilor mici. Produsele alimentare cu destinaţie nutriţională specială nu trebuie să prezinte pericol pentru categoriile de persoane cărora le </w:t>
      </w:r>
      <w:proofErr w:type="spellStart"/>
      <w:r w:rsidRPr="000A6867">
        <w:rPr>
          <w:rFonts w:ascii="Times New Roman" w:hAnsi="Times New Roman"/>
          <w:color w:val="000000"/>
          <w:sz w:val="28"/>
          <w:szCs w:val="28"/>
          <w:lang w:val="ro-RO"/>
        </w:rPr>
        <w:t>sînt</w:t>
      </w:r>
      <w:proofErr w:type="spellEnd"/>
      <w:r w:rsidRPr="000A6867">
        <w:rPr>
          <w:rFonts w:ascii="Times New Roman" w:hAnsi="Times New Roman"/>
          <w:color w:val="000000"/>
          <w:sz w:val="28"/>
          <w:szCs w:val="28"/>
          <w:lang w:val="ro-RO"/>
        </w:rPr>
        <w:t xml:space="preserve"> destinate. Se interzice distribuirea pentru consumul uman a produselor alimentare cu destinaţie nutriţională specială nu corespund cerinţelor de calitate prescrise de Ministerul Sănătăţii, </w:t>
      </w:r>
      <w:proofErr w:type="spellStart"/>
      <w:r w:rsidRPr="000A6867">
        <w:rPr>
          <w:rFonts w:ascii="Times New Roman" w:hAnsi="Times New Roman"/>
          <w:color w:val="000000"/>
          <w:sz w:val="28"/>
          <w:szCs w:val="28"/>
          <w:lang w:val="ro-RO"/>
        </w:rPr>
        <w:t>sînt</w:t>
      </w:r>
      <w:proofErr w:type="spellEnd"/>
      <w:r w:rsidRPr="000A6867">
        <w:rPr>
          <w:rFonts w:ascii="Times New Roman" w:hAnsi="Times New Roman"/>
          <w:color w:val="000000"/>
          <w:sz w:val="28"/>
          <w:szCs w:val="28"/>
          <w:lang w:val="ro-RO"/>
        </w:rPr>
        <w:t xml:space="preserve"> produse şi distribuite în condiţii neconforme regulilor şi normelor sanitare în vigoare.</w:t>
      </w:r>
    </w:p>
    <w:p w:rsidR="00254503" w:rsidRPr="000A6867" w:rsidRDefault="00254503" w:rsidP="00254503">
      <w:pPr>
        <w:tabs>
          <w:tab w:val="num" w:pos="360"/>
          <w:tab w:val="num" w:pos="1467"/>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Normele privind etichetarea produselor alimentare, aprobate prin </w:t>
      </w:r>
      <w:proofErr w:type="spellStart"/>
      <w:r w:rsidRPr="000A6867">
        <w:rPr>
          <w:rFonts w:ascii="Times New Roman" w:hAnsi="Times New Roman"/>
          <w:sz w:val="28"/>
          <w:szCs w:val="28"/>
          <w:lang w:val="ro-RO"/>
        </w:rPr>
        <w:t>Hotărîrea</w:t>
      </w:r>
      <w:proofErr w:type="spellEnd"/>
      <w:r w:rsidRPr="000A6867">
        <w:rPr>
          <w:rFonts w:ascii="Times New Roman" w:hAnsi="Times New Roman"/>
          <w:sz w:val="28"/>
          <w:szCs w:val="28"/>
          <w:lang w:val="ro-RO"/>
        </w:rPr>
        <w:t xml:space="preserve"> Guvernului nr.996/2003 stabilesc cerinţe generale de etichetare, aplicabile tuturor produselor alimentare şi interzic plasarea pe piaţă a produselor etichetate fals.</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Niciun alt produs, în afara formulelor de început, nu poate fi comercializat sau prezentat în alt mod, ca fiind adecvat să îndeplinească în sine cerin</w:t>
      </w:r>
      <w:r>
        <w:rPr>
          <w:rFonts w:ascii="Times New Roman" w:hAnsi="Times New Roman"/>
          <w:sz w:val="28"/>
          <w:szCs w:val="28"/>
          <w:lang w:val="ro-RO"/>
        </w:rPr>
        <w:t>ț</w:t>
      </w:r>
      <w:r w:rsidRPr="000A6867">
        <w:rPr>
          <w:rFonts w:ascii="Times New Roman" w:hAnsi="Times New Roman"/>
          <w:sz w:val="28"/>
          <w:szCs w:val="28"/>
          <w:lang w:val="ro-RO"/>
        </w:rPr>
        <w:t>ele nutri</w:t>
      </w:r>
      <w:r>
        <w:rPr>
          <w:rFonts w:ascii="Times New Roman" w:hAnsi="Times New Roman"/>
          <w:sz w:val="28"/>
          <w:szCs w:val="28"/>
          <w:lang w:val="ro-RO"/>
        </w:rPr>
        <w:t>ț</w:t>
      </w:r>
      <w:r w:rsidRPr="000A6867">
        <w:rPr>
          <w:rFonts w:ascii="Times New Roman" w:hAnsi="Times New Roman"/>
          <w:sz w:val="28"/>
          <w:szCs w:val="28"/>
          <w:lang w:val="ro-RO"/>
        </w:rPr>
        <w:t>ionale ale sugarilor sănăto</w:t>
      </w:r>
      <w:r>
        <w:rPr>
          <w:rFonts w:ascii="Times New Roman" w:hAnsi="Times New Roman"/>
          <w:sz w:val="28"/>
          <w:szCs w:val="28"/>
          <w:lang w:val="ro-RO"/>
        </w:rPr>
        <w:t>ș</w:t>
      </w:r>
      <w:r w:rsidRPr="000A6867">
        <w:rPr>
          <w:rFonts w:ascii="Times New Roman" w:hAnsi="Times New Roman"/>
          <w:sz w:val="28"/>
          <w:szCs w:val="28"/>
          <w:lang w:val="ro-RO"/>
        </w:rPr>
        <w:t>i normali, în primele luni de via</w:t>
      </w:r>
      <w:r>
        <w:rPr>
          <w:rFonts w:ascii="Times New Roman" w:hAnsi="Times New Roman"/>
          <w:sz w:val="28"/>
          <w:szCs w:val="28"/>
          <w:lang w:val="ro-RO"/>
        </w:rPr>
        <w:t>ț</w:t>
      </w:r>
      <w:r w:rsidRPr="000A6867">
        <w:rPr>
          <w:rFonts w:ascii="Times New Roman" w:hAnsi="Times New Roman"/>
          <w:sz w:val="28"/>
          <w:szCs w:val="28"/>
          <w:lang w:val="ro-RO"/>
        </w:rPr>
        <w:t>ă, până la introducerea alimenta</w:t>
      </w:r>
      <w:r>
        <w:rPr>
          <w:rFonts w:ascii="Times New Roman" w:hAnsi="Times New Roman"/>
          <w:sz w:val="28"/>
          <w:szCs w:val="28"/>
          <w:lang w:val="ro-RO"/>
        </w:rPr>
        <w:t>ț</w:t>
      </w:r>
      <w:r w:rsidRPr="000A6867">
        <w:rPr>
          <w:rFonts w:ascii="Times New Roman" w:hAnsi="Times New Roman"/>
          <w:sz w:val="28"/>
          <w:szCs w:val="28"/>
          <w:lang w:val="ro-RO"/>
        </w:rPr>
        <w:t>iei complementare corespunzătoare.</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w:t>
      </w:r>
      <w:r>
        <w:rPr>
          <w:rFonts w:ascii="Times New Roman" w:hAnsi="Times New Roman"/>
          <w:sz w:val="28"/>
          <w:szCs w:val="28"/>
          <w:lang w:val="ro-RO"/>
        </w:rPr>
        <w:t>ș</w:t>
      </w:r>
      <w:r w:rsidRPr="000A6867">
        <w:rPr>
          <w:rFonts w:ascii="Times New Roman" w:hAnsi="Times New Roman"/>
          <w:sz w:val="28"/>
          <w:szCs w:val="28"/>
          <w:lang w:val="ro-RO"/>
        </w:rPr>
        <w:t>i formulele de continuare nu con</w:t>
      </w:r>
      <w:r>
        <w:rPr>
          <w:rFonts w:ascii="Times New Roman" w:hAnsi="Times New Roman"/>
          <w:sz w:val="28"/>
          <w:szCs w:val="28"/>
          <w:lang w:val="ro-RO"/>
        </w:rPr>
        <w:t>ț</w:t>
      </w:r>
      <w:r w:rsidRPr="000A6867">
        <w:rPr>
          <w:rFonts w:ascii="Times New Roman" w:hAnsi="Times New Roman"/>
          <w:sz w:val="28"/>
          <w:szCs w:val="28"/>
          <w:lang w:val="ro-RO"/>
        </w:rPr>
        <w:t>in nici</w:t>
      </w:r>
      <w:r>
        <w:rPr>
          <w:rFonts w:ascii="Times New Roman" w:hAnsi="Times New Roman"/>
          <w:sz w:val="28"/>
          <w:szCs w:val="28"/>
          <w:lang w:val="ro-RO"/>
        </w:rPr>
        <w:t xml:space="preserve"> </w:t>
      </w:r>
      <w:r w:rsidRPr="000A6867">
        <w:rPr>
          <w:rFonts w:ascii="Times New Roman" w:hAnsi="Times New Roman"/>
          <w:sz w:val="28"/>
          <w:szCs w:val="28"/>
          <w:lang w:val="ro-RO"/>
        </w:rPr>
        <w:t>o substan</w:t>
      </w:r>
      <w:r>
        <w:rPr>
          <w:rFonts w:ascii="Times New Roman" w:hAnsi="Times New Roman"/>
          <w:sz w:val="28"/>
          <w:szCs w:val="28"/>
          <w:lang w:val="ro-RO"/>
        </w:rPr>
        <w:t>ț</w:t>
      </w:r>
      <w:r w:rsidRPr="000A6867">
        <w:rPr>
          <w:rFonts w:ascii="Times New Roman" w:hAnsi="Times New Roman"/>
          <w:sz w:val="28"/>
          <w:szCs w:val="28"/>
          <w:lang w:val="ro-RO"/>
        </w:rPr>
        <w:t xml:space="preserve">ă într-o cantitate care să pună în pericol sănătatea sugarilor </w:t>
      </w:r>
      <w:r>
        <w:rPr>
          <w:rFonts w:ascii="Times New Roman" w:hAnsi="Times New Roman"/>
          <w:sz w:val="28"/>
          <w:szCs w:val="28"/>
          <w:lang w:val="ro-RO"/>
        </w:rPr>
        <w:t>ș</w:t>
      </w:r>
      <w:r w:rsidRPr="000A6867">
        <w:rPr>
          <w:rFonts w:ascii="Times New Roman" w:hAnsi="Times New Roman"/>
          <w:sz w:val="28"/>
          <w:szCs w:val="28"/>
          <w:lang w:val="ro-RO"/>
        </w:rPr>
        <w:t>i a copiilor de vârstă mică.</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sunt produse, după caz, din sursele de proteine definite la punctul 2 din anexa </w:t>
      </w:r>
      <w:r>
        <w:rPr>
          <w:rFonts w:ascii="Times New Roman" w:hAnsi="Times New Roman"/>
          <w:sz w:val="28"/>
          <w:szCs w:val="28"/>
          <w:lang w:val="ro-RO"/>
        </w:rPr>
        <w:t>1</w:t>
      </w:r>
      <w:r w:rsidRPr="000A6867">
        <w:rPr>
          <w:rFonts w:ascii="Times New Roman" w:hAnsi="Times New Roman"/>
          <w:sz w:val="28"/>
          <w:szCs w:val="28"/>
          <w:lang w:val="ro-RO"/>
        </w:rPr>
        <w:t xml:space="preserve"> </w:t>
      </w:r>
      <w:r>
        <w:rPr>
          <w:rFonts w:ascii="Times New Roman" w:hAnsi="Times New Roman"/>
          <w:sz w:val="28"/>
          <w:szCs w:val="28"/>
          <w:lang w:val="ro-RO"/>
        </w:rPr>
        <w:t>ș</w:t>
      </w:r>
      <w:r w:rsidRPr="000A6867">
        <w:rPr>
          <w:rFonts w:ascii="Times New Roman" w:hAnsi="Times New Roman"/>
          <w:sz w:val="28"/>
          <w:szCs w:val="28"/>
          <w:lang w:val="ro-RO"/>
        </w:rPr>
        <w:t xml:space="preserve">i din alte ingrediente alimentare, pentru care s-a stabilit, prin date </w:t>
      </w:r>
      <w:r>
        <w:rPr>
          <w:rFonts w:ascii="Times New Roman" w:hAnsi="Times New Roman"/>
          <w:sz w:val="28"/>
          <w:szCs w:val="28"/>
          <w:lang w:val="ro-RO"/>
        </w:rPr>
        <w:t>ș</w:t>
      </w:r>
      <w:r w:rsidRPr="000A6867">
        <w:rPr>
          <w:rFonts w:ascii="Times New Roman" w:hAnsi="Times New Roman"/>
          <w:sz w:val="28"/>
          <w:szCs w:val="28"/>
          <w:lang w:val="ro-RO"/>
        </w:rPr>
        <w:t>tiin</w:t>
      </w:r>
      <w:r>
        <w:rPr>
          <w:rFonts w:ascii="Times New Roman" w:hAnsi="Times New Roman"/>
          <w:sz w:val="28"/>
          <w:szCs w:val="28"/>
          <w:lang w:val="ro-RO"/>
        </w:rPr>
        <w:t>ț</w:t>
      </w:r>
      <w:r w:rsidRPr="000A6867">
        <w:rPr>
          <w:rFonts w:ascii="Times New Roman" w:hAnsi="Times New Roman"/>
          <w:sz w:val="28"/>
          <w:szCs w:val="28"/>
          <w:lang w:val="ro-RO"/>
        </w:rPr>
        <w:t>ifice general acceptate, că sunt adecvate pentru o alimenta</w:t>
      </w:r>
      <w:r>
        <w:rPr>
          <w:rFonts w:ascii="Times New Roman" w:hAnsi="Times New Roman"/>
          <w:sz w:val="28"/>
          <w:szCs w:val="28"/>
          <w:lang w:val="ro-RO"/>
        </w:rPr>
        <w:t>ț</w:t>
      </w:r>
      <w:r w:rsidRPr="000A6867">
        <w:rPr>
          <w:rFonts w:ascii="Times New Roman" w:hAnsi="Times New Roman"/>
          <w:sz w:val="28"/>
          <w:szCs w:val="28"/>
          <w:lang w:val="ro-RO"/>
        </w:rPr>
        <w:t>ie specială a sugarilor, începând de la na</w:t>
      </w:r>
      <w:r>
        <w:rPr>
          <w:rFonts w:ascii="Times New Roman" w:hAnsi="Times New Roman"/>
          <w:sz w:val="28"/>
          <w:szCs w:val="28"/>
          <w:lang w:val="ro-RO"/>
        </w:rPr>
        <w:t>ș</w:t>
      </w:r>
      <w:r w:rsidRPr="000A6867">
        <w:rPr>
          <w:rFonts w:ascii="Times New Roman" w:hAnsi="Times New Roman"/>
          <w:sz w:val="28"/>
          <w:szCs w:val="28"/>
          <w:lang w:val="ro-RO"/>
        </w:rPr>
        <w:t>tere.</w:t>
      </w:r>
    </w:p>
    <w:p w:rsidR="00254503" w:rsidRPr="003F3ED0" w:rsidRDefault="00254503" w:rsidP="00254503">
      <w:pPr>
        <w:spacing w:after="0" w:line="240" w:lineRule="auto"/>
        <w:ind w:right="-6" w:firstLine="770"/>
        <w:jc w:val="both"/>
        <w:rPr>
          <w:rFonts w:ascii="Times New Roman" w:hAnsi="Times New Roman"/>
          <w:sz w:val="28"/>
          <w:szCs w:val="28"/>
          <w:lang w:val="ro-MO"/>
        </w:rPr>
      </w:pPr>
      <w:r w:rsidRPr="003F3ED0">
        <w:rPr>
          <w:rFonts w:ascii="Times New Roman" w:hAnsi="Times New Roman"/>
          <w:sz w:val="28"/>
          <w:szCs w:val="28"/>
          <w:lang w:val="ro-MO"/>
        </w:rPr>
        <w:t>Efectuarea modific</w:t>
      </w:r>
      <w:r>
        <w:rPr>
          <w:rFonts w:ascii="Times New Roman" w:hAnsi="Times New Roman"/>
          <w:sz w:val="28"/>
          <w:szCs w:val="28"/>
          <w:lang w:val="ro-MO"/>
        </w:rPr>
        <w:t>ă</w:t>
      </w:r>
      <w:r w:rsidRPr="003F3ED0">
        <w:rPr>
          <w:rFonts w:ascii="Times New Roman" w:hAnsi="Times New Roman"/>
          <w:sz w:val="28"/>
          <w:szCs w:val="28"/>
          <w:lang w:val="ro-MO"/>
        </w:rPr>
        <w:t xml:space="preserve">rilor </w:t>
      </w:r>
      <w:r>
        <w:rPr>
          <w:rFonts w:ascii="Times New Roman" w:hAnsi="Times New Roman"/>
          <w:sz w:val="28"/>
          <w:szCs w:val="28"/>
          <w:lang w:val="ro-MO"/>
        </w:rPr>
        <w:t xml:space="preserve">și completărilor </w:t>
      </w:r>
      <w:r w:rsidRPr="003F3ED0">
        <w:rPr>
          <w:rFonts w:ascii="Times New Roman" w:hAnsi="Times New Roman"/>
          <w:sz w:val="28"/>
          <w:szCs w:val="28"/>
          <w:lang w:val="ro-MO"/>
        </w:rPr>
        <w:t>a parvenit din partea</w:t>
      </w:r>
      <w:r>
        <w:rPr>
          <w:rFonts w:ascii="Times New Roman" w:hAnsi="Times New Roman"/>
          <w:sz w:val="28"/>
          <w:szCs w:val="28"/>
          <w:lang w:val="ro-MO"/>
        </w:rPr>
        <w:t xml:space="preserve"> unor</w:t>
      </w:r>
      <w:r w:rsidRPr="003F3ED0">
        <w:rPr>
          <w:rFonts w:ascii="Times New Roman" w:hAnsi="Times New Roman"/>
          <w:sz w:val="28"/>
          <w:szCs w:val="28"/>
          <w:lang w:val="ro-MO"/>
        </w:rPr>
        <w:t xml:space="preserve"> agen</w:t>
      </w:r>
      <w:r>
        <w:rPr>
          <w:rFonts w:ascii="Times New Roman" w:hAnsi="Times New Roman"/>
          <w:sz w:val="28"/>
          <w:szCs w:val="28"/>
          <w:lang w:val="ro-MO"/>
        </w:rPr>
        <w:t>ț</w:t>
      </w:r>
      <w:r w:rsidRPr="003F3ED0">
        <w:rPr>
          <w:rFonts w:ascii="Times New Roman" w:hAnsi="Times New Roman"/>
          <w:sz w:val="28"/>
          <w:szCs w:val="28"/>
          <w:lang w:val="ro-MO"/>
        </w:rPr>
        <w:t>i economici</w:t>
      </w:r>
      <w:r>
        <w:rPr>
          <w:rFonts w:ascii="Times New Roman" w:hAnsi="Times New Roman"/>
          <w:sz w:val="28"/>
          <w:szCs w:val="28"/>
          <w:lang w:val="ro-MO"/>
        </w:rPr>
        <w:t>,</w:t>
      </w:r>
      <w:r w:rsidRPr="003F3ED0">
        <w:rPr>
          <w:rFonts w:ascii="Times New Roman" w:hAnsi="Times New Roman"/>
          <w:sz w:val="28"/>
          <w:szCs w:val="28"/>
          <w:lang w:val="ro-MO"/>
        </w:rPr>
        <w:t xml:space="preserve"> care import</w:t>
      </w:r>
      <w:r>
        <w:rPr>
          <w:rFonts w:ascii="Times New Roman" w:hAnsi="Times New Roman"/>
          <w:sz w:val="28"/>
          <w:szCs w:val="28"/>
          <w:lang w:val="ro-MO"/>
        </w:rPr>
        <w:t>ă</w:t>
      </w:r>
      <w:r w:rsidRPr="003F3ED0">
        <w:rPr>
          <w:rFonts w:ascii="Times New Roman" w:hAnsi="Times New Roman"/>
          <w:sz w:val="28"/>
          <w:szCs w:val="28"/>
          <w:lang w:val="ro-MO"/>
        </w:rPr>
        <w:t xml:space="preserve"> produsele </w:t>
      </w:r>
      <w:r w:rsidRPr="000A6867">
        <w:rPr>
          <w:rFonts w:ascii="Times New Roman" w:hAnsi="Times New Roman"/>
          <w:sz w:val="28"/>
          <w:szCs w:val="28"/>
          <w:lang w:val="ro-RO"/>
        </w:rPr>
        <w:t>formulel</w:t>
      </w:r>
      <w:r>
        <w:rPr>
          <w:rFonts w:ascii="Times New Roman" w:hAnsi="Times New Roman"/>
          <w:sz w:val="28"/>
          <w:szCs w:val="28"/>
          <w:lang w:val="ro-RO"/>
        </w:rPr>
        <w:t>or</w:t>
      </w:r>
      <w:r w:rsidRPr="000A6867">
        <w:rPr>
          <w:rFonts w:ascii="Times New Roman" w:hAnsi="Times New Roman"/>
          <w:sz w:val="28"/>
          <w:szCs w:val="28"/>
          <w:lang w:val="ro-RO"/>
        </w:rPr>
        <w:t xml:space="preserve"> de început </w:t>
      </w:r>
      <w:r>
        <w:rPr>
          <w:rFonts w:ascii="Times New Roman" w:hAnsi="Times New Roman"/>
          <w:sz w:val="28"/>
          <w:szCs w:val="28"/>
          <w:lang w:val="ro-RO"/>
        </w:rPr>
        <w:t xml:space="preserve"> ș</w:t>
      </w:r>
      <w:r w:rsidRPr="000A6867">
        <w:rPr>
          <w:rFonts w:ascii="Times New Roman" w:hAnsi="Times New Roman"/>
          <w:sz w:val="28"/>
          <w:szCs w:val="28"/>
          <w:lang w:val="ro-RO"/>
        </w:rPr>
        <w:t>i formulel</w:t>
      </w:r>
      <w:r>
        <w:rPr>
          <w:rFonts w:ascii="Times New Roman" w:hAnsi="Times New Roman"/>
          <w:sz w:val="28"/>
          <w:szCs w:val="28"/>
          <w:lang w:val="ro-RO"/>
        </w:rPr>
        <w:t>or</w:t>
      </w:r>
      <w:r w:rsidRPr="000A6867">
        <w:rPr>
          <w:rFonts w:ascii="Times New Roman" w:hAnsi="Times New Roman"/>
          <w:sz w:val="28"/>
          <w:szCs w:val="28"/>
          <w:lang w:val="ro-RO"/>
        </w:rPr>
        <w:t xml:space="preserve"> de continuare ale preparatelor pentru sugari respectiv ale preparatelor pentru copii de vârstă mică</w:t>
      </w:r>
      <w:r w:rsidRPr="003F3ED0">
        <w:rPr>
          <w:rFonts w:ascii="Times New Roman" w:hAnsi="Times New Roman"/>
          <w:sz w:val="28"/>
          <w:szCs w:val="28"/>
          <w:lang w:val="ro-MO"/>
        </w:rPr>
        <w:t xml:space="preserve"> </w:t>
      </w:r>
      <w:r>
        <w:rPr>
          <w:rFonts w:ascii="Times New Roman" w:hAnsi="Times New Roman"/>
          <w:sz w:val="28"/>
          <w:szCs w:val="28"/>
          <w:lang w:val="ro-MO"/>
        </w:rPr>
        <w:t>în compoziția cărora sunt indicatori</w:t>
      </w:r>
      <w:r w:rsidRPr="003F3ED0">
        <w:rPr>
          <w:rFonts w:ascii="Times New Roman" w:hAnsi="Times New Roman"/>
          <w:sz w:val="28"/>
          <w:szCs w:val="28"/>
          <w:lang w:val="ro-MO"/>
        </w:rPr>
        <w:t xml:space="preserve"> </w:t>
      </w:r>
      <w:r>
        <w:rPr>
          <w:rFonts w:ascii="Times New Roman" w:hAnsi="Times New Roman"/>
          <w:sz w:val="28"/>
          <w:szCs w:val="28"/>
          <w:lang w:val="ro-MO"/>
        </w:rPr>
        <w:t>care</w:t>
      </w:r>
      <w:r w:rsidRPr="003F3ED0">
        <w:rPr>
          <w:rFonts w:ascii="Times New Roman" w:hAnsi="Times New Roman"/>
          <w:sz w:val="28"/>
          <w:szCs w:val="28"/>
          <w:lang w:val="ro-MO"/>
        </w:rPr>
        <w:t xml:space="preserve"> nu corespund cu indic</w:t>
      </w:r>
      <w:r>
        <w:rPr>
          <w:rFonts w:ascii="Times New Roman" w:hAnsi="Times New Roman"/>
          <w:sz w:val="28"/>
          <w:szCs w:val="28"/>
          <w:lang w:val="ro-MO"/>
        </w:rPr>
        <w:t>atori</w:t>
      </w:r>
      <w:r w:rsidRPr="003F3ED0">
        <w:rPr>
          <w:rFonts w:ascii="Times New Roman" w:hAnsi="Times New Roman"/>
          <w:sz w:val="28"/>
          <w:szCs w:val="28"/>
          <w:lang w:val="ro-MO"/>
        </w:rPr>
        <w:t xml:space="preserve">i </w:t>
      </w:r>
      <w:r>
        <w:rPr>
          <w:rFonts w:ascii="Times New Roman" w:hAnsi="Times New Roman"/>
          <w:sz w:val="28"/>
          <w:szCs w:val="28"/>
          <w:lang w:val="ro-MO"/>
        </w:rPr>
        <w:t xml:space="preserve">produselor menționate </w:t>
      </w:r>
      <w:r w:rsidRPr="003F3ED0">
        <w:rPr>
          <w:rFonts w:ascii="Times New Roman" w:hAnsi="Times New Roman"/>
          <w:sz w:val="28"/>
          <w:szCs w:val="28"/>
          <w:lang w:val="ro-MO"/>
        </w:rPr>
        <w:t xml:space="preserve">din </w:t>
      </w:r>
      <w:r>
        <w:rPr>
          <w:rFonts w:ascii="Times New Roman" w:hAnsi="Times New Roman"/>
          <w:sz w:val="28"/>
          <w:szCs w:val="28"/>
          <w:lang w:val="ro-MO"/>
        </w:rPr>
        <w:t>ță</w:t>
      </w:r>
      <w:r w:rsidRPr="003F3ED0">
        <w:rPr>
          <w:rFonts w:ascii="Times New Roman" w:hAnsi="Times New Roman"/>
          <w:sz w:val="28"/>
          <w:szCs w:val="28"/>
          <w:lang w:val="ro-MO"/>
        </w:rPr>
        <w:t xml:space="preserve">rile europene </w:t>
      </w:r>
      <w:r>
        <w:rPr>
          <w:rFonts w:ascii="Times New Roman" w:hAnsi="Times New Roman"/>
          <w:sz w:val="28"/>
          <w:szCs w:val="28"/>
          <w:lang w:val="ro-MO"/>
        </w:rPr>
        <w:t>ș</w:t>
      </w:r>
      <w:r w:rsidRPr="003F3ED0">
        <w:rPr>
          <w:rFonts w:ascii="Times New Roman" w:hAnsi="Times New Roman"/>
          <w:sz w:val="28"/>
          <w:szCs w:val="28"/>
          <w:lang w:val="ro-MO"/>
        </w:rPr>
        <w:t>i sunt nevoi</w:t>
      </w:r>
      <w:r>
        <w:rPr>
          <w:rFonts w:ascii="Times New Roman" w:hAnsi="Times New Roman"/>
          <w:sz w:val="28"/>
          <w:szCs w:val="28"/>
          <w:lang w:val="ro-MO"/>
        </w:rPr>
        <w:t>ț</w:t>
      </w:r>
      <w:r w:rsidRPr="003F3ED0">
        <w:rPr>
          <w:rFonts w:ascii="Times New Roman" w:hAnsi="Times New Roman"/>
          <w:sz w:val="28"/>
          <w:szCs w:val="28"/>
          <w:lang w:val="ro-MO"/>
        </w:rPr>
        <w:t>i s</w:t>
      </w:r>
      <w:r>
        <w:rPr>
          <w:rFonts w:ascii="Times New Roman" w:hAnsi="Times New Roman"/>
          <w:sz w:val="28"/>
          <w:szCs w:val="28"/>
          <w:lang w:val="ro-MO"/>
        </w:rPr>
        <w:t>ă</w:t>
      </w:r>
      <w:r w:rsidRPr="003F3ED0">
        <w:rPr>
          <w:rFonts w:ascii="Times New Roman" w:hAnsi="Times New Roman"/>
          <w:sz w:val="28"/>
          <w:szCs w:val="28"/>
          <w:lang w:val="ro-MO"/>
        </w:rPr>
        <w:t xml:space="preserve"> fac</w:t>
      </w:r>
      <w:r>
        <w:rPr>
          <w:rFonts w:ascii="Times New Roman" w:hAnsi="Times New Roman"/>
          <w:sz w:val="28"/>
          <w:szCs w:val="28"/>
          <w:lang w:val="ro-MO"/>
        </w:rPr>
        <w:t>ă</w:t>
      </w:r>
      <w:r w:rsidRPr="003F3ED0">
        <w:rPr>
          <w:rFonts w:ascii="Times New Roman" w:hAnsi="Times New Roman"/>
          <w:sz w:val="28"/>
          <w:szCs w:val="28"/>
          <w:lang w:val="ro-MO"/>
        </w:rPr>
        <w:t xml:space="preserve"> calcule </w:t>
      </w:r>
      <w:r>
        <w:rPr>
          <w:rFonts w:ascii="Times New Roman" w:hAnsi="Times New Roman"/>
          <w:sz w:val="28"/>
          <w:szCs w:val="28"/>
          <w:lang w:val="ro-MO"/>
        </w:rPr>
        <w:t>î</w:t>
      </w:r>
      <w:r w:rsidRPr="003F3ED0">
        <w:rPr>
          <w:rFonts w:ascii="Times New Roman" w:hAnsi="Times New Roman"/>
          <w:sz w:val="28"/>
          <w:szCs w:val="28"/>
          <w:lang w:val="ro-MO"/>
        </w:rPr>
        <w:t>n plus pentru a armoniza cu legisla</w:t>
      </w:r>
      <w:r>
        <w:rPr>
          <w:rFonts w:ascii="Times New Roman" w:hAnsi="Times New Roman"/>
          <w:sz w:val="28"/>
          <w:szCs w:val="28"/>
          <w:lang w:val="ro-MO"/>
        </w:rPr>
        <w:t>ț</w:t>
      </w:r>
      <w:r w:rsidRPr="003F3ED0">
        <w:rPr>
          <w:rFonts w:ascii="Times New Roman" w:hAnsi="Times New Roman"/>
          <w:sz w:val="28"/>
          <w:szCs w:val="28"/>
          <w:lang w:val="ro-MO"/>
        </w:rPr>
        <w:t>ia comunit</w:t>
      </w:r>
      <w:r>
        <w:rPr>
          <w:rFonts w:ascii="Times New Roman" w:hAnsi="Times New Roman"/>
          <w:sz w:val="28"/>
          <w:szCs w:val="28"/>
          <w:lang w:val="ro-MO"/>
        </w:rPr>
        <w:t>ăț</w:t>
      </w:r>
      <w:r w:rsidRPr="003F3ED0">
        <w:rPr>
          <w:rFonts w:ascii="Times New Roman" w:hAnsi="Times New Roman"/>
          <w:sz w:val="28"/>
          <w:szCs w:val="28"/>
          <w:lang w:val="ro-MO"/>
        </w:rPr>
        <w:t xml:space="preserve">ii europene. </w:t>
      </w:r>
      <w:r>
        <w:rPr>
          <w:rFonts w:ascii="Times New Roman" w:hAnsi="Times New Roman"/>
          <w:sz w:val="28"/>
          <w:szCs w:val="28"/>
          <w:lang w:val="ro-MO"/>
        </w:rPr>
        <w:t>În deosebi produsele</w:t>
      </w:r>
      <w:r w:rsidRPr="003F3ED0">
        <w:rPr>
          <w:rFonts w:ascii="Times New Roman" w:hAnsi="Times New Roman"/>
          <w:sz w:val="28"/>
          <w:szCs w:val="28"/>
          <w:lang w:val="ro-MO"/>
        </w:rPr>
        <w:t xml:space="preserve"> pentru case</w:t>
      </w:r>
      <w:r>
        <w:rPr>
          <w:rFonts w:ascii="Times New Roman" w:hAnsi="Times New Roman"/>
          <w:sz w:val="28"/>
          <w:szCs w:val="28"/>
          <w:lang w:val="ro-MO"/>
        </w:rPr>
        <w:t>le</w:t>
      </w:r>
      <w:r w:rsidRPr="003F3ED0">
        <w:rPr>
          <w:rFonts w:ascii="Times New Roman" w:hAnsi="Times New Roman"/>
          <w:sz w:val="28"/>
          <w:szCs w:val="28"/>
          <w:lang w:val="ro-MO"/>
        </w:rPr>
        <w:t xml:space="preserve"> de copii </w:t>
      </w:r>
      <w:r>
        <w:rPr>
          <w:rFonts w:ascii="Times New Roman" w:hAnsi="Times New Roman"/>
          <w:sz w:val="28"/>
          <w:szCs w:val="28"/>
          <w:lang w:val="ro-MO"/>
        </w:rPr>
        <w:t>ș</w:t>
      </w:r>
      <w:r w:rsidRPr="003F3ED0">
        <w:rPr>
          <w:rFonts w:ascii="Times New Roman" w:hAnsi="Times New Roman"/>
          <w:sz w:val="28"/>
          <w:szCs w:val="28"/>
          <w:lang w:val="ro-MO"/>
        </w:rPr>
        <w:t>i institu</w:t>
      </w:r>
      <w:r>
        <w:rPr>
          <w:rFonts w:ascii="Times New Roman" w:hAnsi="Times New Roman"/>
          <w:sz w:val="28"/>
          <w:szCs w:val="28"/>
          <w:lang w:val="ro-MO"/>
        </w:rPr>
        <w:t>ț</w:t>
      </w:r>
      <w:r w:rsidRPr="003F3ED0">
        <w:rPr>
          <w:rFonts w:ascii="Times New Roman" w:hAnsi="Times New Roman"/>
          <w:sz w:val="28"/>
          <w:szCs w:val="28"/>
          <w:lang w:val="ro-MO"/>
        </w:rPr>
        <w:t xml:space="preserve">ii speciale. </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Pentru a facilita monitorizarea oficială eficientă a formulelor de început, în momentul în care un operator din sectorul alimentar introduce o formulă de început pe pia</w:t>
      </w:r>
      <w:r>
        <w:rPr>
          <w:rFonts w:ascii="Times New Roman" w:hAnsi="Times New Roman"/>
          <w:sz w:val="28"/>
          <w:szCs w:val="28"/>
          <w:lang w:val="ro-RO"/>
        </w:rPr>
        <w:t>ț</w:t>
      </w:r>
      <w:r w:rsidRPr="000A6867">
        <w:rPr>
          <w:rFonts w:ascii="Times New Roman" w:hAnsi="Times New Roman"/>
          <w:sz w:val="28"/>
          <w:szCs w:val="28"/>
          <w:lang w:val="ro-RO"/>
        </w:rPr>
        <w:t>ă, el notifică acest lucru autorită</w:t>
      </w:r>
      <w:r>
        <w:rPr>
          <w:rFonts w:ascii="Times New Roman" w:hAnsi="Times New Roman"/>
          <w:sz w:val="28"/>
          <w:szCs w:val="28"/>
          <w:lang w:val="ro-RO"/>
        </w:rPr>
        <w:t>ț</w:t>
      </w:r>
      <w:r w:rsidRPr="000A6867">
        <w:rPr>
          <w:rFonts w:ascii="Times New Roman" w:hAnsi="Times New Roman"/>
          <w:sz w:val="28"/>
          <w:szCs w:val="28"/>
          <w:lang w:val="ro-RO"/>
        </w:rPr>
        <w:t>ii competente din statul membru în care este comercializat produsul, prin transmiterea unui model de etichetă utilizată pentru produsul respectiv.</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Formulele de început </w:t>
      </w:r>
      <w:r>
        <w:rPr>
          <w:rFonts w:ascii="Times New Roman" w:hAnsi="Times New Roman"/>
          <w:sz w:val="28"/>
          <w:szCs w:val="28"/>
          <w:lang w:val="ro-RO"/>
        </w:rPr>
        <w:t>ș</w:t>
      </w:r>
      <w:r w:rsidRPr="000A6867">
        <w:rPr>
          <w:rFonts w:ascii="Times New Roman" w:hAnsi="Times New Roman"/>
          <w:sz w:val="28"/>
          <w:szCs w:val="28"/>
          <w:lang w:val="ro-RO"/>
        </w:rPr>
        <w:t>i formulele de continuare nu con</w:t>
      </w:r>
      <w:r>
        <w:rPr>
          <w:rFonts w:ascii="Times New Roman" w:hAnsi="Times New Roman"/>
          <w:sz w:val="28"/>
          <w:szCs w:val="28"/>
          <w:lang w:val="ro-RO"/>
        </w:rPr>
        <w:t>ț</w:t>
      </w:r>
      <w:r w:rsidRPr="000A6867">
        <w:rPr>
          <w:rFonts w:ascii="Times New Roman" w:hAnsi="Times New Roman"/>
          <w:sz w:val="28"/>
          <w:szCs w:val="28"/>
          <w:lang w:val="ro-RO"/>
        </w:rPr>
        <w:t>in reziduuri ale diferitelor pesticide în propor</w:t>
      </w:r>
      <w:r>
        <w:rPr>
          <w:rFonts w:ascii="Times New Roman" w:hAnsi="Times New Roman"/>
          <w:sz w:val="28"/>
          <w:szCs w:val="28"/>
          <w:lang w:val="ro-RO"/>
        </w:rPr>
        <w:t>ț</w:t>
      </w:r>
      <w:r w:rsidRPr="000A6867">
        <w:rPr>
          <w:rFonts w:ascii="Times New Roman" w:hAnsi="Times New Roman"/>
          <w:sz w:val="28"/>
          <w:szCs w:val="28"/>
          <w:lang w:val="ro-RO"/>
        </w:rPr>
        <w:t>ii mai mari de 0,01 mg/kg de produs recomandat a fi consumat ca atare sau reconstituit în conformitate cu instruc</w:t>
      </w:r>
      <w:r w:rsidRPr="000A6867">
        <w:rPr>
          <w:rFonts w:ascii="Times New Roman" w:hAnsi="Tahoma"/>
          <w:sz w:val="28"/>
          <w:szCs w:val="28"/>
          <w:lang w:val="ro-RO"/>
        </w:rPr>
        <w:t>ț</w:t>
      </w:r>
      <w:r w:rsidRPr="000A6867">
        <w:rPr>
          <w:rFonts w:ascii="Times New Roman" w:hAnsi="Times New Roman"/>
          <w:sz w:val="28"/>
          <w:szCs w:val="28"/>
          <w:lang w:val="ro-RO"/>
        </w:rPr>
        <w:t>iunile producătorului.</w:t>
      </w:r>
    </w:p>
    <w:p w:rsidR="00254503" w:rsidRPr="000A6867" w:rsidRDefault="00254503" w:rsidP="00254503">
      <w:pPr>
        <w:tabs>
          <w:tab w:val="num" w:pos="0"/>
        </w:tabs>
        <w:spacing w:after="0" w:line="240" w:lineRule="auto"/>
        <w:ind w:firstLine="770"/>
        <w:jc w:val="both"/>
        <w:rPr>
          <w:rFonts w:ascii="Times New Roman" w:hAnsi="Times New Roman"/>
          <w:i/>
          <w:sz w:val="28"/>
          <w:szCs w:val="28"/>
          <w:lang w:val="ro-RO"/>
        </w:rPr>
      </w:pPr>
      <w:r w:rsidRPr="000A6867">
        <w:rPr>
          <w:rFonts w:ascii="Times New Roman" w:hAnsi="Times New Roman"/>
          <w:i/>
          <w:sz w:val="28"/>
          <w:szCs w:val="28"/>
          <w:lang w:val="ro-RO"/>
        </w:rPr>
        <w:t>Estimarea posibilelor consecinţe în cazul în care nici o măsură nu va fi întreprinsă.</w:t>
      </w:r>
    </w:p>
    <w:p w:rsidR="00254503" w:rsidRPr="000A6867" w:rsidRDefault="00254503" w:rsidP="00254503">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Neglijarea implementării unui act normativ, care să reglementeze aspectele specifice formulelor de început şi formulelor de continuare ale preparatelor pentru sugari respectiv ale preparatelor pentru copii mici şi netranspunerea în legislaţia naţională a Directivei va evita dezavantajele pentru întreprinzători din cauza reglementării spectrului şi a numărului de substanţe care pot fi utilizate la fabricarea formulelor de început </w:t>
      </w:r>
      <w:r>
        <w:rPr>
          <w:rFonts w:ascii="Times New Roman" w:hAnsi="Times New Roman"/>
          <w:sz w:val="28"/>
          <w:szCs w:val="28"/>
          <w:lang w:val="ro-RO"/>
        </w:rPr>
        <w:t>ș</w:t>
      </w:r>
      <w:r w:rsidRPr="000A6867">
        <w:rPr>
          <w:rFonts w:ascii="Times New Roman" w:hAnsi="Times New Roman"/>
          <w:sz w:val="28"/>
          <w:szCs w:val="28"/>
          <w:lang w:val="ro-RO"/>
        </w:rPr>
        <w:t xml:space="preserve">i formulelor de continuare. Cu toate acestea există riscul că </w:t>
      </w:r>
      <w:proofErr w:type="spellStart"/>
      <w:r w:rsidRPr="000A6867">
        <w:rPr>
          <w:rFonts w:ascii="Times New Roman" w:hAnsi="Times New Roman"/>
          <w:sz w:val="28"/>
          <w:szCs w:val="28"/>
          <w:lang w:val="ro-RO"/>
        </w:rPr>
        <w:t>neîntreprinderea</w:t>
      </w:r>
      <w:proofErr w:type="spellEnd"/>
      <w:r w:rsidRPr="000A6867">
        <w:rPr>
          <w:rFonts w:ascii="Times New Roman" w:hAnsi="Times New Roman"/>
          <w:sz w:val="28"/>
          <w:szCs w:val="28"/>
          <w:lang w:val="ro-RO"/>
        </w:rPr>
        <w:t xml:space="preserve"> de măsuri va neglija asigurarea unei protecţii mai bună a consumatorului, în special pentru consumatorii din grupurile ţintă (copii). </w:t>
      </w:r>
    </w:p>
    <w:p w:rsidR="00254503" w:rsidRPr="000A6867" w:rsidRDefault="00254503" w:rsidP="00254503">
      <w:pPr>
        <w:spacing w:after="0" w:line="240" w:lineRule="auto"/>
        <w:ind w:firstLine="770"/>
        <w:rPr>
          <w:rFonts w:ascii="Times New Roman" w:hAnsi="Times New Roman"/>
          <w:i/>
          <w:sz w:val="28"/>
          <w:szCs w:val="28"/>
          <w:lang w:val="ro-RO"/>
        </w:rPr>
      </w:pPr>
      <w:r w:rsidRPr="000A6867">
        <w:rPr>
          <w:rFonts w:ascii="Times New Roman" w:hAnsi="Times New Roman"/>
          <w:i/>
          <w:sz w:val="28"/>
          <w:szCs w:val="28"/>
          <w:lang w:val="ro-RO"/>
        </w:rPr>
        <w:t>Stabilirea scopurilor acţiunilor statului</w:t>
      </w:r>
    </w:p>
    <w:p w:rsidR="00254503" w:rsidRPr="000A6867" w:rsidRDefault="00254503" w:rsidP="00254503">
      <w:pPr>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sunt furnizate informa</w:t>
      </w:r>
      <w:r>
        <w:rPr>
          <w:rFonts w:ascii="Times New Roman" w:hAnsi="Times New Roman"/>
          <w:sz w:val="28"/>
          <w:szCs w:val="28"/>
          <w:lang w:val="ro-RO"/>
        </w:rPr>
        <w:t>ț</w:t>
      </w:r>
      <w:r w:rsidRPr="000A6867">
        <w:rPr>
          <w:rFonts w:ascii="Times New Roman" w:hAnsi="Times New Roman"/>
          <w:sz w:val="28"/>
          <w:szCs w:val="28"/>
          <w:lang w:val="ro-RO"/>
        </w:rPr>
        <w:t xml:space="preserve">ii obiective </w:t>
      </w:r>
      <w:r>
        <w:rPr>
          <w:rFonts w:ascii="Times New Roman" w:hAnsi="Times New Roman"/>
          <w:sz w:val="28"/>
          <w:szCs w:val="28"/>
          <w:lang w:val="ro-RO"/>
        </w:rPr>
        <w:t>ș</w:t>
      </w:r>
      <w:r w:rsidRPr="000A6867">
        <w:rPr>
          <w:rFonts w:ascii="Times New Roman" w:hAnsi="Times New Roman"/>
          <w:sz w:val="28"/>
          <w:szCs w:val="28"/>
          <w:lang w:val="ro-RO"/>
        </w:rPr>
        <w:t>i coerente referitoare la alimenta</w:t>
      </w:r>
      <w:r>
        <w:rPr>
          <w:rFonts w:ascii="Times New Roman" w:hAnsi="Times New Roman"/>
          <w:sz w:val="28"/>
          <w:szCs w:val="28"/>
          <w:lang w:val="ro-RO"/>
        </w:rPr>
        <w:t>ț</w:t>
      </w:r>
      <w:r w:rsidRPr="000A6867">
        <w:rPr>
          <w:rFonts w:ascii="Times New Roman" w:hAnsi="Times New Roman"/>
          <w:sz w:val="28"/>
          <w:szCs w:val="28"/>
          <w:lang w:val="ro-RO"/>
        </w:rPr>
        <w:t xml:space="preserve">ia sugarilor </w:t>
      </w:r>
      <w:r>
        <w:rPr>
          <w:rFonts w:ascii="Times New Roman" w:hAnsi="Times New Roman"/>
          <w:sz w:val="28"/>
          <w:szCs w:val="28"/>
          <w:lang w:val="ro-RO"/>
        </w:rPr>
        <w:t>ș</w:t>
      </w:r>
      <w:r w:rsidRPr="000A6867">
        <w:rPr>
          <w:rFonts w:ascii="Times New Roman" w:hAnsi="Times New Roman"/>
          <w:sz w:val="28"/>
          <w:szCs w:val="28"/>
          <w:lang w:val="ro-RO"/>
        </w:rPr>
        <w:t xml:space="preserve">i a copiilor de vârstă mică pentru a fi utilizate de către familii </w:t>
      </w:r>
      <w:r>
        <w:rPr>
          <w:rFonts w:ascii="Times New Roman" w:hAnsi="Times New Roman"/>
          <w:sz w:val="28"/>
          <w:szCs w:val="28"/>
          <w:lang w:val="ro-RO"/>
        </w:rPr>
        <w:t>ș</w:t>
      </w:r>
      <w:r w:rsidRPr="000A6867">
        <w:rPr>
          <w:rFonts w:ascii="Times New Roman" w:hAnsi="Times New Roman"/>
          <w:sz w:val="28"/>
          <w:szCs w:val="28"/>
          <w:lang w:val="ro-RO"/>
        </w:rPr>
        <w:t>i de persoanele implicate în domeniul alimenta</w:t>
      </w:r>
      <w:r>
        <w:rPr>
          <w:rFonts w:ascii="Times New Roman" w:hAnsi="Times New Roman"/>
          <w:sz w:val="28"/>
          <w:szCs w:val="28"/>
          <w:lang w:val="ro-RO"/>
        </w:rPr>
        <w:t>ț</w:t>
      </w:r>
      <w:r w:rsidRPr="000A6867">
        <w:rPr>
          <w:rFonts w:ascii="Times New Roman" w:hAnsi="Times New Roman"/>
          <w:sz w:val="28"/>
          <w:szCs w:val="28"/>
          <w:lang w:val="ro-RO"/>
        </w:rPr>
        <w:t xml:space="preserve">iei sugarilor </w:t>
      </w:r>
      <w:r>
        <w:rPr>
          <w:rFonts w:ascii="Times New Roman" w:hAnsi="Times New Roman"/>
          <w:sz w:val="28"/>
          <w:szCs w:val="28"/>
          <w:lang w:val="ro-RO"/>
        </w:rPr>
        <w:t>ș</w:t>
      </w:r>
      <w:r w:rsidRPr="000A6867">
        <w:rPr>
          <w:rFonts w:ascii="Times New Roman" w:hAnsi="Times New Roman"/>
          <w:sz w:val="28"/>
          <w:szCs w:val="28"/>
          <w:lang w:val="ro-RO"/>
        </w:rPr>
        <w:t xml:space="preserve">i a copiilor de vârstă mică, în materie de planificare, aprovizionare, concepere </w:t>
      </w:r>
      <w:r>
        <w:rPr>
          <w:rFonts w:ascii="Times New Roman" w:hAnsi="Times New Roman"/>
          <w:sz w:val="28"/>
          <w:szCs w:val="28"/>
          <w:lang w:val="ro-RO"/>
        </w:rPr>
        <w:t>ș</w:t>
      </w:r>
      <w:r w:rsidRPr="000A6867">
        <w:rPr>
          <w:rFonts w:ascii="Times New Roman" w:hAnsi="Times New Roman"/>
          <w:sz w:val="28"/>
          <w:szCs w:val="28"/>
          <w:lang w:val="ro-RO"/>
        </w:rPr>
        <w:t>i difuzare de informa</w:t>
      </w:r>
      <w:r>
        <w:rPr>
          <w:rFonts w:ascii="Times New Roman" w:hAnsi="Times New Roman"/>
          <w:sz w:val="28"/>
          <w:szCs w:val="28"/>
          <w:lang w:val="ro-RO"/>
        </w:rPr>
        <w:t>ț</w:t>
      </w:r>
      <w:r w:rsidRPr="000A6867">
        <w:rPr>
          <w:rFonts w:ascii="Times New Roman" w:hAnsi="Times New Roman"/>
          <w:sz w:val="28"/>
          <w:szCs w:val="28"/>
          <w:lang w:val="ro-RO"/>
        </w:rPr>
        <w:t xml:space="preserve">ii, precum </w:t>
      </w:r>
      <w:r>
        <w:rPr>
          <w:rFonts w:ascii="Times New Roman" w:hAnsi="Times New Roman"/>
          <w:sz w:val="28"/>
          <w:szCs w:val="28"/>
          <w:lang w:val="ro-RO"/>
        </w:rPr>
        <w:t>ș</w:t>
      </w:r>
      <w:r w:rsidRPr="000A6867">
        <w:rPr>
          <w:rFonts w:ascii="Times New Roman" w:hAnsi="Times New Roman"/>
          <w:sz w:val="28"/>
          <w:szCs w:val="28"/>
          <w:lang w:val="ro-RO"/>
        </w:rPr>
        <w:t>i de control al acestora.</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Statul se asigură că materialele de informare </w:t>
      </w:r>
      <w:r>
        <w:rPr>
          <w:rFonts w:ascii="Times New Roman" w:hAnsi="Times New Roman"/>
          <w:sz w:val="28"/>
          <w:szCs w:val="28"/>
          <w:lang w:val="ro-RO"/>
        </w:rPr>
        <w:t>ș</w:t>
      </w:r>
      <w:r w:rsidRPr="000A6867">
        <w:rPr>
          <w:rFonts w:ascii="Times New Roman" w:hAnsi="Times New Roman"/>
          <w:sz w:val="28"/>
          <w:szCs w:val="28"/>
          <w:lang w:val="ro-RO"/>
        </w:rPr>
        <w:t>i educare, fie scrise, fie audiovizuale, referitoare la alimenta</w:t>
      </w:r>
      <w:r>
        <w:rPr>
          <w:rFonts w:ascii="Times New Roman" w:hAnsi="Times New Roman"/>
          <w:sz w:val="28"/>
          <w:szCs w:val="28"/>
          <w:lang w:val="ro-RO"/>
        </w:rPr>
        <w:t>ț</w:t>
      </w:r>
      <w:r w:rsidRPr="000A6867">
        <w:rPr>
          <w:rFonts w:ascii="Times New Roman" w:hAnsi="Times New Roman"/>
          <w:sz w:val="28"/>
          <w:szCs w:val="28"/>
          <w:lang w:val="ro-RO"/>
        </w:rPr>
        <w:t xml:space="preserve">ia sugarilor </w:t>
      </w:r>
      <w:r>
        <w:rPr>
          <w:rFonts w:ascii="Times New Roman" w:hAnsi="Times New Roman"/>
          <w:sz w:val="28"/>
          <w:szCs w:val="28"/>
          <w:lang w:val="ro-RO"/>
        </w:rPr>
        <w:t>ș</w:t>
      </w:r>
      <w:r w:rsidRPr="000A6867">
        <w:rPr>
          <w:rFonts w:ascii="Times New Roman" w:hAnsi="Times New Roman"/>
          <w:sz w:val="28"/>
          <w:szCs w:val="28"/>
          <w:lang w:val="ro-RO"/>
        </w:rPr>
        <w:t xml:space="preserve">i destinate femeilor însărcinate </w:t>
      </w:r>
      <w:r>
        <w:rPr>
          <w:rFonts w:ascii="Times New Roman" w:hAnsi="Times New Roman"/>
          <w:sz w:val="28"/>
          <w:szCs w:val="28"/>
          <w:lang w:val="ro-RO"/>
        </w:rPr>
        <w:t>ș</w:t>
      </w:r>
      <w:r w:rsidRPr="000A6867">
        <w:rPr>
          <w:rFonts w:ascii="Times New Roman" w:hAnsi="Times New Roman"/>
          <w:sz w:val="28"/>
          <w:szCs w:val="28"/>
          <w:lang w:val="ro-RO"/>
        </w:rPr>
        <w:t xml:space="preserve">i mamelor de sugari </w:t>
      </w:r>
      <w:r>
        <w:rPr>
          <w:rFonts w:ascii="Times New Roman" w:hAnsi="Times New Roman"/>
          <w:sz w:val="28"/>
          <w:szCs w:val="28"/>
          <w:lang w:val="ro-RO"/>
        </w:rPr>
        <w:t>ș</w:t>
      </w:r>
      <w:r w:rsidRPr="000A6867">
        <w:rPr>
          <w:rFonts w:ascii="Times New Roman" w:hAnsi="Times New Roman"/>
          <w:sz w:val="28"/>
          <w:szCs w:val="28"/>
          <w:lang w:val="ro-RO"/>
        </w:rPr>
        <w:t>i copii de vârstă mică, includ informa</w:t>
      </w:r>
      <w:r>
        <w:rPr>
          <w:rFonts w:ascii="Times New Roman" w:hAnsi="Times New Roman"/>
          <w:sz w:val="28"/>
          <w:szCs w:val="28"/>
          <w:lang w:val="ro-RO"/>
        </w:rPr>
        <w:t>ț</w:t>
      </w:r>
      <w:r w:rsidRPr="000A6867">
        <w:rPr>
          <w:rFonts w:ascii="Times New Roman" w:hAnsi="Times New Roman"/>
          <w:sz w:val="28"/>
          <w:szCs w:val="28"/>
          <w:lang w:val="ro-RO"/>
        </w:rPr>
        <w:t>ii clare privind toate aspectele enumerate în continuare:</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 xml:space="preserve">a) avantajele </w:t>
      </w:r>
      <w:r>
        <w:rPr>
          <w:rFonts w:ascii="Times New Roman" w:hAnsi="Times New Roman"/>
          <w:sz w:val="28"/>
          <w:szCs w:val="28"/>
          <w:lang w:val="ro-RO"/>
        </w:rPr>
        <w:t>ș</w:t>
      </w:r>
      <w:r w:rsidRPr="000A6867">
        <w:rPr>
          <w:rFonts w:ascii="Times New Roman" w:hAnsi="Times New Roman"/>
          <w:sz w:val="28"/>
          <w:szCs w:val="28"/>
          <w:lang w:val="ro-RO"/>
        </w:rPr>
        <w:t>i superioritatea alăptării;</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b) nutri</w:t>
      </w:r>
      <w:r>
        <w:rPr>
          <w:rFonts w:ascii="Times New Roman" w:hAnsi="Times New Roman"/>
          <w:sz w:val="28"/>
          <w:szCs w:val="28"/>
          <w:lang w:val="ro-RO"/>
        </w:rPr>
        <w:t>ț</w:t>
      </w:r>
      <w:r w:rsidRPr="000A6867">
        <w:rPr>
          <w:rFonts w:ascii="Times New Roman" w:hAnsi="Times New Roman"/>
          <w:sz w:val="28"/>
          <w:szCs w:val="28"/>
          <w:lang w:val="ro-RO"/>
        </w:rPr>
        <w:t xml:space="preserve">ia mamei, pregătirea pentru alăptare </w:t>
      </w:r>
      <w:r>
        <w:rPr>
          <w:rFonts w:ascii="Times New Roman" w:hAnsi="Times New Roman"/>
          <w:sz w:val="28"/>
          <w:szCs w:val="28"/>
          <w:lang w:val="ro-RO"/>
        </w:rPr>
        <w:t>ș</w:t>
      </w:r>
      <w:r w:rsidRPr="000A6867">
        <w:rPr>
          <w:rFonts w:ascii="Times New Roman" w:hAnsi="Times New Roman"/>
          <w:sz w:val="28"/>
          <w:szCs w:val="28"/>
          <w:lang w:val="ro-RO"/>
        </w:rPr>
        <w:t>i continuarea acesteia;</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c) posibilul efect negativ asupra alăptării, decurgând din introducerea alimenta</w:t>
      </w:r>
      <w:r>
        <w:rPr>
          <w:rFonts w:ascii="Times New Roman" w:hAnsi="Times New Roman"/>
          <w:sz w:val="28"/>
          <w:szCs w:val="28"/>
          <w:lang w:val="ro-RO"/>
        </w:rPr>
        <w:t>ț</w:t>
      </w:r>
      <w:r w:rsidRPr="000A6867">
        <w:rPr>
          <w:rFonts w:ascii="Times New Roman" w:hAnsi="Times New Roman"/>
          <w:sz w:val="28"/>
          <w:szCs w:val="28"/>
          <w:lang w:val="ro-RO"/>
        </w:rPr>
        <w:t>iei par</w:t>
      </w:r>
      <w:r>
        <w:rPr>
          <w:rFonts w:ascii="Times New Roman" w:hAnsi="Times New Roman"/>
          <w:sz w:val="28"/>
          <w:szCs w:val="28"/>
          <w:lang w:val="ro-RO"/>
        </w:rPr>
        <w:t>ț</w:t>
      </w:r>
      <w:r w:rsidRPr="000A6867">
        <w:rPr>
          <w:rFonts w:ascii="Times New Roman" w:hAnsi="Times New Roman"/>
          <w:sz w:val="28"/>
          <w:szCs w:val="28"/>
          <w:lang w:val="ro-RO"/>
        </w:rPr>
        <w:t>iale cu biberonul;</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d) dificultatea revenirii asupra deciziei de a nu alăpta;</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e) după caz, utilizarea corectă a formulelor de început.</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În cazul în care materialele respective con</w:t>
      </w:r>
      <w:r>
        <w:rPr>
          <w:rFonts w:ascii="Times New Roman" w:hAnsi="Times New Roman"/>
          <w:sz w:val="28"/>
          <w:szCs w:val="28"/>
          <w:lang w:val="ro-RO"/>
        </w:rPr>
        <w:t>ț</w:t>
      </w:r>
      <w:r w:rsidRPr="000A6867">
        <w:rPr>
          <w:rFonts w:ascii="Times New Roman" w:hAnsi="Times New Roman"/>
          <w:sz w:val="28"/>
          <w:szCs w:val="28"/>
          <w:lang w:val="ro-RO"/>
        </w:rPr>
        <w:t>in informa</w:t>
      </w:r>
      <w:r>
        <w:rPr>
          <w:rFonts w:ascii="Times New Roman" w:hAnsi="Times New Roman"/>
          <w:sz w:val="28"/>
          <w:szCs w:val="28"/>
          <w:lang w:val="ro-RO"/>
        </w:rPr>
        <w:t>ț</w:t>
      </w:r>
      <w:r w:rsidRPr="000A6867">
        <w:rPr>
          <w:rFonts w:ascii="Times New Roman" w:hAnsi="Times New Roman"/>
          <w:sz w:val="28"/>
          <w:szCs w:val="28"/>
          <w:lang w:val="ro-RO"/>
        </w:rPr>
        <w:t xml:space="preserve">ii cu privire la utilizarea formulelor de început, acestea trebuie să includă </w:t>
      </w:r>
      <w:r>
        <w:rPr>
          <w:rFonts w:ascii="Times New Roman" w:hAnsi="Times New Roman"/>
          <w:sz w:val="28"/>
          <w:szCs w:val="28"/>
          <w:lang w:val="ro-RO"/>
        </w:rPr>
        <w:t>ș</w:t>
      </w:r>
      <w:r w:rsidRPr="000A6867">
        <w:rPr>
          <w:rFonts w:ascii="Times New Roman" w:hAnsi="Times New Roman"/>
          <w:sz w:val="28"/>
          <w:szCs w:val="28"/>
          <w:lang w:val="ro-RO"/>
        </w:rPr>
        <w:t>i implica</w:t>
      </w:r>
      <w:r>
        <w:rPr>
          <w:rFonts w:ascii="Times New Roman" w:hAnsi="Times New Roman"/>
          <w:sz w:val="28"/>
          <w:szCs w:val="28"/>
          <w:lang w:val="ro-RO"/>
        </w:rPr>
        <w:t>ț</w:t>
      </w:r>
      <w:r w:rsidRPr="000A6867">
        <w:rPr>
          <w:rFonts w:ascii="Times New Roman" w:hAnsi="Times New Roman"/>
          <w:sz w:val="28"/>
          <w:szCs w:val="28"/>
          <w:lang w:val="ro-RO"/>
        </w:rPr>
        <w:t xml:space="preserve">iile sociale </w:t>
      </w:r>
      <w:r>
        <w:rPr>
          <w:rFonts w:ascii="Times New Roman" w:hAnsi="Times New Roman"/>
          <w:sz w:val="28"/>
          <w:szCs w:val="28"/>
          <w:lang w:val="ro-RO"/>
        </w:rPr>
        <w:t>ș</w:t>
      </w:r>
      <w:r w:rsidRPr="000A6867">
        <w:rPr>
          <w:rFonts w:ascii="Times New Roman" w:hAnsi="Times New Roman"/>
          <w:sz w:val="28"/>
          <w:szCs w:val="28"/>
          <w:lang w:val="ro-RO"/>
        </w:rPr>
        <w:t>i financiare ale acestei utilizări, riscurile pentru sănătate ale alimentelor sau ale unor metode de alimenta</w:t>
      </w:r>
      <w:r>
        <w:rPr>
          <w:rFonts w:ascii="Times New Roman" w:hAnsi="Times New Roman"/>
          <w:sz w:val="28"/>
          <w:szCs w:val="28"/>
          <w:lang w:val="ro-RO"/>
        </w:rPr>
        <w:t>ț</w:t>
      </w:r>
      <w:r w:rsidRPr="000A6867">
        <w:rPr>
          <w:rFonts w:ascii="Times New Roman" w:hAnsi="Times New Roman"/>
          <w:sz w:val="28"/>
          <w:szCs w:val="28"/>
          <w:lang w:val="ro-RO"/>
        </w:rPr>
        <w:t xml:space="preserve">ie improprii </w:t>
      </w:r>
      <w:r>
        <w:rPr>
          <w:rFonts w:ascii="Times New Roman" w:hAnsi="Times New Roman"/>
          <w:sz w:val="28"/>
          <w:szCs w:val="28"/>
          <w:lang w:val="ro-RO"/>
        </w:rPr>
        <w:t>ș</w:t>
      </w:r>
      <w:r w:rsidRPr="000A6867">
        <w:rPr>
          <w:rFonts w:ascii="Times New Roman" w:hAnsi="Times New Roman"/>
          <w:sz w:val="28"/>
          <w:szCs w:val="28"/>
          <w:lang w:val="ro-RO"/>
        </w:rPr>
        <w:t>i, în special, riscurile pentru sănătate în cazul unei utilizări improprii a formulelor de început. Aceste materiale nu trebuie să con</w:t>
      </w:r>
      <w:r>
        <w:rPr>
          <w:rFonts w:ascii="Times New Roman" w:hAnsi="Times New Roman"/>
          <w:sz w:val="28"/>
          <w:szCs w:val="28"/>
          <w:lang w:val="ro-RO"/>
        </w:rPr>
        <w:t>ț</w:t>
      </w:r>
      <w:r w:rsidRPr="000A6867">
        <w:rPr>
          <w:rFonts w:ascii="Times New Roman" w:hAnsi="Times New Roman"/>
          <w:sz w:val="28"/>
          <w:szCs w:val="28"/>
          <w:lang w:val="ro-RO"/>
        </w:rPr>
        <w:t>ină nici</w:t>
      </w:r>
      <w:r>
        <w:rPr>
          <w:rFonts w:ascii="Times New Roman" w:hAnsi="Times New Roman"/>
          <w:sz w:val="28"/>
          <w:szCs w:val="28"/>
          <w:lang w:val="ro-RO"/>
        </w:rPr>
        <w:t xml:space="preserve"> </w:t>
      </w:r>
      <w:r w:rsidRPr="000A6867">
        <w:rPr>
          <w:rFonts w:ascii="Times New Roman" w:hAnsi="Times New Roman"/>
          <w:sz w:val="28"/>
          <w:szCs w:val="28"/>
          <w:lang w:val="ro-RO"/>
        </w:rPr>
        <w:t>o imagine de natură să prezinte utilizarea formulelor de început ca fiind o solu</w:t>
      </w:r>
      <w:r>
        <w:rPr>
          <w:rFonts w:ascii="Times New Roman" w:hAnsi="Times New Roman"/>
          <w:sz w:val="28"/>
          <w:szCs w:val="28"/>
          <w:lang w:val="ro-RO"/>
        </w:rPr>
        <w:t>ț</w:t>
      </w:r>
      <w:r w:rsidRPr="000A6867">
        <w:rPr>
          <w:rFonts w:ascii="Times New Roman" w:hAnsi="Times New Roman"/>
          <w:sz w:val="28"/>
          <w:szCs w:val="28"/>
          <w:lang w:val="ro-RO"/>
        </w:rPr>
        <w:t>ie ideală.</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dona</w:t>
      </w:r>
      <w:r>
        <w:rPr>
          <w:rFonts w:ascii="Times New Roman" w:hAnsi="Times New Roman"/>
          <w:sz w:val="28"/>
          <w:szCs w:val="28"/>
          <w:lang w:val="ro-RO"/>
        </w:rPr>
        <w:t>ț</w:t>
      </w:r>
      <w:r w:rsidRPr="000A6867">
        <w:rPr>
          <w:rFonts w:ascii="Times New Roman" w:hAnsi="Times New Roman"/>
          <w:sz w:val="28"/>
          <w:szCs w:val="28"/>
          <w:lang w:val="ro-RO"/>
        </w:rPr>
        <w:t xml:space="preserve">iile de materiale sau de echipamente cu scop informativ sau educativ sunt efectuate de producători sau distribuitori numai la cerere </w:t>
      </w:r>
      <w:r>
        <w:rPr>
          <w:rFonts w:ascii="Times New Roman" w:hAnsi="Times New Roman"/>
          <w:sz w:val="28"/>
          <w:szCs w:val="28"/>
          <w:lang w:val="ro-RO"/>
        </w:rPr>
        <w:t>ș</w:t>
      </w:r>
      <w:r w:rsidRPr="000A6867">
        <w:rPr>
          <w:rFonts w:ascii="Times New Roman" w:hAnsi="Times New Roman"/>
          <w:sz w:val="28"/>
          <w:szCs w:val="28"/>
          <w:lang w:val="ro-RO"/>
        </w:rPr>
        <w:t>i cu aprobarea scrisă a autorită</w:t>
      </w:r>
      <w:r>
        <w:rPr>
          <w:rFonts w:ascii="Times New Roman" w:hAnsi="Times New Roman"/>
          <w:sz w:val="28"/>
          <w:szCs w:val="28"/>
          <w:lang w:val="ro-RO"/>
        </w:rPr>
        <w:t>ț</w:t>
      </w:r>
      <w:r w:rsidRPr="000A6867">
        <w:rPr>
          <w:rFonts w:ascii="Times New Roman" w:hAnsi="Times New Roman"/>
          <w:sz w:val="28"/>
          <w:szCs w:val="28"/>
          <w:lang w:val="ro-RO"/>
        </w:rPr>
        <w:t>ii na</w:t>
      </w:r>
      <w:r>
        <w:rPr>
          <w:rFonts w:ascii="Times New Roman" w:hAnsi="Times New Roman"/>
          <w:sz w:val="28"/>
          <w:szCs w:val="28"/>
          <w:lang w:val="ro-RO"/>
        </w:rPr>
        <w:t>ț</w:t>
      </w:r>
      <w:r w:rsidRPr="000A6867">
        <w:rPr>
          <w:rFonts w:ascii="Times New Roman" w:hAnsi="Times New Roman"/>
          <w:sz w:val="28"/>
          <w:szCs w:val="28"/>
          <w:lang w:val="ro-RO"/>
        </w:rPr>
        <w:t xml:space="preserve">ionale competente, sau în cadrul orientărilor date de autoritatea respectivă în acest scop. Aceste echipamente sau materiale pot purta denumirea sau sigla firmei donatoare, dar nu pot face referire la o marcă specifică a unei formule de început </w:t>
      </w:r>
      <w:r>
        <w:rPr>
          <w:rFonts w:ascii="Times New Roman" w:hAnsi="Times New Roman"/>
          <w:sz w:val="28"/>
          <w:szCs w:val="28"/>
          <w:lang w:val="ro-RO"/>
        </w:rPr>
        <w:t>ș</w:t>
      </w:r>
      <w:r w:rsidRPr="000A6867">
        <w:rPr>
          <w:rFonts w:ascii="Times New Roman" w:hAnsi="Times New Roman"/>
          <w:sz w:val="28"/>
          <w:szCs w:val="28"/>
          <w:lang w:val="ro-RO"/>
        </w:rPr>
        <w:t>i nu pot fi distribuite decât prin intermediul sistemului de îngrijire a sănătă</w:t>
      </w:r>
      <w:r>
        <w:rPr>
          <w:rFonts w:ascii="Times New Roman" w:hAnsi="Times New Roman"/>
          <w:sz w:val="28"/>
          <w:szCs w:val="28"/>
          <w:lang w:val="ro-RO"/>
        </w:rPr>
        <w:t>ț</w:t>
      </w:r>
      <w:r w:rsidRPr="000A6867">
        <w:rPr>
          <w:rFonts w:ascii="Times New Roman" w:hAnsi="Times New Roman"/>
          <w:sz w:val="28"/>
          <w:szCs w:val="28"/>
          <w:lang w:val="ro-RO"/>
        </w:rPr>
        <w:t>ii.</w:t>
      </w:r>
    </w:p>
    <w:p w:rsidR="00254503" w:rsidRPr="000A6867" w:rsidRDefault="00254503" w:rsidP="00254503">
      <w:pPr>
        <w:tabs>
          <w:tab w:val="left" w:pos="9354"/>
        </w:tabs>
        <w:spacing w:after="0" w:line="240" w:lineRule="auto"/>
        <w:ind w:right="-6" w:firstLine="770"/>
        <w:jc w:val="both"/>
        <w:rPr>
          <w:rFonts w:ascii="Times New Roman" w:hAnsi="Times New Roman"/>
          <w:sz w:val="28"/>
          <w:szCs w:val="28"/>
          <w:lang w:val="ro-RO"/>
        </w:rPr>
      </w:pPr>
      <w:r w:rsidRPr="000A6867">
        <w:rPr>
          <w:rFonts w:ascii="Times New Roman" w:hAnsi="Times New Roman"/>
          <w:sz w:val="28"/>
          <w:szCs w:val="28"/>
          <w:lang w:val="ro-RO"/>
        </w:rPr>
        <w:t>Statul se asigură că dona</w:t>
      </w:r>
      <w:r>
        <w:rPr>
          <w:rFonts w:ascii="Times New Roman" w:hAnsi="Times New Roman"/>
          <w:sz w:val="28"/>
          <w:szCs w:val="28"/>
          <w:lang w:val="ro-RO"/>
        </w:rPr>
        <w:t>ț</w:t>
      </w:r>
      <w:r w:rsidRPr="000A6867">
        <w:rPr>
          <w:rFonts w:ascii="Times New Roman" w:hAnsi="Times New Roman"/>
          <w:sz w:val="28"/>
          <w:szCs w:val="28"/>
          <w:lang w:val="ro-RO"/>
        </w:rPr>
        <w:t>iile sau vânzările cu pre</w:t>
      </w:r>
      <w:r>
        <w:rPr>
          <w:rFonts w:ascii="Times New Roman" w:hAnsi="Times New Roman"/>
          <w:sz w:val="28"/>
          <w:szCs w:val="28"/>
          <w:lang w:val="ro-RO"/>
        </w:rPr>
        <w:t>ț</w:t>
      </w:r>
      <w:r w:rsidRPr="000A6867">
        <w:rPr>
          <w:rFonts w:ascii="Times New Roman" w:hAnsi="Times New Roman"/>
          <w:sz w:val="28"/>
          <w:szCs w:val="28"/>
          <w:lang w:val="ro-RO"/>
        </w:rPr>
        <w:t xml:space="preserve"> redus ale stocurilor de formule de început către institu</w:t>
      </w:r>
      <w:r>
        <w:rPr>
          <w:rFonts w:ascii="Times New Roman" w:hAnsi="Times New Roman"/>
          <w:sz w:val="28"/>
          <w:szCs w:val="28"/>
          <w:lang w:val="ro-RO"/>
        </w:rPr>
        <w:t>ț</w:t>
      </w:r>
      <w:r w:rsidRPr="000A6867">
        <w:rPr>
          <w:rFonts w:ascii="Times New Roman" w:hAnsi="Times New Roman"/>
          <w:sz w:val="28"/>
          <w:szCs w:val="28"/>
          <w:lang w:val="ro-RO"/>
        </w:rPr>
        <w:t>ii sau organiza</w:t>
      </w:r>
      <w:r>
        <w:rPr>
          <w:rFonts w:ascii="Times New Roman" w:hAnsi="Times New Roman"/>
          <w:sz w:val="28"/>
          <w:szCs w:val="28"/>
          <w:lang w:val="ro-RO"/>
        </w:rPr>
        <w:t>ț</w:t>
      </w:r>
      <w:r w:rsidRPr="000A6867">
        <w:rPr>
          <w:rFonts w:ascii="Times New Roman" w:hAnsi="Times New Roman"/>
          <w:sz w:val="28"/>
          <w:szCs w:val="28"/>
          <w:lang w:val="ro-RO"/>
        </w:rPr>
        <w:t>ii, fie în scopul utilizării în institu</w:t>
      </w:r>
      <w:r w:rsidRPr="000A6867">
        <w:rPr>
          <w:rFonts w:ascii="Times New Roman" w:hAnsi="Tahoma"/>
          <w:sz w:val="28"/>
          <w:szCs w:val="28"/>
          <w:lang w:val="ro-RO"/>
        </w:rPr>
        <w:t>ț</w:t>
      </w:r>
      <w:r w:rsidRPr="000A6867">
        <w:rPr>
          <w:rFonts w:ascii="Times New Roman" w:hAnsi="Times New Roman"/>
          <w:sz w:val="28"/>
          <w:szCs w:val="28"/>
          <w:lang w:val="ro-RO"/>
        </w:rPr>
        <w:t>ii, fie în scopul distribuirii în afara acestora, se realizează numai pentru sugarii care trebuie să fie alimenta</w:t>
      </w:r>
      <w:r>
        <w:rPr>
          <w:rFonts w:ascii="Times New Roman" w:hAnsi="Times New Roman"/>
          <w:sz w:val="28"/>
          <w:szCs w:val="28"/>
          <w:lang w:val="ro-RO"/>
        </w:rPr>
        <w:t>ț</w:t>
      </w:r>
      <w:r w:rsidRPr="000A6867">
        <w:rPr>
          <w:rFonts w:ascii="Times New Roman" w:hAnsi="Times New Roman"/>
          <w:sz w:val="28"/>
          <w:szCs w:val="28"/>
          <w:lang w:val="ro-RO"/>
        </w:rPr>
        <w:t xml:space="preserve">i cu formule de început </w:t>
      </w:r>
      <w:r>
        <w:rPr>
          <w:rFonts w:ascii="Times New Roman" w:hAnsi="Times New Roman"/>
          <w:sz w:val="28"/>
          <w:szCs w:val="28"/>
          <w:lang w:val="ro-RO"/>
        </w:rPr>
        <w:t>ș</w:t>
      </w:r>
      <w:r w:rsidRPr="000A6867">
        <w:rPr>
          <w:rFonts w:ascii="Times New Roman" w:hAnsi="Times New Roman"/>
          <w:sz w:val="28"/>
          <w:szCs w:val="28"/>
          <w:lang w:val="ro-RO"/>
        </w:rPr>
        <w:t>i numai pentru perioadele prescrise pentru ace</w:t>
      </w:r>
      <w:r>
        <w:rPr>
          <w:rFonts w:ascii="Times New Roman" w:hAnsi="Times New Roman"/>
          <w:sz w:val="28"/>
          <w:szCs w:val="28"/>
          <w:lang w:val="ro-RO"/>
        </w:rPr>
        <w:t>ș</w:t>
      </w:r>
      <w:r w:rsidRPr="000A6867">
        <w:rPr>
          <w:rFonts w:ascii="Times New Roman" w:hAnsi="Times New Roman"/>
          <w:sz w:val="28"/>
          <w:szCs w:val="28"/>
          <w:lang w:val="ro-RO"/>
        </w:rPr>
        <w:t>ti sugari.</w:t>
      </w:r>
    </w:p>
    <w:p w:rsidR="00254503" w:rsidRPr="000A6867" w:rsidRDefault="00254503" w:rsidP="00254503">
      <w:pPr>
        <w:tabs>
          <w:tab w:val="left" w:pos="770"/>
        </w:tabs>
        <w:spacing w:after="0" w:line="240" w:lineRule="auto"/>
        <w:ind w:firstLine="660"/>
        <w:rPr>
          <w:rFonts w:ascii="Times New Roman" w:hAnsi="Times New Roman"/>
          <w:b/>
          <w:sz w:val="28"/>
          <w:szCs w:val="28"/>
          <w:lang w:val="ro-RO"/>
        </w:rPr>
      </w:pPr>
      <w:r w:rsidRPr="000A6867">
        <w:rPr>
          <w:rFonts w:ascii="Times New Roman" w:hAnsi="Times New Roman"/>
          <w:b/>
          <w:sz w:val="28"/>
          <w:szCs w:val="28"/>
          <w:lang w:val="ro-RO"/>
        </w:rPr>
        <w:t>Costurile majore şi beneficiile anticipate ale intervenţiei statului</w:t>
      </w:r>
    </w:p>
    <w:p w:rsidR="00254503" w:rsidRPr="000A6867" w:rsidRDefault="00254503" w:rsidP="00254503">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Reglementarea va fi în mod egal aplicabilă întreprinderilor mari, mijlocii şi mici, implicate în producerea, importul sau comercializarea formulelor de început şi formulelor de continuare ale preparatelor pentru sugari respectiv ale preparatelor pentru copii mici. Pentru comerţul cu amănuntul impactul pe termen lung al actului normativ probabil va depinde de efectul reglementării asupra numărului de produse pe piaţă. Extinderea (amploarea) completă a impactului nu se cunoaşte.</w:t>
      </w:r>
    </w:p>
    <w:p w:rsidR="00254503" w:rsidRPr="000A6867" w:rsidRDefault="00254503" w:rsidP="00254503">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ab/>
      </w:r>
    </w:p>
    <w:p w:rsidR="00254503" w:rsidRPr="000A6867" w:rsidRDefault="00254503" w:rsidP="00254503">
      <w:pPr>
        <w:tabs>
          <w:tab w:val="num" w:pos="1107"/>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Evaluarea abordărilor alternative</w:t>
      </w:r>
    </w:p>
    <w:p w:rsidR="00254503" w:rsidRPr="000A6867" w:rsidRDefault="00254503" w:rsidP="00254503">
      <w:pPr>
        <w:tabs>
          <w:tab w:val="left" w:pos="900"/>
        </w:tabs>
        <w:spacing w:after="0" w:line="240" w:lineRule="auto"/>
        <w:ind w:firstLine="770"/>
        <w:jc w:val="both"/>
        <w:rPr>
          <w:rFonts w:ascii="Times New Roman" w:hAnsi="Times New Roman"/>
          <w:sz w:val="28"/>
          <w:szCs w:val="2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6"/>
        <w:gridCol w:w="3006"/>
        <w:gridCol w:w="4669"/>
      </w:tblGrid>
      <w:tr w:rsidR="00254503" w:rsidRPr="007A4FFC" w:rsidTr="00FC3108">
        <w:tc>
          <w:tcPr>
            <w:tcW w:w="189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jc w:val="both"/>
              <w:rPr>
                <w:rFonts w:ascii="Times New Roman" w:eastAsia="Times New Roman" w:hAnsi="Times New Roman"/>
                <w:b/>
                <w:sz w:val="28"/>
                <w:szCs w:val="28"/>
                <w:lang w:val="ro-RO"/>
              </w:rPr>
            </w:pPr>
            <w:r w:rsidRPr="007A4FFC">
              <w:rPr>
                <w:rFonts w:ascii="Times New Roman" w:eastAsia="Times New Roman" w:hAnsi="Times New Roman"/>
                <w:b/>
                <w:sz w:val="28"/>
                <w:szCs w:val="28"/>
                <w:lang w:val="ro-RO"/>
              </w:rPr>
              <w:t>Alternativa</w:t>
            </w:r>
          </w:p>
        </w:tc>
        <w:tc>
          <w:tcPr>
            <w:tcW w:w="300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jc w:val="both"/>
              <w:rPr>
                <w:rFonts w:ascii="Times New Roman" w:eastAsia="Times New Roman" w:hAnsi="Times New Roman"/>
                <w:b/>
                <w:sz w:val="28"/>
                <w:szCs w:val="28"/>
                <w:lang w:val="ro-RO"/>
              </w:rPr>
            </w:pPr>
            <w:r w:rsidRPr="007A4FFC">
              <w:rPr>
                <w:rFonts w:ascii="Times New Roman" w:eastAsia="Times New Roman" w:hAnsi="Times New Roman"/>
                <w:b/>
                <w:sz w:val="28"/>
                <w:szCs w:val="28"/>
                <w:lang w:val="ro-RO"/>
              </w:rPr>
              <w:t>Posibile avantaje</w:t>
            </w:r>
          </w:p>
        </w:tc>
        <w:tc>
          <w:tcPr>
            <w:tcW w:w="4669"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ind w:firstLine="770"/>
              <w:jc w:val="both"/>
              <w:rPr>
                <w:rFonts w:ascii="Times New Roman" w:eastAsia="Times New Roman" w:hAnsi="Times New Roman"/>
                <w:b/>
                <w:sz w:val="28"/>
                <w:szCs w:val="28"/>
                <w:lang w:val="ro-RO"/>
              </w:rPr>
            </w:pPr>
            <w:r w:rsidRPr="007A4FFC">
              <w:rPr>
                <w:rFonts w:ascii="Times New Roman" w:eastAsia="Times New Roman" w:hAnsi="Times New Roman"/>
                <w:b/>
                <w:sz w:val="28"/>
                <w:szCs w:val="28"/>
                <w:lang w:val="ro-RO"/>
              </w:rPr>
              <w:t>Posibile dezavantaje</w:t>
            </w:r>
          </w:p>
        </w:tc>
      </w:tr>
      <w:tr w:rsidR="00254503" w:rsidRPr="007A4FFC" w:rsidTr="00FC3108">
        <w:tc>
          <w:tcPr>
            <w:tcW w:w="189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A nu face nimic.</w:t>
            </w:r>
          </w:p>
        </w:tc>
        <w:tc>
          <w:tcPr>
            <w:tcW w:w="300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Lipsa de cheltuieli din partea statului pentru elaborarea, aprobarea şi publicarea actului normativ.</w:t>
            </w:r>
          </w:p>
        </w:tc>
        <w:tc>
          <w:tcPr>
            <w:tcW w:w="4669"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left" w:pos="252"/>
              </w:tabs>
              <w:spacing w:after="0" w:line="240" w:lineRule="auto"/>
              <w:ind w:firstLine="2"/>
              <w:rPr>
                <w:rFonts w:ascii="Times New Roman" w:eastAsia="Times New Roman" w:hAnsi="Times New Roman"/>
                <w:bCs/>
                <w:sz w:val="28"/>
                <w:szCs w:val="28"/>
                <w:lang w:val="ro-RO"/>
              </w:rPr>
            </w:pPr>
            <w:r w:rsidRPr="007A4FFC">
              <w:rPr>
                <w:rFonts w:ascii="Times New Roman" w:eastAsia="Times New Roman" w:hAnsi="Times New Roman"/>
                <w:sz w:val="28"/>
                <w:szCs w:val="28"/>
                <w:lang w:val="ro-RO"/>
              </w:rPr>
              <w:t xml:space="preserve">1. </w:t>
            </w:r>
            <w:r w:rsidRPr="007A4FFC">
              <w:rPr>
                <w:rFonts w:ascii="Times New Roman" w:eastAsia="Times New Roman" w:hAnsi="Times New Roman"/>
                <w:bCs/>
                <w:sz w:val="28"/>
                <w:szCs w:val="28"/>
                <w:lang w:val="ro-RO"/>
              </w:rPr>
              <w:t xml:space="preserve">Riscul posibilei afectări a sănătăţii umane de către </w:t>
            </w:r>
            <w:r w:rsidRPr="007A4FFC">
              <w:rPr>
                <w:rFonts w:ascii="Times New Roman" w:eastAsia="Times New Roman" w:hAnsi="Times New Roman"/>
                <w:sz w:val="28"/>
                <w:szCs w:val="28"/>
                <w:lang w:val="ro-RO"/>
              </w:rPr>
              <w:t>formulele de început şi formulele de continuare ale preparatelor pentru sugari respectiv ale preparatelor pentru copii mici</w:t>
            </w:r>
            <w:r w:rsidRPr="007A4FFC">
              <w:rPr>
                <w:rFonts w:ascii="Times New Roman" w:eastAsia="Times New Roman" w:hAnsi="Times New Roman"/>
                <w:bCs/>
                <w:sz w:val="28"/>
                <w:szCs w:val="28"/>
                <w:lang w:val="ro-RO"/>
              </w:rPr>
              <w:t xml:space="preserve"> nesigure, nenotificate/neînregistrate anterior plasării pe piaţă.</w:t>
            </w:r>
          </w:p>
          <w:p w:rsidR="00254503" w:rsidRPr="007A4FFC" w:rsidRDefault="00254503" w:rsidP="00FC3108">
            <w:pPr>
              <w:tabs>
                <w:tab w:val="num" w:pos="1107"/>
              </w:tabs>
              <w:spacing w:after="0" w:line="240" w:lineRule="auto"/>
              <w:ind w:firstLine="2"/>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2. Ar putea, eventual, creşte numărul efectelor toxice, cancerigene asupra stării de sănătate a consumatorului, ar putea suferi modificări manifestările clinice ale unor boli, diagnosticarea corectă şi tratamentul lor devenind extrem de costisitoare şi dificile. Amploarea şi costurile efectelor adverse pentru sănătatea publică, precum şi daunele aduse economiei (prin cheltuielile de tratament şi îngrijire a bolnavilor, pierderi ale productivităţii muncii din cauza bolii) sunt dificil de estimat.</w:t>
            </w:r>
          </w:p>
          <w:p w:rsidR="00254503" w:rsidRPr="007A4FFC" w:rsidRDefault="00254503" w:rsidP="00FC3108">
            <w:pPr>
              <w:tabs>
                <w:tab w:val="num" w:pos="1107"/>
              </w:tabs>
              <w:spacing w:after="0" w:line="240" w:lineRule="auto"/>
              <w:ind w:firstLine="2"/>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3. Nu se va asigura implementarea Legii 78/2004, a Legii 317/2003.</w:t>
            </w:r>
          </w:p>
          <w:p w:rsidR="00254503" w:rsidRPr="007A4FFC" w:rsidRDefault="00254503" w:rsidP="00FC3108">
            <w:pPr>
              <w:tabs>
                <w:tab w:val="num" w:pos="1107"/>
              </w:tabs>
              <w:spacing w:after="0" w:line="240" w:lineRule="auto"/>
              <w:ind w:firstLine="2"/>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4. Omiterea armonizării legislaţiei naţionale cu legislaţia comunitară va avea consecinţe nefavorabile pentru Republica Moldova în îndeplinirea angajamentelor luate prin Planul de acţiuni Republica Moldova – uniunea Europeană.</w:t>
            </w:r>
          </w:p>
          <w:p w:rsidR="00254503" w:rsidRPr="007A4FFC" w:rsidRDefault="00254503" w:rsidP="00FC3108">
            <w:pPr>
              <w:tabs>
                <w:tab w:val="num" w:pos="1107"/>
              </w:tabs>
              <w:spacing w:after="0" w:line="240" w:lineRule="auto"/>
              <w:ind w:firstLine="2"/>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 xml:space="preserve">5. Nu va putea fi promovat exportul de produse alimentare, consecinţele </w:t>
            </w:r>
            <w:proofErr w:type="spellStart"/>
            <w:r w:rsidRPr="007A4FFC">
              <w:rPr>
                <w:rFonts w:ascii="Times New Roman" w:eastAsia="Times New Roman" w:hAnsi="Times New Roman"/>
                <w:sz w:val="28"/>
                <w:szCs w:val="28"/>
                <w:lang w:val="ro-RO"/>
              </w:rPr>
              <w:t>urmînd</w:t>
            </w:r>
            <w:proofErr w:type="spellEnd"/>
            <w:r w:rsidRPr="007A4FFC">
              <w:rPr>
                <w:rFonts w:ascii="Times New Roman" w:eastAsia="Times New Roman" w:hAnsi="Times New Roman"/>
                <w:sz w:val="28"/>
                <w:szCs w:val="28"/>
                <w:lang w:val="ro-RO"/>
              </w:rPr>
              <w:t xml:space="preserve"> să le suporte economia naţională. </w:t>
            </w:r>
          </w:p>
        </w:tc>
      </w:tr>
      <w:tr w:rsidR="00254503" w:rsidRPr="007A4FFC" w:rsidTr="00FC3108">
        <w:tc>
          <w:tcPr>
            <w:tcW w:w="189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Reglementarea individuală – aprobarea de ghiduri de bune practici de către asociaţiile de producători, armonizate cu Regulamentul 315/1993, regulamentul 1881/2006, Directiva 76/621</w:t>
            </w:r>
          </w:p>
        </w:tc>
        <w:tc>
          <w:tcPr>
            <w:tcW w:w="300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1. Lipsa de cheltuieli din partea statului pentru elaborarea, aprobarea şi publicarea actului normativ.</w:t>
            </w:r>
          </w:p>
          <w:p w:rsidR="00254503" w:rsidRPr="007A4FFC" w:rsidRDefault="00254503" w:rsidP="00FC3108">
            <w:pPr>
              <w:tabs>
                <w:tab w:val="num" w:pos="1107"/>
              </w:tabs>
              <w:spacing w:after="0" w:line="240" w:lineRule="auto"/>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2. Agenţii economici ar putea plasa pe piaţă produse alimentare fără ca acestea să respecte cerinţe stabilite privind nivelurile maxime de contaminanţi.</w:t>
            </w:r>
          </w:p>
        </w:tc>
        <w:tc>
          <w:tcPr>
            <w:tcW w:w="4669" w:type="dxa"/>
            <w:tcBorders>
              <w:top w:val="single" w:sz="4" w:space="0" w:color="auto"/>
              <w:left w:val="single" w:sz="4" w:space="0" w:color="auto"/>
              <w:bottom w:val="single" w:sz="4" w:space="0" w:color="auto"/>
              <w:right w:val="single" w:sz="4" w:space="0" w:color="auto"/>
            </w:tcBorders>
          </w:tcPr>
          <w:p w:rsidR="00254503" w:rsidRPr="007A4FFC" w:rsidRDefault="00254503" w:rsidP="00254503">
            <w:pPr>
              <w:numPr>
                <w:ilvl w:val="0"/>
                <w:numId w:val="1"/>
              </w:numPr>
              <w:tabs>
                <w:tab w:val="clear" w:pos="972"/>
                <w:tab w:val="num" w:pos="0"/>
                <w:tab w:val="num" w:pos="252"/>
                <w:tab w:val="left" w:pos="1080"/>
              </w:tabs>
              <w:autoSpaceDE w:val="0"/>
              <w:autoSpaceDN w:val="0"/>
              <w:adjustRightInd w:val="0"/>
              <w:spacing w:after="0" w:line="240" w:lineRule="auto"/>
              <w:ind w:left="0" w:firstLine="2"/>
              <w:rPr>
                <w:rFonts w:ascii="Times New Roman" w:eastAsia="Times New Roman" w:hAnsi="Times New Roman"/>
                <w:bCs/>
                <w:sz w:val="28"/>
                <w:szCs w:val="28"/>
                <w:lang w:val="ro-RO"/>
              </w:rPr>
            </w:pPr>
            <w:r w:rsidRPr="007A4FFC">
              <w:rPr>
                <w:rFonts w:ascii="Times New Roman" w:eastAsia="Times New Roman" w:hAnsi="Times New Roman"/>
                <w:bCs/>
                <w:sz w:val="28"/>
                <w:szCs w:val="28"/>
                <w:lang w:val="ro-RO"/>
              </w:rPr>
              <w:t xml:space="preserve">Riscul posibilei afectări a sănătăţii umane de către </w:t>
            </w:r>
            <w:r w:rsidRPr="007A4FFC">
              <w:rPr>
                <w:rFonts w:ascii="Times New Roman" w:eastAsia="Times New Roman" w:hAnsi="Times New Roman"/>
                <w:sz w:val="28"/>
                <w:szCs w:val="28"/>
                <w:lang w:val="ro-RO"/>
              </w:rPr>
              <w:t>formulele de început şi formulele de continuare ale preparatelor pentru sugari respectiv ale preparatelor pentru copii mici</w:t>
            </w:r>
            <w:r w:rsidRPr="007A4FFC">
              <w:rPr>
                <w:rFonts w:ascii="Times New Roman" w:eastAsia="Times New Roman" w:hAnsi="Times New Roman"/>
                <w:bCs/>
                <w:sz w:val="28"/>
                <w:szCs w:val="28"/>
                <w:lang w:val="ro-RO"/>
              </w:rPr>
              <w:t xml:space="preserve"> nesigure, nenotificate/neînregistrate anterior plasării pe piaţă.</w:t>
            </w:r>
          </w:p>
          <w:p w:rsidR="00254503" w:rsidRPr="007A4FFC" w:rsidRDefault="00254503" w:rsidP="00254503">
            <w:pPr>
              <w:numPr>
                <w:ilvl w:val="0"/>
                <w:numId w:val="1"/>
              </w:numPr>
              <w:tabs>
                <w:tab w:val="clear" w:pos="972"/>
                <w:tab w:val="num" w:pos="0"/>
                <w:tab w:val="num" w:pos="252"/>
                <w:tab w:val="left" w:pos="1080"/>
              </w:tabs>
              <w:autoSpaceDE w:val="0"/>
              <w:autoSpaceDN w:val="0"/>
              <w:adjustRightInd w:val="0"/>
              <w:spacing w:after="0" w:line="240" w:lineRule="auto"/>
              <w:ind w:left="0" w:firstLine="2"/>
              <w:rPr>
                <w:rFonts w:ascii="Times New Roman" w:eastAsia="Times New Roman" w:hAnsi="Times New Roman"/>
                <w:bCs/>
                <w:sz w:val="28"/>
                <w:szCs w:val="28"/>
                <w:lang w:val="ro-RO"/>
              </w:rPr>
            </w:pPr>
            <w:r w:rsidRPr="007A4FFC">
              <w:rPr>
                <w:rFonts w:ascii="Times New Roman" w:eastAsia="Times New Roman" w:hAnsi="Times New Roman"/>
                <w:bCs/>
                <w:sz w:val="28"/>
                <w:szCs w:val="28"/>
                <w:lang w:val="ro-RO"/>
              </w:rPr>
              <w:t xml:space="preserve">Riscul inducerii în eroare a consumatorului referitor la destinaţia şi efectele </w:t>
            </w:r>
            <w:r w:rsidRPr="007A4FFC">
              <w:rPr>
                <w:rFonts w:ascii="Times New Roman" w:eastAsia="Times New Roman" w:hAnsi="Times New Roman"/>
                <w:sz w:val="28"/>
                <w:szCs w:val="28"/>
                <w:lang w:val="ro-RO"/>
              </w:rPr>
              <w:t>formulelor de început şi formulelor de continuare ale preparatelor pentru sugari respectiv ale preparatelor pentru copii mici</w:t>
            </w:r>
            <w:r w:rsidRPr="007A4FFC">
              <w:rPr>
                <w:rFonts w:ascii="Times New Roman" w:eastAsia="Times New Roman" w:hAnsi="Times New Roman"/>
                <w:bCs/>
                <w:sz w:val="28"/>
                <w:szCs w:val="28"/>
                <w:lang w:val="ro-RO"/>
              </w:rPr>
              <w:t>.</w:t>
            </w:r>
          </w:p>
          <w:p w:rsidR="00254503" w:rsidRPr="007A4FFC" w:rsidRDefault="00254503" w:rsidP="00FC3108">
            <w:pPr>
              <w:tabs>
                <w:tab w:val="num" w:pos="1107"/>
              </w:tabs>
              <w:spacing w:after="0" w:line="240" w:lineRule="auto"/>
              <w:ind w:firstLine="2"/>
              <w:rPr>
                <w:rFonts w:ascii="Times New Roman" w:eastAsia="Times New Roman" w:hAnsi="Times New Roman"/>
                <w:sz w:val="28"/>
                <w:szCs w:val="28"/>
                <w:lang w:val="ro-RO"/>
              </w:rPr>
            </w:pPr>
            <w:r w:rsidRPr="007A4FFC">
              <w:rPr>
                <w:rFonts w:ascii="Times New Roman" w:eastAsia="Times New Roman" w:hAnsi="Times New Roman"/>
                <w:sz w:val="28"/>
                <w:szCs w:val="28"/>
                <w:lang w:val="ro-RO"/>
              </w:rPr>
              <w:t xml:space="preserve">3. În cadrul procedurilor de evaluare a situaţiei în vederea autorizării importului de produsele alimentare, autorităţile competente ale ţărilor importatoare vor solicita autorităţilor competente din Republica Moldova actul normativ de reglementare a formulelor de început şi formulelor de continuare ale preparatelor pentru sugari respectiv ale preparatelor pentru copii mici în vederea comparării normelor, iar autorităţile nu vor putea prezenta un asemenea act normativ.   </w:t>
            </w:r>
          </w:p>
        </w:tc>
      </w:tr>
      <w:tr w:rsidR="00254503" w:rsidRPr="007A4FFC" w:rsidTr="00FC3108">
        <w:tc>
          <w:tcPr>
            <w:tcW w:w="189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sz w:val="28"/>
                <w:szCs w:val="28"/>
                <w:lang w:val="ro-MO"/>
              </w:rPr>
            </w:pPr>
            <w:r w:rsidRPr="007A4FFC">
              <w:rPr>
                <w:rFonts w:ascii="Times New Roman" w:eastAsia="Times New Roman" w:hAnsi="Times New Roman"/>
                <w:sz w:val="28"/>
                <w:szCs w:val="28"/>
                <w:lang w:val="ro-MO"/>
              </w:rPr>
              <w:t>Elaborarea unui act legislativ privind contaminanţii din produsele alimentare</w:t>
            </w:r>
          </w:p>
        </w:tc>
        <w:tc>
          <w:tcPr>
            <w:tcW w:w="3006"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Se va asigura conformarea actului de reglementare prevederilor din Legea nr.235/2006.</w:t>
            </w:r>
          </w:p>
          <w:p w:rsidR="00254503" w:rsidRPr="007A4FFC" w:rsidRDefault="00254503" w:rsidP="00FC3108">
            <w:pPr>
              <w:tabs>
                <w:tab w:val="num" w:pos="1107"/>
              </w:tabs>
              <w:spacing w:after="0" w:line="240" w:lineRule="auto"/>
              <w:ind w:firstLine="770"/>
              <w:rPr>
                <w:rFonts w:ascii="Times New Roman" w:eastAsia="Times New Roman" w:hAnsi="Times New Roman"/>
                <w:color w:val="000000"/>
                <w:sz w:val="28"/>
                <w:szCs w:val="28"/>
                <w:lang w:val="ro-MO"/>
              </w:rPr>
            </w:pPr>
          </w:p>
          <w:p w:rsidR="00254503" w:rsidRPr="007A4FFC" w:rsidRDefault="00254503" w:rsidP="00FC3108">
            <w:pPr>
              <w:tabs>
                <w:tab w:val="num" w:pos="1107"/>
              </w:tabs>
              <w:spacing w:after="0" w:line="240" w:lineRule="auto"/>
              <w:ind w:firstLine="770"/>
              <w:rPr>
                <w:rFonts w:ascii="Times New Roman" w:eastAsia="Times New Roman" w:hAnsi="Times New Roman"/>
                <w:sz w:val="28"/>
                <w:szCs w:val="28"/>
                <w:lang w:val="ro-MO"/>
              </w:rPr>
            </w:pPr>
          </w:p>
        </w:tc>
        <w:tc>
          <w:tcPr>
            <w:tcW w:w="4669" w:type="dxa"/>
            <w:tcBorders>
              <w:top w:val="single" w:sz="4" w:space="0" w:color="auto"/>
              <w:left w:val="single" w:sz="4" w:space="0" w:color="auto"/>
              <w:bottom w:val="single" w:sz="4" w:space="0" w:color="auto"/>
              <w:right w:val="single" w:sz="4" w:space="0" w:color="auto"/>
            </w:tcBorders>
          </w:tcPr>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xml:space="preserve">1. Se va </w:t>
            </w:r>
            <w:proofErr w:type="spellStart"/>
            <w:r w:rsidRPr="007A4FFC">
              <w:rPr>
                <w:rFonts w:ascii="Times New Roman" w:eastAsia="Times New Roman" w:hAnsi="Times New Roman"/>
                <w:color w:val="000000"/>
                <w:sz w:val="28"/>
                <w:szCs w:val="28"/>
                <w:lang w:val="ro-MO"/>
              </w:rPr>
              <w:t>întîrzia</w:t>
            </w:r>
            <w:proofErr w:type="spellEnd"/>
            <w:r w:rsidRPr="007A4FFC">
              <w:rPr>
                <w:rFonts w:ascii="Times New Roman" w:eastAsia="Times New Roman" w:hAnsi="Times New Roman"/>
                <w:color w:val="000000"/>
                <w:sz w:val="28"/>
                <w:szCs w:val="28"/>
                <w:lang w:val="ro-MO"/>
              </w:rPr>
              <w:t xml:space="preserve"> în continuare cu aprobarea şi implementarea unui act normativ care să reglementeze </w:t>
            </w:r>
            <w:r w:rsidRPr="007A4FFC">
              <w:rPr>
                <w:rFonts w:ascii="Times New Roman" w:eastAsi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Times New Roman" w:hAnsi="Times New Roman"/>
                <w:color w:val="000000"/>
                <w:sz w:val="28"/>
                <w:szCs w:val="28"/>
                <w:lang w:val="ro-MO"/>
              </w:rPr>
              <w:t>. Lipsa actului normativ va împiedica promovarea exportului de produse alimentare, nu va asigura protecţia consumatorului autohton şi va crea în continuare impedimente în activitatea întreprinzătorilor din sectorul alimentar.</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2. Aprobarea reglementării sub formă de lege va crea discordanţă în cadrul de reglementare a calităţii şi inofensivităţii (siguranţei) produselor alimentare. Pentru asigurarea uniformităţii reglementărilor va fi nevoie ca toate actele normative care constituie legislaţia ”orizontală” în domeniul siguranţei produselor alimentare să fie adoptate prin legi. (Din categoria acestor reglementări fac parte: normele privind criteriile microbiologice, normele p</w:t>
            </w:r>
            <w:r>
              <w:rPr>
                <w:rFonts w:ascii="Times New Roman" w:eastAsia="Times New Roman" w:hAnsi="Times New Roman"/>
                <w:color w:val="000000"/>
                <w:sz w:val="28"/>
                <w:szCs w:val="28"/>
                <w:lang w:val="ro-MO"/>
              </w:rPr>
              <w:t>r</w:t>
            </w:r>
            <w:r w:rsidRPr="007A4FFC">
              <w:rPr>
                <w:rFonts w:ascii="Times New Roman" w:eastAsia="Times New Roman" w:hAnsi="Times New Roman"/>
                <w:color w:val="000000"/>
                <w:sz w:val="28"/>
                <w:szCs w:val="28"/>
                <w:lang w:val="ro-MO"/>
              </w:rPr>
              <w:t xml:space="preserve">ivind etichetarea produselor alimentare, normele privind igiena, privind reziduurile de medicamente veterinare, normele privind reziduurile de pesticide din produsele alimentare ş.a.). Adoptarea exclusivă a reglementărilor în domeniul alimentar prin legi va bloca activitatea Parlamentului, iar procedura adoptării legilor va deveni  şi mai îndelungată. </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Avându-se</w:t>
            </w:r>
            <w:r w:rsidRPr="007A4FFC">
              <w:rPr>
                <w:rFonts w:ascii="Times New Roman" w:eastAsia="Times New Roman" w:hAnsi="Times New Roman"/>
                <w:color w:val="000000"/>
                <w:sz w:val="28"/>
                <w:szCs w:val="28"/>
                <w:lang w:val="ro-MO"/>
              </w:rPr>
              <w:t xml:space="preserve"> în vedere: restanţele majore la capitolul acoperirea vidului normativ creat urmare abrogării legislaţiei fostei URSS; procedura îndelungată de adoptare a actelor legislative, necesitatea modificării şi completării frecvente (de 2-3 ori pe an) a reglementării privind </w:t>
            </w:r>
            <w:r w:rsidRPr="007A4FFC">
              <w:rPr>
                <w:rFonts w:ascii="Times New Roman" w:eastAsi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Times New Roman" w:hAnsi="Times New Roman"/>
                <w:color w:val="000000"/>
                <w:sz w:val="28"/>
                <w:szCs w:val="28"/>
                <w:lang w:val="ro-MO"/>
              </w:rPr>
              <w:t xml:space="preserve"> şi a celorlalte acte normative, adoptarea reglementării privind </w:t>
            </w:r>
            <w:r w:rsidRPr="007A4FFC">
              <w:rPr>
                <w:rFonts w:ascii="Times New Roman" w:eastAsi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Times New Roman" w:hAnsi="Times New Roman"/>
                <w:color w:val="000000"/>
                <w:sz w:val="28"/>
                <w:szCs w:val="28"/>
                <w:lang w:val="ro-MO"/>
              </w:rPr>
              <w:t xml:space="preserve"> sub formă de lege nu este viabilă şi nici rezonabilă la etapa actuală şi va crea impedimente în activitatea întreprinzătorilor implicaţi în circuitul produselor alimentare. </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xml:space="preserve">3. Legea 78/2004 urmează să fie modificată şi completată pe parcursul a.a.2010-2011, inclusiv prin excluderea prevederilor privind aprobarea reglementărilor sub formă de ”reguli sanitare” şi atribuirea exclusivă a acestei competenţe Guvernului. </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xml:space="preserve">4. Actualmente competenţa privind aprobarea reglementării privind </w:t>
            </w:r>
            <w:r w:rsidRPr="007A4FFC">
              <w:rPr>
                <w:rFonts w:ascii="Times New Roman" w:eastAsia="Times New Roman" w:hAnsi="Times New Roman"/>
                <w:sz w:val="28"/>
                <w:szCs w:val="28"/>
                <w:lang w:val="ro-MO"/>
              </w:rPr>
              <w:t>formulele de început şi formulele de continuare ale preparatelor pentru sugari respectiv ale preparatelor pentru copii mici</w:t>
            </w:r>
            <w:r w:rsidRPr="007A4FFC">
              <w:rPr>
                <w:rFonts w:ascii="Times New Roman" w:eastAsia="Times New Roman" w:hAnsi="Times New Roman"/>
                <w:color w:val="000000"/>
                <w:sz w:val="28"/>
                <w:szCs w:val="28"/>
                <w:lang w:val="ro-MO"/>
              </w:rPr>
              <w:t xml:space="preserve"> de către Guvern este prevăzută în: </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xml:space="preserve">- alin. (2) al art. 6 din Legea nr.10/2009 - ”Normele sanitare care stabilesc criteriile de securitate şi siguranţă pentru om ale factorilor mediului înconjurător şi ocupaţional, ale produselor şi serviciilor, cerinţele de asigurare a unor condiţii favorabile pentru viaţă şi normativele sanitare </w:t>
            </w:r>
            <w:proofErr w:type="spellStart"/>
            <w:r w:rsidRPr="007A4FFC">
              <w:rPr>
                <w:rFonts w:ascii="Times New Roman" w:eastAsia="Times New Roman" w:hAnsi="Times New Roman"/>
                <w:color w:val="000000"/>
                <w:sz w:val="28"/>
                <w:szCs w:val="28"/>
                <w:lang w:val="ro-MO"/>
              </w:rPr>
              <w:t>sînt</w:t>
            </w:r>
            <w:proofErr w:type="spellEnd"/>
            <w:r w:rsidRPr="007A4FFC">
              <w:rPr>
                <w:rFonts w:ascii="Times New Roman" w:eastAsia="Times New Roman" w:hAnsi="Times New Roman"/>
                <w:color w:val="000000"/>
                <w:sz w:val="28"/>
                <w:szCs w:val="28"/>
                <w:lang w:val="ro-MO"/>
              </w:rPr>
              <w:t xml:space="preserve"> reglementate prin regulamente sanitare elaborate de Ministerul Sănătăţii şi aprobate de Guvern. Noţiunea ”produse” include şi produsele alimentare.</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Art.37 din legea menţionată prevede că siguranţa produselor alimentare trebuie să corespundă regulamentelor sanitare;</w:t>
            </w:r>
          </w:p>
          <w:p w:rsidR="00254503" w:rsidRPr="007A4FFC" w:rsidRDefault="00254503" w:rsidP="00FC3108">
            <w:pPr>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alin. (1) al art. 9 din Legea 78/2004 (legea de bază (umbrelă) pentru produsele alimentare), care stabileşte că ”Cerinţele privind … inofensivitatea produselor alimentare… cerinţe şi exigenţe legate de asigurarea inofensivităţii produselor alimentare, se stabilesc în reglementările în domeniul alimentar corespunzătoare”;</w:t>
            </w:r>
          </w:p>
          <w:p w:rsidR="00254503" w:rsidRPr="007A4FFC" w:rsidRDefault="00254503" w:rsidP="00FC3108">
            <w:pPr>
              <w:tabs>
                <w:tab w:val="num" w:pos="1107"/>
              </w:tabs>
              <w:spacing w:after="0" w:line="240" w:lineRule="auto"/>
              <w:rPr>
                <w:rFonts w:ascii="Times New Roman" w:eastAsia="Times New Roman" w:hAnsi="Times New Roman"/>
                <w:color w:val="000000"/>
                <w:sz w:val="28"/>
                <w:szCs w:val="28"/>
                <w:lang w:val="ro-MO"/>
              </w:rPr>
            </w:pPr>
            <w:r w:rsidRPr="007A4FFC">
              <w:rPr>
                <w:rFonts w:ascii="Times New Roman" w:eastAsia="Times New Roman" w:hAnsi="Times New Roman"/>
                <w:color w:val="000000"/>
                <w:sz w:val="28"/>
                <w:szCs w:val="28"/>
                <w:lang w:val="ro-MO"/>
              </w:rPr>
              <w:t xml:space="preserve">- art.2 al Legii 78/2004, care defineşte  </w:t>
            </w:r>
          </w:p>
          <w:p w:rsidR="00254503" w:rsidRPr="007A4FFC" w:rsidRDefault="00254503" w:rsidP="00FC3108">
            <w:pPr>
              <w:tabs>
                <w:tab w:val="num" w:pos="1107"/>
              </w:tabs>
              <w:spacing w:after="0" w:line="240" w:lineRule="auto"/>
              <w:rPr>
                <w:rFonts w:ascii="Times New Roman" w:eastAsia="Times New Roman" w:hAnsi="Times New Roman"/>
                <w:sz w:val="28"/>
                <w:szCs w:val="28"/>
                <w:lang w:val="ro-MO"/>
              </w:rPr>
            </w:pPr>
            <w:r w:rsidRPr="007A4FFC">
              <w:rPr>
                <w:rFonts w:ascii="Times New Roman" w:eastAsia="Times New Roman" w:hAnsi="Times New Roman"/>
                <w:color w:val="000000"/>
                <w:sz w:val="28"/>
                <w:szCs w:val="28"/>
                <w:lang w:val="ro-MO"/>
              </w:rPr>
              <w:t>”reglementările în domeniul alimentar” , …  şi ca ”</w:t>
            </w:r>
            <w:proofErr w:type="spellStart"/>
            <w:r w:rsidRPr="007A4FFC">
              <w:rPr>
                <w:rFonts w:ascii="Times New Roman" w:eastAsia="Times New Roman" w:hAnsi="Times New Roman"/>
                <w:color w:val="000000"/>
                <w:sz w:val="28"/>
                <w:szCs w:val="28"/>
                <w:lang w:val="ro-MO"/>
              </w:rPr>
              <w:t>hotărîri</w:t>
            </w:r>
            <w:proofErr w:type="spellEnd"/>
            <w:r w:rsidRPr="007A4FFC">
              <w:rPr>
                <w:rFonts w:ascii="Times New Roman" w:eastAsia="Times New Roman" w:hAnsi="Times New Roman"/>
                <w:color w:val="000000"/>
                <w:sz w:val="28"/>
                <w:szCs w:val="28"/>
                <w:lang w:val="ro-MO"/>
              </w:rPr>
              <w:t xml:space="preserve"> ale Guvernului… care stabilesc cerinţele esenţiale referitoare la produsele alimentare… la inofensivitatea acestora…”. </w:t>
            </w:r>
          </w:p>
        </w:tc>
      </w:tr>
    </w:tbl>
    <w:p w:rsidR="00254503" w:rsidRPr="000A6867" w:rsidRDefault="00254503" w:rsidP="00254503">
      <w:pPr>
        <w:tabs>
          <w:tab w:val="left" w:pos="900"/>
        </w:tabs>
        <w:spacing w:after="0" w:line="240" w:lineRule="auto"/>
        <w:ind w:firstLine="770"/>
        <w:jc w:val="both"/>
        <w:rPr>
          <w:rFonts w:ascii="Times New Roman" w:hAnsi="Times New Roman"/>
          <w:sz w:val="28"/>
          <w:szCs w:val="28"/>
          <w:lang w:val="ro-RO"/>
        </w:rPr>
      </w:pPr>
    </w:p>
    <w:p w:rsidR="00254503" w:rsidRPr="000A6867" w:rsidRDefault="00254503" w:rsidP="00254503">
      <w:pPr>
        <w:tabs>
          <w:tab w:val="left" w:pos="900"/>
        </w:tabs>
        <w:spacing w:after="0" w:line="240" w:lineRule="auto"/>
        <w:ind w:firstLine="770"/>
        <w:jc w:val="center"/>
        <w:rPr>
          <w:rFonts w:ascii="Times New Roman" w:hAnsi="Times New Roman"/>
          <w:b/>
          <w:sz w:val="28"/>
          <w:szCs w:val="28"/>
          <w:highlight w:val="yellow"/>
          <w:lang w:val="ro-RO"/>
        </w:rPr>
      </w:pPr>
    </w:p>
    <w:p w:rsidR="00254503" w:rsidRPr="000A6867" w:rsidRDefault="00254503" w:rsidP="00254503">
      <w:pPr>
        <w:tabs>
          <w:tab w:val="left" w:pos="900"/>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Strategia de consultanţă</w:t>
      </w:r>
    </w:p>
    <w:p w:rsidR="00254503" w:rsidRPr="000A6867" w:rsidRDefault="00254503" w:rsidP="00254503">
      <w:pPr>
        <w:tabs>
          <w:tab w:val="left" w:pos="900"/>
        </w:tabs>
        <w:spacing w:after="0" w:line="240" w:lineRule="auto"/>
        <w:ind w:firstLine="770"/>
        <w:jc w:val="center"/>
        <w:rPr>
          <w:rFonts w:ascii="Times New Roman" w:hAnsi="Times New Roman"/>
          <w:b/>
          <w:sz w:val="28"/>
          <w:szCs w:val="28"/>
          <w:lang w:val="ro-RO"/>
        </w:rPr>
      </w:pPr>
    </w:p>
    <w:p w:rsidR="00254503" w:rsidRPr="000A6867" w:rsidRDefault="00254503" w:rsidP="00254503">
      <w:pPr>
        <w:tabs>
          <w:tab w:val="left" w:pos="900"/>
        </w:tabs>
        <w:spacing w:after="0" w:line="240" w:lineRule="auto"/>
        <w:ind w:firstLine="770"/>
        <w:jc w:val="center"/>
        <w:rPr>
          <w:rFonts w:ascii="Times New Roman" w:hAnsi="Times New Roman"/>
          <w:b/>
          <w:sz w:val="28"/>
          <w:szCs w:val="28"/>
          <w:lang w:val="ro-RO"/>
        </w:rPr>
      </w:pPr>
      <w:r w:rsidRPr="000A6867">
        <w:rPr>
          <w:rFonts w:ascii="Times New Roman" w:hAnsi="Times New Roman"/>
          <w:b/>
          <w:sz w:val="28"/>
          <w:szCs w:val="28"/>
          <w:lang w:val="ro-RO"/>
        </w:rPr>
        <w:t>Recomandări (sumar)</w:t>
      </w:r>
    </w:p>
    <w:p w:rsidR="00254503" w:rsidRPr="000A6867" w:rsidRDefault="00254503" w:rsidP="00254503">
      <w:pPr>
        <w:tabs>
          <w:tab w:val="left" w:pos="360"/>
        </w:tabs>
        <w:spacing w:after="0" w:line="240" w:lineRule="auto"/>
        <w:ind w:firstLine="770"/>
        <w:jc w:val="both"/>
        <w:rPr>
          <w:rFonts w:ascii="Times New Roman" w:hAnsi="Times New Roman"/>
          <w:sz w:val="28"/>
          <w:szCs w:val="28"/>
          <w:lang w:val="ro-RO"/>
        </w:rPr>
      </w:pPr>
      <w:r w:rsidRPr="000A6867">
        <w:rPr>
          <w:rFonts w:ascii="Times New Roman" w:hAnsi="Times New Roman"/>
          <w:sz w:val="28"/>
          <w:szCs w:val="28"/>
          <w:lang w:val="ro-RO"/>
        </w:rPr>
        <w:t xml:space="preserve">Autorii AIR recomandă elaborarea şi proiectului de </w:t>
      </w:r>
      <w:r>
        <w:rPr>
          <w:rFonts w:ascii="Times New Roman" w:hAnsi="Times New Roman"/>
          <w:sz w:val="28"/>
          <w:szCs w:val="28"/>
          <w:lang w:val="ro-RO"/>
        </w:rPr>
        <w:t xml:space="preserve">modificare şi completare a </w:t>
      </w:r>
      <w:r w:rsidRPr="000A6867">
        <w:rPr>
          <w:rFonts w:ascii="Times New Roman" w:hAnsi="Times New Roman"/>
          <w:sz w:val="28"/>
          <w:szCs w:val="28"/>
          <w:lang w:val="ro-RO"/>
        </w:rPr>
        <w:t>act</w:t>
      </w:r>
      <w:r>
        <w:rPr>
          <w:rFonts w:ascii="Times New Roman" w:hAnsi="Times New Roman"/>
          <w:sz w:val="28"/>
          <w:szCs w:val="28"/>
          <w:lang w:val="ro-RO"/>
        </w:rPr>
        <w:t>ului</w:t>
      </w:r>
      <w:r w:rsidRPr="000A6867">
        <w:rPr>
          <w:rFonts w:ascii="Times New Roman" w:hAnsi="Times New Roman"/>
          <w:sz w:val="28"/>
          <w:szCs w:val="28"/>
          <w:lang w:val="ro-RO"/>
        </w:rPr>
        <w:t xml:space="preserve"> normativ privind formulele de început şi formulele de continuare ale preparatelor pentru sugari respectiv ale preparatelor pentru copii mici, </w:t>
      </w:r>
      <w:proofErr w:type="spellStart"/>
      <w:r w:rsidRPr="000A6867">
        <w:rPr>
          <w:rFonts w:ascii="Times New Roman" w:hAnsi="Times New Roman"/>
          <w:sz w:val="28"/>
          <w:szCs w:val="28"/>
          <w:lang w:val="ro-RO"/>
        </w:rPr>
        <w:t>întrucît</w:t>
      </w:r>
      <w:proofErr w:type="spellEnd"/>
      <w:r w:rsidRPr="000A6867">
        <w:rPr>
          <w:rFonts w:ascii="Times New Roman" w:hAnsi="Times New Roman"/>
          <w:sz w:val="28"/>
          <w:szCs w:val="28"/>
          <w:lang w:val="ro-RO"/>
        </w:rPr>
        <w:t xml:space="preserve"> aceasta oferă cel mai înalt nivel de beneficiu, în special social - de protecţie a sănătăţii publice, şi nu prezintă careva impact neproporţional asupra unei categorii de populaţie sau întreprinzători. Actul normativ va avea impact pozitiv în primul </w:t>
      </w:r>
      <w:proofErr w:type="spellStart"/>
      <w:r w:rsidRPr="000A6867">
        <w:rPr>
          <w:rFonts w:ascii="Times New Roman" w:hAnsi="Times New Roman"/>
          <w:sz w:val="28"/>
          <w:szCs w:val="28"/>
          <w:lang w:val="ro-RO"/>
        </w:rPr>
        <w:t>rînd</w:t>
      </w:r>
      <w:proofErr w:type="spellEnd"/>
      <w:r w:rsidRPr="000A6867">
        <w:rPr>
          <w:rFonts w:ascii="Times New Roman" w:hAnsi="Times New Roman"/>
          <w:sz w:val="28"/>
          <w:szCs w:val="28"/>
          <w:lang w:val="ro-RO"/>
        </w:rPr>
        <w:t xml:space="preserve"> asupra populaţiei, dar şi asupra ordonării pieţei de desfacere a formulelor de început şi formulelor de continuare ale preparatelor pentru sugari respectiv ale preparatelor pentru copii mici. De asemenea, aprobarea actului normativ va contribui la realizarea angajamentelor Republicii Moldova de armonizare a legislaţiei naţionale cu cea </w:t>
      </w:r>
      <w:r w:rsidRPr="00820B13">
        <w:rPr>
          <w:rFonts w:ascii="Times New Roman" w:hAnsi="Times New Roman"/>
          <w:sz w:val="28"/>
          <w:szCs w:val="28"/>
          <w:lang w:val="ro-MO"/>
        </w:rPr>
        <w:t>comunitară și va facilita activitatea agenţilor economici implicaţi în circuitul acestor produse</w:t>
      </w:r>
      <w:r>
        <w:rPr>
          <w:rFonts w:ascii="Times New Roman" w:hAnsi="Times New Roman"/>
          <w:sz w:val="28"/>
          <w:szCs w:val="28"/>
          <w:lang w:val="ro-MO"/>
        </w:rPr>
        <w:t xml:space="preserve"> menționate</w:t>
      </w:r>
      <w:r>
        <w:rPr>
          <w:rFonts w:ascii="Times New Roman" w:hAnsi="Times New Roman"/>
          <w:sz w:val="28"/>
          <w:szCs w:val="28"/>
          <w:lang w:val="ro-RO"/>
        </w:rPr>
        <w:t>.</w:t>
      </w:r>
    </w:p>
    <w:p w:rsidR="00745092" w:rsidRPr="00254503" w:rsidRDefault="00745092">
      <w:pPr>
        <w:rPr>
          <w:lang w:val="ro-RO"/>
        </w:rPr>
      </w:pPr>
    </w:p>
    <w:sectPr w:rsidR="00745092" w:rsidRPr="00254503" w:rsidSect="007450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CB75C9"/>
    <w:multiLevelType w:val="hybridMultilevel"/>
    <w:tmpl w:val="BB402B64"/>
    <w:lvl w:ilvl="0" w:tplc="1EB0996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B4C0DE6"/>
    <w:multiLevelType w:val="hybridMultilevel"/>
    <w:tmpl w:val="A462AC98"/>
    <w:lvl w:ilvl="0" w:tplc="C82842BA">
      <w:start w:val="1"/>
      <w:numFmt w:val="decimal"/>
      <w:lvlText w:val="%1."/>
      <w:lvlJc w:val="left"/>
      <w:pPr>
        <w:tabs>
          <w:tab w:val="num" w:pos="972"/>
        </w:tabs>
        <w:ind w:left="972"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254503"/>
    <w:rsid w:val="00254503"/>
    <w:rsid w:val="007450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503"/>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2645</Words>
  <Characters>15082</Characters>
  <Application>Microsoft Office Word</Application>
  <DocSecurity>0</DocSecurity>
  <Lines>125</Lines>
  <Paragraphs>35</Paragraphs>
  <ScaleCrop>false</ScaleCrop>
  <Company/>
  <LinksUpToDate>false</LinksUpToDate>
  <CharactersWithSpaces>17692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2014-02-19T11:50:00Z</dcterms:created>
  <dcterms:modified xsi:type="dcterms:W3CDTF">2014-02-19T11:51:00Z</dcterms:modified>
</cp:coreProperties>
</file>