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18" w:rsidRPr="00A14389" w:rsidRDefault="00110918" w:rsidP="00110918">
      <w:pPr>
        <w:pStyle w:val="1"/>
        <w:jc w:val="center"/>
        <w:rPr>
          <w:sz w:val="28"/>
          <w:szCs w:val="28"/>
          <w:lang w:val="ro-RO"/>
        </w:rPr>
      </w:pPr>
    </w:p>
    <w:p w:rsidR="00110918" w:rsidRDefault="00110918" w:rsidP="00110918">
      <w:pPr>
        <w:jc w:val="center"/>
        <w:rPr>
          <w:b/>
          <w:sz w:val="32"/>
          <w:szCs w:val="32"/>
        </w:rPr>
      </w:pPr>
    </w:p>
    <w:p w:rsidR="00110918" w:rsidRDefault="00110918" w:rsidP="00110918">
      <w:pPr>
        <w:jc w:val="center"/>
        <w:rPr>
          <w:b/>
          <w:sz w:val="32"/>
          <w:szCs w:val="32"/>
        </w:rPr>
      </w:pPr>
    </w:p>
    <w:p w:rsidR="00110918" w:rsidRDefault="00110918" w:rsidP="00110918">
      <w:pPr>
        <w:jc w:val="center"/>
        <w:rPr>
          <w:b/>
          <w:sz w:val="32"/>
          <w:szCs w:val="32"/>
        </w:rPr>
      </w:pPr>
      <w:r w:rsidRPr="00E15E1D">
        <w:rPr>
          <w:b/>
          <w:sz w:val="32"/>
          <w:szCs w:val="32"/>
        </w:rPr>
        <w:t xml:space="preserve">Sinteza </w:t>
      </w:r>
    </w:p>
    <w:p w:rsidR="00110918" w:rsidRPr="00E15E1D" w:rsidRDefault="00110918" w:rsidP="00110918">
      <w:pPr>
        <w:jc w:val="center"/>
        <w:rPr>
          <w:b/>
          <w:sz w:val="32"/>
          <w:szCs w:val="32"/>
        </w:rPr>
      </w:pPr>
      <w:r w:rsidRPr="00E15E1D">
        <w:rPr>
          <w:b/>
          <w:sz w:val="32"/>
          <w:szCs w:val="32"/>
        </w:rPr>
        <w:t>obiecţiilor şi propunerilor</w:t>
      </w:r>
    </w:p>
    <w:p w:rsidR="00110918" w:rsidRPr="00E15E1D" w:rsidRDefault="00110918" w:rsidP="00110918">
      <w:pPr>
        <w:jc w:val="center"/>
        <w:rPr>
          <w:i/>
        </w:rPr>
      </w:pPr>
      <w:r w:rsidRPr="00E15E1D">
        <w:rPr>
          <w:i/>
        </w:rPr>
        <w:t>la proiectul hotărîrii Guvernului cu privire la aprobare proiectului legii pentru modificarea şi completarea unor acte legislative</w:t>
      </w:r>
    </w:p>
    <w:p w:rsidR="00110918" w:rsidRPr="009510E4" w:rsidRDefault="00110918" w:rsidP="00110918">
      <w:pPr>
        <w:pStyle w:val="1"/>
        <w:jc w:val="center"/>
        <w:rPr>
          <w:sz w:val="28"/>
          <w:szCs w:val="28"/>
          <w:lang w:val="ro-RO"/>
        </w:rPr>
      </w:pPr>
    </w:p>
    <w:tbl>
      <w:tblPr>
        <w:tblW w:w="14971"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7"/>
        <w:gridCol w:w="8930"/>
        <w:gridCol w:w="3544"/>
      </w:tblGrid>
      <w:tr w:rsidR="00110918" w:rsidRPr="00851E3F" w:rsidTr="008B2107">
        <w:tblPrEx>
          <w:tblCellMar>
            <w:top w:w="0" w:type="dxa"/>
            <w:bottom w:w="0" w:type="dxa"/>
          </w:tblCellMar>
        </w:tblPrEx>
        <w:trPr>
          <w:trHeight w:val="864"/>
        </w:trPr>
        <w:tc>
          <w:tcPr>
            <w:tcW w:w="2497" w:type="dxa"/>
          </w:tcPr>
          <w:p w:rsidR="00110918" w:rsidRPr="00851E3F" w:rsidRDefault="00110918" w:rsidP="008B2107">
            <w:pPr>
              <w:jc w:val="center"/>
              <w:rPr>
                <w:b/>
                <w:sz w:val="28"/>
                <w:szCs w:val="28"/>
                <w:lang w:val="ro-MO"/>
              </w:rPr>
            </w:pPr>
            <w:r w:rsidRPr="00851E3F">
              <w:rPr>
                <w:b/>
                <w:sz w:val="28"/>
                <w:szCs w:val="28"/>
                <w:lang w:val="ro-MO"/>
              </w:rPr>
              <w:t>Autorităţile care au înaintat obiecţii/propuneri</w:t>
            </w:r>
          </w:p>
        </w:tc>
        <w:tc>
          <w:tcPr>
            <w:tcW w:w="8930" w:type="dxa"/>
          </w:tcPr>
          <w:p w:rsidR="00110918" w:rsidRPr="00851E3F" w:rsidRDefault="00110918" w:rsidP="008B2107">
            <w:pPr>
              <w:jc w:val="center"/>
              <w:rPr>
                <w:b/>
                <w:sz w:val="28"/>
                <w:szCs w:val="28"/>
                <w:lang w:val="ro-MO"/>
              </w:rPr>
            </w:pPr>
            <w:r w:rsidRPr="00851E3F">
              <w:rPr>
                <w:b/>
                <w:sz w:val="28"/>
                <w:szCs w:val="28"/>
                <w:lang w:val="ro-MO"/>
              </w:rPr>
              <w:t>Conţinutul obiecţiilor/propunerilor</w:t>
            </w:r>
          </w:p>
        </w:tc>
        <w:tc>
          <w:tcPr>
            <w:tcW w:w="3544" w:type="dxa"/>
          </w:tcPr>
          <w:p w:rsidR="00110918" w:rsidRPr="00851E3F" w:rsidRDefault="00110918" w:rsidP="008B2107">
            <w:pPr>
              <w:pStyle w:val="1"/>
              <w:jc w:val="center"/>
              <w:rPr>
                <w:sz w:val="28"/>
                <w:szCs w:val="28"/>
              </w:rPr>
            </w:pPr>
            <w:r w:rsidRPr="00851E3F">
              <w:rPr>
                <w:sz w:val="28"/>
                <w:szCs w:val="28"/>
              </w:rPr>
              <w:t>Opinia Ministerului Afacerilor Interne</w:t>
            </w:r>
          </w:p>
        </w:tc>
      </w:tr>
      <w:tr w:rsidR="00110918" w:rsidRPr="00851E3F" w:rsidTr="008B2107">
        <w:tblPrEx>
          <w:tblCellMar>
            <w:top w:w="0" w:type="dxa"/>
            <w:bottom w:w="0" w:type="dxa"/>
          </w:tblCellMar>
        </w:tblPrEx>
        <w:trPr>
          <w:trHeight w:val="426"/>
        </w:trPr>
        <w:tc>
          <w:tcPr>
            <w:tcW w:w="2497" w:type="dxa"/>
          </w:tcPr>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r w:rsidRPr="00851E3F">
              <w:rPr>
                <w:b/>
                <w:sz w:val="28"/>
                <w:szCs w:val="28"/>
                <w:lang w:val="ro-MO"/>
              </w:rPr>
              <w:t xml:space="preserve">Ministerul </w:t>
            </w:r>
            <w:r>
              <w:rPr>
                <w:b/>
                <w:sz w:val="28"/>
                <w:szCs w:val="28"/>
                <w:lang w:val="ro-MO"/>
              </w:rPr>
              <w:t>Finanţelor</w:t>
            </w:r>
          </w:p>
          <w:p w:rsidR="00110918" w:rsidRDefault="00110918" w:rsidP="008B2107">
            <w:pPr>
              <w:jc w:val="center"/>
              <w:rPr>
                <w:i/>
                <w:sz w:val="20"/>
                <w:szCs w:val="20"/>
              </w:rPr>
            </w:pPr>
            <w:r w:rsidRPr="009C7C47">
              <w:rPr>
                <w:i/>
                <w:sz w:val="20"/>
                <w:szCs w:val="20"/>
              </w:rPr>
              <w:t xml:space="preserve">Aviz nr. </w:t>
            </w:r>
            <w:r>
              <w:rPr>
                <w:i/>
                <w:sz w:val="20"/>
                <w:szCs w:val="20"/>
              </w:rPr>
              <w:t>19-06/830</w:t>
            </w:r>
            <w:r w:rsidRPr="009C7C47">
              <w:rPr>
                <w:i/>
                <w:sz w:val="20"/>
                <w:szCs w:val="20"/>
              </w:rPr>
              <w:t xml:space="preserve"> din </w:t>
            </w:r>
          </w:p>
          <w:p w:rsidR="00110918" w:rsidRPr="00851E3F" w:rsidRDefault="00110918" w:rsidP="008B2107">
            <w:pPr>
              <w:jc w:val="center"/>
              <w:rPr>
                <w:b/>
                <w:sz w:val="28"/>
                <w:szCs w:val="28"/>
              </w:rPr>
            </w:pPr>
            <w:r>
              <w:rPr>
                <w:i/>
                <w:sz w:val="20"/>
                <w:szCs w:val="20"/>
              </w:rPr>
              <w:t>23 mai 2014</w:t>
            </w:r>
          </w:p>
        </w:tc>
        <w:tc>
          <w:tcPr>
            <w:tcW w:w="8930" w:type="dxa"/>
          </w:tcPr>
          <w:p w:rsidR="00110918" w:rsidRPr="000F666E" w:rsidRDefault="00110918" w:rsidP="008B2107">
            <w:pPr>
              <w:ind w:firstLine="743"/>
              <w:jc w:val="both"/>
              <w:rPr>
                <w:sz w:val="28"/>
                <w:szCs w:val="28"/>
                <w:lang w:val="ro-MO"/>
              </w:rPr>
            </w:pPr>
            <w:r>
              <w:rPr>
                <w:sz w:val="28"/>
                <w:szCs w:val="28"/>
                <w:lang w:val="ro-MO"/>
              </w:rPr>
              <w:t>În principiu se susţine propunerile de modificare a legislaţiei înaintate. Cu toate acestea menţionăm că, prin proiectul de Lege se propune modificarea art. 85 alin. (1) din Codul Contravenţional prin majorarea amenzii contravenţionale de la 3-10 u.c (60-200 lei) pînă la 30-50 u.c. (600-1000 lei), iar Nota Informativă motivează necesitatea acestei modificări prin faptul că testul pentru stabilirea stării de ebrietate narcotică se evaluează la 315 lei, fiind evident disproporţional de sancţiunea aplicată ( în cele mai dese cazuri amenda constituie 60 lei, iar dacă este achitată în 72 ore, constituie 30 lei), fapt ce inevitabil duce la prejudicierea bugetului de stat.</w:t>
            </w:r>
          </w:p>
          <w:p w:rsidR="00110918" w:rsidRPr="000F666E" w:rsidRDefault="00110918" w:rsidP="008B2107">
            <w:pPr>
              <w:ind w:left="34" w:firstLine="709"/>
              <w:jc w:val="both"/>
              <w:rPr>
                <w:sz w:val="28"/>
                <w:szCs w:val="28"/>
                <w:lang w:val="ro-MO"/>
              </w:rPr>
            </w:pPr>
            <w:r w:rsidRPr="000F666E">
              <w:rPr>
                <w:sz w:val="28"/>
                <w:szCs w:val="28"/>
                <w:lang w:val="ro-MO"/>
              </w:rPr>
              <w:t>Asupra acestui fapt urmează de menţionat că, în cazul în care persoanei îi v-a fi aplicată amenda în mărime de 30 u.c., aceasta constituie 600 lei, iar în cazul în care v-a fi achitată în 72 de ore, va constitui 300 lei, ce la fel nu compensează pierderile suportate de bugetul de stat în vederea efectuării testului pentru stabilirea stării de ebrietate narcotică (315 lei).</w:t>
            </w:r>
          </w:p>
          <w:p w:rsidR="00110918" w:rsidRPr="000F666E" w:rsidRDefault="00110918" w:rsidP="008B2107">
            <w:pPr>
              <w:ind w:left="34" w:firstLine="709"/>
              <w:jc w:val="both"/>
              <w:rPr>
                <w:sz w:val="28"/>
                <w:szCs w:val="28"/>
                <w:lang w:val="ro-MO"/>
              </w:rPr>
            </w:pPr>
            <w:r w:rsidRPr="000F666E">
              <w:rPr>
                <w:sz w:val="28"/>
                <w:szCs w:val="28"/>
                <w:lang w:val="ro-MO"/>
              </w:rPr>
              <w:t>Rezultînd din gravitatea pericolului social ce îl poartă circuitul ilegal al substanţelor narcotice şi a celor similare acestora, cît şi din faptul că modificările propuse nu v-or compensa pierderile suportate de bugetul de stat, se propune majorarea amnezii aplicate de la cel puţin 40 u.c.</w:t>
            </w:r>
          </w:p>
        </w:tc>
        <w:tc>
          <w:tcPr>
            <w:tcW w:w="3544" w:type="dxa"/>
          </w:tcPr>
          <w:p w:rsidR="00110918" w:rsidRDefault="00110918" w:rsidP="008B2107">
            <w:pPr>
              <w:ind w:left="175"/>
              <w:jc w:val="center"/>
              <w:rPr>
                <w:b/>
                <w:sz w:val="28"/>
                <w:szCs w:val="28"/>
                <w:lang w:val="ro-MO"/>
              </w:rPr>
            </w:pPr>
          </w:p>
          <w:p w:rsidR="00110918" w:rsidRDefault="00110918" w:rsidP="008B2107">
            <w:pPr>
              <w:ind w:left="175"/>
              <w:jc w:val="center"/>
              <w:rPr>
                <w:b/>
                <w:sz w:val="28"/>
                <w:szCs w:val="28"/>
                <w:lang w:val="ro-MO"/>
              </w:rPr>
            </w:pPr>
          </w:p>
          <w:p w:rsidR="00110918" w:rsidRDefault="00110918" w:rsidP="008B2107">
            <w:pPr>
              <w:ind w:left="175"/>
              <w:jc w:val="center"/>
              <w:rPr>
                <w:b/>
                <w:sz w:val="28"/>
                <w:szCs w:val="28"/>
                <w:lang w:val="ro-MO"/>
              </w:rPr>
            </w:pPr>
          </w:p>
          <w:p w:rsidR="00110918" w:rsidRDefault="00110918" w:rsidP="008B2107">
            <w:pPr>
              <w:rPr>
                <w:b/>
                <w:sz w:val="28"/>
                <w:szCs w:val="28"/>
                <w:lang w:val="ro-MO"/>
              </w:rPr>
            </w:pPr>
          </w:p>
          <w:p w:rsidR="00110918" w:rsidRDefault="00110918" w:rsidP="008B2107">
            <w:pPr>
              <w:ind w:left="175"/>
              <w:jc w:val="center"/>
              <w:rPr>
                <w:sz w:val="28"/>
                <w:szCs w:val="28"/>
                <w:lang w:val="ro-MO"/>
              </w:rPr>
            </w:pPr>
            <w:r>
              <w:rPr>
                <w:b/>
                <w:sz w:val="28"/>
                <w:szCs w:val="28"/>
                <w:lang w:val="ro-MO"/>
              </w:rPr>
              <w:t xml:space="preserve">Se </w:t>
            </w:r>
            <w:r w:rsidRPr="000F666E">
              <w:rPr>
                <w:b/>
                <w:sz w:val="28"/>
                <w:szCs w:val="28"/>
                <w:lang w:val="ro-MO"/>
              </w:rPr>
              <w:t>acceptă</w:t>
            </w:r>
            <w:r>
              <w:rPr>
                <w:sz w:val="28"/>
                <w:szCs w:val="28"/>
                <w:lang w:val="ro-MO"/>
              </w:rPr>
              <w:t xml:space="preserve"> </w:t>
            </w:r>
          </w:p>
          <w:p w:rsidR="00110918" w:rsidRDefault="00110918" w:rsidP="008B2107">
            <w:pPr>
              <w:ind w:left="175"/>
              <w:jc w:val="center"/>
              <w:rPr>
                <w:sz w:val="28"/>
                <w:szCs w:val="28"/>
                <w:lang w:val="ro-MO"/>
              </w:rPr>
            </w:pPr>
            <w:r>
              <w:rPr>
                <w:sz w:val="28"/>
                <w:szCs w:val="28"/>
                <w:lang w:val="ro-MO"/>
              </w:rPr>
              <w:t>au fost operate modificările de rigoare</w:t>
            </w:r>
          </w:p>
          <w:p w:rsidR="00110918" w:rsidRDefault="00110918" w:rsidP="008B2107">
            <w:pPr>
              <w:ind w:left="360"/>
              <w:jc w:val="both"/>
              <w:rPr>
                <w:sz w:val="28"/>
                <w:szCs w:val="28"/>
                <w:lang w:val="ro-MO"/>
              </w:rPr>
            </w:pPr>
          </w:p>
          <w:p w:rsidR="00110918" w:rsidRDefault="00110918" w:rsidP="008B2107">
            <w:pPr>
              <w:ind w:left="360"/>
              <w:jc w:val="both"/>
              <w:rPr>
                <w:sz w:val="28"/>
                <w:szCs w:val="28"/>
                <w:lang w:val="ro-MO"/>
              </w:rPr>
            </w:pPr>
          </w:p>
          <w:p w:rsidR="00110918" w:rsidRDefault="00110918" w:rsidP="008B2107">
            <w:pPr>
              <w:ind w:left="360"/>
              <w:jc w:val="both"/>
              <w:rPr>
                <w:sz w:val="28"/>
                <w:szCs w:val="28"/>
                <w:lang w:val="ro-MO"/>
              </w:rPr>
            </w:pPr>
          </w:p>
          <w:p w:rsidR="00110918" w:rsidRDefault="00110918" w:rsidP="008B2107">
            <w:pPr>
              <w:ind w:left="360"/>
              <w:jc w:val="both"/>
              <w:rPr>
                <w:sz w:val="28"/>
                <w:szCs w:val="28"/>
                <w:lang w:val="ro-MO"/>
              </w:rPr>
            </w:pPr>
          </w:p>
          <w:p w:rsidR="00110918" w:rsidRDefault="00110918" w:rsidP="008B2107">
            <w:pPr>
              <w:ind w:left="360"/>
              <w:jc w:val="both"/>
              <w:rPr>
                <w:sz w:val="28"/>
                <w:szCs w:val="28"/>
                <w:lang w:val="ro-MO"/>
              </w:rPr>
            </w:pPr>
          </w:p>
          <w:p w:rsidR="00110918" w:rsidRDefault="00110918" w:rsidP="008B2107">
            <w:pPr>
              <w:ind w:left="360"/>
              <w:jc w:val="both"/>
              <w:rPr>
                <w:sz w:val="28"/>
                <w:szCs w:val="28"/>
                <w:lang w:val="ro-MO"/>
              </w:rPr>
            </w:pPr>
          </w:p>
          <w:p w:rsidR="00110918" w:rsidRPr="00851E3F" w:rsidRDefault="00110918" w:rsidP="008B2107">
            <w:pPr>
              <w:ind w:left="360"/>
              <w:jc w:val="both"/>
              <w:rPr>
                <w:sz w:val="28"/>
                <w:szCs w:val="28"/>
                <w:lang w:val="ro-MO"/>
              </w:rPr>
            </w:pPr>
          </w:p>
        </w:tc>
      </w:tr>
      <w:tr w:rsidR="00110918" w:rsidRPr="00851E3F" w:rsidTr="008B2107">
        <w:tblPrEx>
          <w:tblCellMar>
            <w:top w:w="0" w:type="dxa"/>
            <w:bottom w:w="0" w:type="dxa"/>
          </w:tblCellMar>
        </w:tblPrEx>
        <w:trPr>
          <w:trHeight w:val="11310"/>
        </w:trPr>
        <w:tc>
          <w:tcPr>
            <w:tcW w:w="2497" w:type="dxa"/>
          </w:tcPr>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p>
          <w:p w:rsidR="00110918" w:rsidRDefault="00110918" w:rsidP="008B2107">
            <w:pPr>
              <w:jc w:val="center"/>
              <w:rPr>
                <w:b/>
                <w:sz w:val="28"/>
                <w:szCs w:val="28"/>
                <w:lang w:val="ro-MO"/>
              </w:rPr>
            </w:pPr>
            <w:r>
              <w:rPr>
                <w:b/>
                <w:sz w:val="28"/>
                <w:szCs w:val="28"/>
                <w:lang w:val="ro-MO"/>
              </w:rPr>
              <w:t>Procuratura Generală</w:t>
            </w:r>
          </w:p>
          <w:p w:rsidR="00110918" w:rsidRDefault="00110918" w:rsidP="008B2107">
            <w:pPr>
              <w:jc w:val="center"/>
              <w:rPr>
                <w:i/>
                <w:sz w:val="20"/>
                <w:szCs w:val="20"/>
              </w:rPr>
            </w:pPr>
            <w:r w:rsidRPr="009C7C47">
              <w:rPr>
                <w:i/>
                <w:sz w:val="20"/>
                <w:szCs w:val="20"/>
              </w:rPr>
              <w:t xml:space="preserve">Aviz nr. </w:t>
            </w:r>
            <w:r>
              <w:rPr>
                <w:i/>
                <w:sz w:val="20"/>
                <w:szCs w:val="20"/>
              </w:rPr>
              <w:t>28-2d/14-146</w:t>
            </w:r>
            <w:r w:rsidRPr="009C7C47">
              <w:rPr>
                <w:i/>
                <w:sz w:val="20"/>
                <w:szCs w:val="20"/>
              </w:rPr>
              <w:t xml:space="preserve"> din </w:t>
            </w:r>
          </w:p>
          <w:p w:rsidR="00110918" w:rsidRPr="00851E3F" w:rsidRDefault="00110918" w:rsidP="008B2107">
            <w:pPr>
              <w:jc w:val="center"/>
              <w:rPr>
                <w:b/>
                <w:sz w:val="28"/>
                <w:szCs w:val="28"/>
                <w:lang w:val="ro-MO"/>
              </w:rPr>
            </w:pPr>
            <w:r>
              <w:rPr>
                <w:i/>
                <w:sz w:val="20"/>
                <w:szCs w:val="20"/>
              </w:rPr>
              <w:t>26 mai 2014</w:t>
            </w:r>
          </w:p>
        </w:tc>
        <w:tc>
          <w:tcPr>
            <w:tcW w:w="8930" w:type="dxa"/>
          </w:tcPr>
          <w:p w:rsidR="00110918" w:rsidRPr="00751D06" w:rsidRDefault="00110918" w:rsidP="008B2107">
            <w:pPr>
              <w:jc w:val="both"/>
              <w:rPr>
                <w:sz w:val="28"/>
                <w:szCs w:val="28"/>
                <w:lang w:val="ro-MO"/>
              </w:rPr>
            </w:pPr>
            <w:r w:rsidRPr="00751D06">
              <w:rPr>
                <w:sz w:val="28"/>
                <w:szCs w:val="28"/>
                <w:lang w:val="ro-MO"/>
              </w:rPr>
              <w:t>În legătură cu proiectul remis</w:t>
            </w:r>
            <w:r>
              <w:rPr>
                <w:sz w:val="28"/>
                <w:szCs w:val="28"/>
                <w:lang w:val="ro-MO"/>
              </w:rPr>
              <w:t xml:space="preserve">, întru evitarea intervenţiei în normele legale unilateral şi unidimensional, considerăm oportun ca amendamentele propuse să fie abordate într-un  mod unitar şi în baza unei analize multiaspectuale, în cadrul şedinţelor </w:t>
            </w:r>
            <w:r w:rsidRPr="00B05F8B">
              <w:rPr>
                <w:b/>
                <w:i/>
                <w:sz w:val="28"/>
                <w:szCs w:val="28"/>
                <w:lang w:val="ro-MO"/>
              </w:rPr>
              <w:t>Grupului de lucru interdepartamental, creat în scopul executării indicaţiei Guvernului nr.1216-19 din 29 aprilie 2014, pentru evaluarea activităţii factorilor implicaţi în procesul de gestionare a cauzelor cu privire la conducerea mijlocului de transport în stare de ebrietate</w:t>
            </w:r>
            <w:r>
              <w:rPr>
                <w:sz w:val="28"/>
                <w:szCs w:val="28"/>
                <w:lang w:val="ro-MO"/>
              </w:rPr>
              <w:t>, în baza Ordinului comun al Ministerului Afacerilor Interne, Ministerului Justiţiei, Ministerului Sănătăţii, Ministerului Tehnologiei Informaţiei şi Comunicaţiilor şi Centrului Naţional Anticorupţie.</w:t>
            </w:r>
          </w:p>
        </w:tc>
        <w:tc>
          <w:tcPr>
            <w:tcW w:w="3544" w:type="dxa"/>
          </w:tcPr>
          <w:p w:rsidR="00110918" w:rsidRPr="006D4043" w:rsidRDefault="00110918" w:rsidP="008B2107">
            <w:pPr>
              <w:pStyle w:val="1"/>
              <w:jc w:val="center"/>
              <w:rPr>
                <w:sz w:val="26"/>
                <w:szCs w:val="26"/>
              </w:rPr>
            </w:pPr>
            <w:r w:rsidRPr="006D4043">
              <w:rPr>
                <w:sz w:val="26"/>
                <w:szCs w:val="26"/>
              </w:rPr>
              <w:t>Nu se acceptă</w:t>
            </w:r>
          </w:p>
          <w:p w:rsidR="00110918" w:rsidRPr="00DF682A" w:rsidRDefault="00110918" w:rsidP="008B2107">
            <w:pPr>
              <w:jc w:val="both"/>
              <w:rPr>
                <w:sz w:val="28"/>
                <w:szCs w:val="28"/>
                <w:lang w:val="ro-MO"/>
              </w:rPr>
            </w:pPr>
            <w:r w:rsidRPr="00DF682A">
              <w:rPr>
                <w:sz w:val="28"/>
                <w:szCs w:val="28"/>
                <w:lang w:val="ro-MO"/>
              </w:rPr>
              <w:t xml:space="preserve">Grupul de lucru interdepartamental menţionat a fost creat în scopul evaluării activităţii factorilor implicaţi în procesul de gestionare a cauzelor cu privire la conducerea mijlocului de transport în stare de ebrietate, inclusiv a agenţilor rutieri, medicilor, procurorilor </w:t>
            </w:r>
            <w:r w:rsidRPr="00DF682A">
              <w:rPr>
                <w:rFonts w:ascii="Cambria Math" w:hAnsi="Cambria Math" w:cs="Cambria Math"/>
                <w:sz w:val="28"/>
                <w:szCs w:val="28"/>
                <w:lang w:val="ro-MO"/>
              </w:rPr>
              <w:t>ș</w:t>
            </w:r>
            <w:r w:rsidRPr="00DF682A">
              <w:rPr>
                <w:sz w:val="28"/>
                <w:szCs w:val="28"/>
                <w:lang w:val="ro-MO"/>
              </w:rPr>
              <w:t xml:space="preserve">i judecătorilor, în vederea identificării motivelor de nefinalizare a dosarelor </w:t>
            </w:r>
            <w:r w:rsidRPr="00DF682A">
              <w:rPr>
                <w:rFonts w:ascii="Cambria Math" w:hAnsi="Cambria Math" w:cs="Cambria Math"/>
                <w:sz w:val="28"/>
                <w:szCs w:val="28"/>
                <w:lang w:val="ro-MO"/>
              </w:rPr>
              <w:t>ș</w:t>
            </w:r>
            <w:r w:rsidRPr="00DF682A">
              <w:rPr>
                <w:sz w:val="28"/>
                <w:szCs w:val="28"/>
                <w:lang w:val="ro-MO"/>
              </w:rPr>
              <w:t>i nesanc</w:t>
            </w:r>
            <w:r w:rsidRPr="00DF682A">
              <w:rPr>
                <w:rFonts w:ascii="Cambria Math" w:hAnsi="Cambria Math" w:cs="Cambria Math"/>
                <w:sz w:val="28"/>
                <w:szCs w:val="28"/>
                <w:lang w:val="ro-MO"/>
              </w:rPr>
              <w:t>ț</w:t>
            </w:r>
            <w:r w:rsidRPr="00DF682A">
              <w:rPr>
                <w:sz w:val="28"/>
                <w:szCs w:val="28"/>
                <w:lang w:val="ro-MO"/>
              </w:rPr>
              <w:t>ionare a vinova</w:t>
            </w:r>
            <w:r w:rsidRPr="00DF682A">
              <w:rPr>
                <w:rFonts w:ascii="Cambria Math" w:hAnsi="Cambria Math" w:cs="Cambria Math"/>
                <w:sz w:val="28"/>
                <w:szCs w:val="28"/>
                <w:lang w:val="ro-MO"/>
              </w:rPr>
              <w:t>ț</w:t>
            </w:r>
            <w:r w:rsidRPr="00DF682A">
              <w:rPr>
                <w:sz w:val="28"/>
                <w:szCs w:val="28"/>
                <w:lang w:val="ro-MO"/>
              </w:rPr>
              <w:t>ilor.</w:t>
            </w:r>
          </w:p>
          <w:p w:rsidR="00110918" w:rsidRPr="00DF682A" w:rsidRDefault="00110918" w:rsidP="008B2107">
            <w:pPr>
              <w:jc w:val="both"/>
              <w:rPr>
                <w:sz w:val="28"/>
                <w:szCs w:val="28"/>
                <w:lang w:val="ro-MO"/>
              </w:rPr>
            </w:pPr>
            <w:r w:rsidRPr="00DF682A">
              <w:rPr>
                <w:sz w:val="28"/>
                <w:szCs w:val="28"/>
                <w:lang w:val="ro-MO"/>
              </w:rPr>
              <w:t xml:space="preserve">Amendamentele propuse în proiect au alt scop   şi anume </w:t>
            </w:r>
            <w:r w:rsidRPr="00DF682A">
              <w:rPr>
                <w:sz w:val="28"/>
                <w:szCs w:val="28"/>
              </w:rPr>
              <w:t xml:space="preserve">împuternicirea Guvernului pentru stabilirea cantităţilor mici, mari şi deosebit de mari </w:t>
            </w:r>
            <w:r w:rsidRPr="00DF682A">
              <w:rPr>
                <w:color w:val="000000"/>
                <w:sz w:val="28"/>
                <w:szCs w:val="28"/>
              </w:rPr>
              <w:t xml:space="preserve">ale substanţelor narcotice, psihotrope şi ale plantelor care conţin astfel de substanţe, </w:t>
            </w:r>
            <w:r w:rsidRPr="00DF682A">
              <w:rPr>
                <w:sz w:val="28"/>
                <w:szCs w:val="28"/>
              </w:rPr>
              <w:t>precum şi excluderea</w:t>
            </w:r>
            <w:r w:rsidRPr="00DF682A">
              <w:rPr>
                <w:b/>
                <w:sz w:val="28"/>
                <w:szCs w:val="28"/>
              </w:rPr>
              <w:t xml:space="preserve"> </w:t>
            </w:r>
            <w:r w:rsidRPr="00DF682A">
              <w:rPr>
                <w:color w:val="000000"/>
                <w:sz w:val="28"/>
                <w:szCs w:val="28"/>
              </w:rPr>
              <w:t>i</w:t>
            </w:r>
            <w:r w:rsidRPr="00DF682A">
              <w:rPr>
                <w:sz w:val="28"/>
                <w:szCs w:val="28"/>
              </w:rPr>
              <w:t xml:space="preserve">mpactului negativ la reducerea consumului şi livrării drogurilor ce se manifestă prin sancţiunile loiale şi </w:t>
            </w:r>
            <w:r w:rsidRPr="00DF682A">
              <w:rPr>
                <w:sz w:val="28"/>
                <w:szCs w:val="28"/>
                <w:lang w:val="ro-MO"/>
              </w:rPr>
              <w:t xml:space="preserve">sporirea securităţii circulaţiei rutiere. Respectiv, proiectul propus nu are tangenţă cu </w:t>
            </w:r>
            <w:r w:rsidRPr="00DF682A">
              <w:rPr>
                <w:sz w:val="28"/>
                <w:szCs w:val="28"/>
                <w:lang w:val="ro-MO"/>
              </w:rPr>
              <w:lastRenderedPageBreak/>
              <w:t>Grupul de lucru prenotat.</w:t>
            </w:r>
          </w:p>
        </w:tc>
      </w:tr>
      <w:tr w:rsidR="00110918" w:rsidRPr="00851E3F" w:rsidTr="008B2107">
        <w:tblPrEx>
          <w:tblCellMar>
            <w:top w:w="0" w:type="dxa"/>
            <w:bottom w:w="0" w:type="dxa"/>
          </w:tblCellMar>
        </w:tblPrEx>
        <w:trPr>
          <w:trHeight w:val="1115"/>
        </w:trPr>
        <w:tc>
          <w:tcPr>
            <w:tcW w:w="2497" w:type="dxa"/>
          </w:tcPr>
          <w:p w:rsidR="00110918" w:rsidRDefault="00110918" w:rsidP="008B2107">
            <w:pP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p>
          <w:p w:rsidR="00110918" w:rsidRDefault="00110918" w:rsidP="008B2107">
            <w:pPr>
              <w:jc w:val="center"/>
              <w:rPr>
                <w:b/>
                <w:sz w:val="28"/>
                <w:szCs w:val="28"/>
              </w:rPr>
            </w:pPr>
            <w:r>
              <w:rPr>
                <w:b/>
                <w:sz w:val="28"/>
                <w:szCs w:val="28"/>
              </w:rPr>
              <w:t>Ministerul Justi</w:t>
            </w:r>
            <w:r>
              <w:rPr>
                <w:rFonts w:ascii="Cambria Math" w:hAnsi="Cambria Math" w:cs="Cambria Math"/>
                <w:b/>
                <w:sz w:val="28"/>
                <w:szCs w:val="28"/>
              </w:rPr>
              <w:t>ț</w:t>
            </w:r>
            <w:r>
              <w:rPr>
                <w:b/>
                <w:sz w:val="28"/>
                <w:szCs w:val="28"/>
              </w:rPr>
              <w:t>iei</w:t>
            </w:r>
          </w:p>
          <w:p w:rsidR="00110918" w:rsidRDefault="00110918" w:rsidP="008B2107">
            <w:pPr>
              <w:jc w:val="center"/>
              <w:rPr>
                <w:i/>
                <w:sz w:val="20"/>
                <w:szCs w:val="20"/>
              </w:rPr>
            </w:pPr>
            <w:r w:rsidRPr="009C7C47">
              <w:rPr>
                <w:i/>
                <w:sz w:val="20"/>
                <w:szCs w:val="20"/>
              </w:rPr>
              <w:t xml:space="preserve">Aviz nr. 03/11274 din </w:t>
            </w:r>
          </w:p>
          <w:p w:rsidR="00110918" w:rsidRPr="009C7C47" w:rsidRDefault="00110918" w:rsidP="008B2107">
            <w:pPr>
              <w:jc w:val="center"/>
              <w:rPr>
                <w:i/>
                <w:sz w:val="20"/>
                <w:szCs w:val="20"/>
              </w:rPr>
            </w:pPr>
            <w:r w:rsidRPr="009C7C47">
              <w:rPr>
                <w:i/>
                <w:sz w:val="20"/>
                <w:szCs w:val="20"/>
              </w:rPr>
              <w:t>25 noiembrie 2014</w:t>
            </w:r>
          </w:p>
        </w:tc>
        <w:tc>
          <w:tcPr>
            <w:tcW w:w="8930" w:type="dxa"/>
          </w:tcPr>
          <w:p w:rsidR="00110918" w:rsidRDefault="00110918" w:rsidP="008B2107">
            <w:pPr>
              <w:pStyle w:val="Style7"/>
              <w:widowControl/>
              <w:spacing w:line="240" w:lineRule="auto"/>
              <w:ind w:firstLine="0"/>
              <w:rPr>
                <w:rStyle w:val="FontStyle21"/>
                <w:sz w:val="28"/>
                <w:szCs w:val="28"/>
                <w:lang w:val="ro-RO" w:eastAsia="ro-RO"/>
              </w:rPr>
            </w:pPr>
            <w:r w:rsidRPr="00DA7457">
              <w:rPr>
                <w:rStyle w:val="FontStyle21"/>
                <w:sz w:val="28"/>
                <w:szCs w:val="28"/>
                <w:lang w:val="ro-RO" w:eastAsia="ro-RO"/>
              </w:rPr>
              <w:t>1.La art. II din proiectul de lege, întrucît Codul contravenţional a fost supus atît modificări</w:t>
            </w:r>
            <w:r w:rsidRPr="00DA7457">
              <w:rPr>
                <w:rStyle w:val="FontStyle21"/>
                <w:sz w:val="28"/>
                <w:szCs w:val="28"/>
                <w:lang w:val="es-ES_tradnl" w:eastAsia="ro-RO"/>
              </w:rPr>
              <w:t xml:space="preserve">lor, </w:t>
            </w:r>
            <w:r w:rsidRPr="00DA7457">
              <w:rPr>
                <w:rStyle w:val="FontStyle21"/>
                <w:sz w:val="28"/>
                <w:szCs w:val="28"/>
                <w:lang w:val="ro-RO" w:eastAsia="ro-RO"/>
              </w:rPr>
              <w:t>cît şi completărilor, dispoziţia articolului se va completa cu cuvintele „şi completările".</w:t>
            </w:r>
          </w:p>
          <w:p w:rsidR="00110918" w:rsidRPr="00DA7457"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r w:rsidRPr="00DA7457">
              <w:rPr>
                <w:rStyle w:val="FontStyle21"/>
                <w:sz w:val="28"/>
                <w:szCs w:val="28"/>
                <w:lang w:val="ro-RO" w:eastAsia="ro-RO"/>
              </w:rPr>
              <w:t>2.</w:t>
            </w:r>
            <w:r w:rsidRPr="00712122">
              <w:rPr>
                <w:sz w:val="28"/>
                <w:szCs w:val="28"/>
                <w:lang w:val="ro-RO" w:eastAsia="ro-RO"/>
              </w:rPr>
              <w:t xml:space="preserve"> </w:t>
            </w:r>
            <w:r w:rsidRPr="00DA7457">
              <w:rPr>
                <w:rStyle w:val="FontStyle21"/>
                <w:sz w:val="28"/>
                <w:szCs w:val="28"/>
                <w:lang w:val="ro-RO" w:eastAsia="ro-RO"/>
              </w:rPr>
              <w:t xml:space="preserve">Referitor la amendarea alin. </w:t>
            </w:r>
            <w:r w:rsidRPr="00DA7457">
              <w:rPr>
                <w:rStyle w:val="FontStyle21"/>
                <w:sz w:val="28"/>
                <w:szCs w:val="28"/>
                <w:lang w:val="es-ES_tradnl" w:eastAsia="ro-RO"/>
              </w:rPr>
              <w:t xml:space="preserve">(1) </w:t>
            </w:r>
            <w:r w:rsidRPr="00DA7457">
              <w:rPr>
                <w:rStyle w:val="FontStyle21"/>
                <w:sz w:val="28"/>
                <w:szCs w:val="28"/>
                <w:lang w:val="ro-RO" w:eastAsia="ro-RO"/>
              </w:rPr>
              <w:t xml:space="preserve">al art. </w:t>
            </w:r>
            <w:r w:rsidRPr="00DA7457">
              <w:rPr>
                <w:rStyle w:val="FontStyle21"/>
                <w:sz w:val="28"/>
                <w:szCs w:val="28"/>
                <w:lang w:val="es-ES_tradnl" w:eastAsia="ro-RO"/>
              </w:rPr>
              <w:t xml:space="preserve">233 </w:t>
            </w:r>
            <w:r w:rsidRPr="00DA7457">
              <w:rPr>
                <w:rStyle w:val="FontStyle21"/>
                <w:sz w:val="28"/>
                <w:szCs w:val="28"/>
                <w:lang w:val="ro-RO" w:eastAsia="ro-RO"/>
              </w:rPr>
              <w:t>din legea contravenţional</w:t>
            </w:r>
            <w:r>
              <w:rPr>
                <w:rStyle w:val="FontStyle21"/>
                <w:sz w:val="28"/>
                <w:szCs w:val="28"/>
                <w:lang w:val="ro-RO" w:eastAsia="ro-RO"/>
              </w:rPr>
              <w:t>ă</w:t>
            </w:r>
            <w:r w:rsidRPr="00DA7457">
              <w:rPr>
                <w:rStyle w:val="FontStyle21"/>
                <w:sz w:val="28"/>
                <w:szCs w:val="28"/>
                <w:lang w:val="ro-RO" w:eastAsia="ro-RO"/>
              </w:rPr>
              <w:t xml:space="preserve"> menţion</w:t>
            </w:r>
            <w:r>
              <w:rPr>
                <w:rStyle w:val="FontStyle21"/>
                <w:sz w:val="28"/>
                <w:szCs w:val="28"/>
                <w:lang w:val="ro-RO" w:eastAsia="ro-RO"/>
              </w:rPr>
              <w:t>ă</w:t>
            </w:r>
            <w:r w:rsidRPr="00DA7457">
              <w:rPr>
                <w:rStyle w:val="FontStyle21"/>
                <w:sz w:val="28"/>
                <w:szCs w:val="28"/>
                <w:lang w:val="ro-RO" w:eastAsia="ro-RO"/>
              </w:rPr>
              <w:t>m că, contrar regulilor tehnicii legislative sintagma propusă nu se integrează armonios în textul legii modificat, fiind lipsită de sens.</w:t>
            </w:r>
          </w:p>
          <w:p w:rsidR="00110918" w:rsidRPr="00E10E09" w:rsidRDefault="00110918" w:rsidP="008B2107">
            <w:pPr>
              <w:pStyle w:val="Style7"/>
              <w:widowControl/>
              <w:spacing w:line="240" w:lineRule="auto"/>
              <w:ind w:firstLine="335"/>
              <w:rPr>
                <w:rStyle w:val="FontStyle21"/>
                <w:sz w:val="28"/>
                <w:szCs w:val="28"/>
                <w:lang w:val="ro-RO" w:eastAsia="ro-RO"/>
              </w:rPr>
            </w:pPr>
            <w:r w:rsidRPr="00DA7457">
              <w:rPr>
                <w:rStyle w:val="FontStyle21"/>
                <w:sz w:val="28"/>
                <w:szCs w:val="28"/>
                <w:lang w:val="ro-RO" w:eastAsia="ro-RO"/>
              </w:rPr>
              <w:t xml:space="preserve">Totodată, prevederile alineatului respectiv se referă doar la componenţa de contravenţie de conducere a vehiculului de către o persoană care se află </w:t>
            </w:r>
            <w:r>
              <w:rPr>
                <w:rStyle w:val="FontStyle21"/>
                <w:sz w:val="28"/>
                <w:szCs w:val="28"/>
                <w:lang w:val="ro-RO" w:eastAsia="ro-RO"/>
              </w:rPr>
              <w:t>î</w:t>
            </w:r>
            <w:r w:rsidRPr="00DA7457">
              <w:rPr>
                <w:rStyle w:val="FontStyle21"/>
                <w:sz w:val="28"/>
                <w:szCs w:val="28"/>
                <w:lang w:val="ro-RO" w:eastAsia="ro-RO"/>
              </w:rPr>
              <w:t xml:space="preserve">n </w:t>
            </w:r>
            <w:r w:rsidRPr="00DA7457">
              <w:rPr>
                <w:rStyle w:val="FontStyle22"/>
                <w:sz w:val="28"/>
                <w:szCs w:val="28"/>
                <w:lang w:val="ro-RO" w:eastAsia="ro-RO"/>
              </w:rPr>
              <w:t xml:space="preserve">stare de ebrietate produsă de alcool, </w:t>
            </w:r>
            <w:r w:rsidRPr="00DA7457">
              <w:rPr>
                <w:rStyle w:val="FontStyle21"/>
                <w:sz w:val="28"/>
                <w:szCs w:val="28"/>
                <w:lang w:val="ro-RO" w:eastAsia="ro-RO"/>
              </w:rPr>
              <w:t xml:space="preserve">ceea ce este reflectat şi în titlul articolului </w:t>
            </w:r>
            <w:r w:rsidRPr="00DA7457">
              <w:rPr>
                <w:rStyle w:val="FontStyle21"/>
                <w:sz w:val="28"/>
                <w:szCs w:val="28"/>
                <w:lang w:val="es-ES_tradnl" w:eastAsia="ro-RO"/>
              </w:rPr>
              <w:t>233.</w:t>
            </w:r>
          </w:p>
          <w:p w:rsidR="00110918" w:rsidRDefault="00110918" w:rsidP="008B2107">
            <w:pPr>
              <w:pStyle w:val="Style7"/>
              <w:widowControl/>
              <w:spacing w:line="240" w:lineRule="auto"/>
              <w:ind w:firstLine="0"/>
              <w:rPr>
                <w:rStyle w:val="FontStyle21"/>
                <w:sz w:val="28"/>
                <w:szCs w:val="28"/>
                <w:lang w:val="es-ES_tradnl" w:eastAsia="ro-RO"/>
              </w:rPr>
            </w:pPr>
          </w:p>
          <w:p w:rsidR="00110918" w:rsidRDefault="00110918" w:rsidP="008B2107">
            <w:pPr>
              <w:pStyle w:val="Style7"/>
              <w:widowControl/>
              <w:spacing w:line="240" w:lineRule="auto"/>
              <w:ind w:firstLine="0"/>
              <w:rPr>
                <w:rStyle w:val="FontStyle21"/>
                <w:sz w:val="28"/>
                <w:szCs w:val="28"/>
                <w:lang w:val="es-ES_tradnl" w:eastAsia="ro-RO"/>
              </w:rPr>
            </w:pPr>
          </w:p>
          <w:p w:rsidR="00110918" w:rsidRDefault="00110918" w:rsidP="008B2107">
            <w:pPr>
              <w:pStyle w:val="Style7"/>
              <w:widowControl/>
              <w:spacing w:line="240" w:lineRule="auto"/>
              <w:ind w:firstLine="0"/>
              <w:rPr>
                <w:rStyle w:val="FontStyle21"/>
                <w:sz w:val="28"/>
                <w:szCs w:val="28"/>
                <w:lang w:val="es-ES_tradnl" w:eastAsia="ro-RO"/>
              </w:rPr>
            </w:pPr>
          </w:p>
          <w:p w:rsidR="00110918" w:rsidRDefault="00110918" w:rsidP="008B2107">
            <w:pPr>
              <w:pStyle w:val="Style7"/>
              <w:widowControl/>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Pr="00DA7457" w:rsidRDefault="00110918" w:rsidP="008B2107">
            <w:pPr>
              <w:pStyle w:val="Style7"/>
              <w:widowControl/>
              <w:tabs>
                <w:tab w:val="left" w:pos="350"/>
              </w:tabs>
              <w:spacing w:line="240" w:lineRule="auto"/>
              <w:ind w:firstLine="0"/>
              <w:rPr>
                <w:rStyle w:val="FontStyle21"/>
                <w:sz w:val="28"/>
                <w:szCs w:val="28"/>
                <w:lang w:val="es-ES_tradnl" w:eastAsia="ro-RO"/>
              </w:rPr>
            </w:pPr>
          </w:p>
          <w:p w:rsidR="00110918" w:rsidRDefault="00110918" w:rsidP="008B2107">
            <w:pPr>
              <w:pStyle w:val="Style7"/>
              <w:widowControl/>
              <w:spacing w:line="240" w:lineRule="auto"/>
              <w:ind w:firstLine="0"/>
              <w:rPr>
                <w:rStyle w:val="FontStyle21"/>
                <w:sz w:val="28"/>
                <w:szCs w:val="28"/>
                <w:lang w:val="ro-RO" w:eastAsia="ro-RO"/>
              </w:rPr>
            </w:pPr>
            <w:r>
              <w:rPr>
                <w:rStyle w:val="FontStyle21"/>
                <w:sz w:val="28"/>
                <w:szCs w:val="28"/>
                <w:lang w:val="es-ES_tradnl" w:eastAsia="ro-RO"/>
              </w:rPr>
              <w:t>3</w:t>
            </w:r>
            <w:r w:rsidRPr="00DA7457">
              <w:rPr>
                <w:rStyle w:val="FontStyle21"/>
                <w:sz w:val="28"/>
                <w:szCs w:val="28"/>
                <w:lang w:val="es-ES_tradnl" w:eastAsia="ro-RO"/>
              </w:rPr>
              <w:t>.</w:t>
            </w:r>
            <w:r w:rsidRPr="00712122">
              <w:rPr>
                <w:sz w:val="28"/>
                <w:szCs w:val="28"/>
                <w:lang w:val="es-ES_tradnl" w:eastAsia="ro-RO"/>
              </w:rPr>
              <w:t xml:space="preserve"> </w:t>
            </w:r>
            <w:r w:rsidRPr="00DA7457">
              <w:rPr>
                <w:rStyle w:val="FontStyle21"/>
                <w:sz w:val="28"/>
                <w:szCs w:val="28"/>
                <w:lang w:val="ro-RO" w:eastAsia="ro-RO"/>
              </w:rPr>
              <w:t xml:space="preserve">Din conţinutul proiectului examinat, nu este clar ce se înţelege prin </w:t>
            </w:r>
            <w:r>
              <w:rPr>
                <w:rStyle w:val="FontStyle21"/>
                <w:sz w:val="28"/>
                <w:szCs w:val="28"/>
                <w:lang w:val="ro-RO" w:eastAsia="ro-RO"/>
              </w:rPr>
              <w:t xml:space="preserve"> </w:t>
            </w:r>
            <w:r w:rsidRPr="00DA7457">
              <w:rPr>
                <w:rStyle w:val="FontStyle22"/>
                <w:sz w:val="28"/>
                <w:szCs w:val="28"/>
                <w:lang w:val="ro-RO" w:eastAsia="ro-RO"/>
              </w:rPr>
              <w:t xml:space="preserve">consecinţele consumului </w:t>
            </w:r>
            <w:r w:rsidRPr="00DA7457">
              <w:rPr>
                <w:rStyle w:val="FontStyle21"/>
                <w:sz w:val="28"/>
                <w:szCs w:val="28"/>
                <w:lang w:val="ro-RO" w:eastAsia="ro-RO"/>
              </w:rPr>
              <w:t>şi dacă, starea de ebrietate narcotică reprezintă sau nu o consecinţă a consumului substanţelor narcotice, psihotrope şi/sau alte substanţe cu efecte similare.</w:t>
            </w: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line="240" w:lineRule="auto"/>
              <w:ind w:firstLine="0"/>
              <w:rPr>
                <w:rStyle w:val="FontStyle21"/>
                <w:sz w:val="28"/>
                <w:szCs w:val="28"/>
                <w:lang w:val="ro-RO" w:eastAsia="ro-RO"/>
              </w:rPr>
            </w:pPr>
          </w:p>
          <w:p w:rsidR="00110918" w:rsidRDefault="00110918" w:rsidP="008B2107">
            <w:pPr>
              <w:pStyle w:val="Style7"/>
              <w:widowControl/>
              <w:spacing w:before="5" w:line="240" w:lineRule="auto"/>
              <w:ind w:firstLine="0"/>
              <w:rPr>
                <w:rStyle w:val="FontStyle21"/>
                <w:sz w:val="28"/>
                <w:szCs w:val="28"/>
                <w:lang w:val="es-ES_tradnl" w:eastAsia="ro-RO"/>
              </w:rPr>
            </w:pPr>
            <w:r>
              <w:rPr>
                <w:rStyle w:val="FontStyle21"/>
                <w:sz w:val="28"/>
                <w:szCs w:val="28"/>
                <w:lang w:val="ro-RO" w:eastAsia="ro-RO"/>
              </w:rPr>
              <w:t xml:space="preserve">5. </w:t>
            </w:r>
            <w:r w:rsidRPr="00DA7457">
              <w:rPr>
                <w:rStyle w:val="FontStyle21"/>
                <w:sz w:val="28"/>
                <w:szCs w:val="28"/>
                <w:lang w:val="ro-RO" w:eastAsia="ro-RO"/>
              </w:rPr>
              <w:t xml:space="preserve">Mai mult, atragem atenţia autorului că, conducerea mijlocului de transport de către o persoană care se află în stare de ebrietate alcoolică cu grad avansat sau </w:t>
            </w:r>
            <w:r w:rsidRPr="00DA7457">
              <w:rPr>
                <w:rStyle w:val="FontStyle22"/>
                <w:sz w:val="28"/>
                <w:szCs w:val="28"/>
                <w:lang w:val="ro-RO" w:eastAsia="ro-RO"/>
              </w:rPr>
              <w:t xml:space="preserve">în stare de ebrietate produsă </w:t>
            </w:r>
            <w:r w:rsidRPr="00DA7457">
              <w:rPr>
                <w:rStyle w:val="FontStyle22"/>
                <w:spacing w:val="-20"/>
                <w:sz w:val="28"/>
                <w:szCs w:val="28"/>
                <w:lang w:val="ro-RO" w:eastAsia="ro-RO"/>
              </w:rPr>
              <w:t>de</w:t>
            </w:r>
            <w:r>
              <w:rPr>
                <w:rStyle w:val="FontStyle22"/>
                <w:spacing w:val="-20"/>
                <w:sz w:val="28"/>
                <w:szCs w:val="28"/>
                <w:lang w:val="ro-RO" w:eastAsia="ro-RO"/>
              </w:rPr>
              <w:t xml:space="preserve"> </w:t>
            </w:r>
            <w:r w:rsidRPr="00DA7457">
              <w:rPr>
                <w:rStyle w:val="FontStyle22"/>
                <w:sz w:val="28"/>
                <w:szCs w:val="28"/>
                <w:lang w:val="ro-RO" w:eastAsia="ro-RO"/>
              </w:rPr>
              <w:t xml:space="preserve">substanţe narcotice, psihotrope şi/sau de alte substanţe cu efecte similare, </w:t>
            </w:r>
            <w:r w:rsidRPr="00DA7457">
              <w:rPr>
                <w:rStyle w:val="FontStyle21"/>
                <w:sz w:val="28"/>
                <w:szCs w:val="28"/>
                <w:lang w:val="ro-RO" w:eastAsia="ro-RO"/>
              </w:rPr>
              <w:t xml:space="preserve">constituie infracţiune, fiind incriminată în Codul penal la art. </w:t>
            </w:r>
            <w:r w:rsidRPr="00DA7457">
              <w:rPr>
                <w:rStyle w:val="FontStyle21"/>
                <w:sz w:val="28"/>
                <w:szCs w:val="28"/>
                <w:lang w:val="es-ES_tradnl" w:eastAsia="ro-RO"/>
              </w:rPr>
              <w:t>264',</w:t>
            </w: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643"/>
              <w:rPr>
                <w:rStyle w:val="FontStyle21"/>
                <w:sz w:val="28"/>
                <w:szCs w:val="28"/>
                <w:lang w:val="es-ES_tradnl" w:eastAsia="ro-RO"/>
              </w:rPr>
            </w:pPr>
          </w:p>
          <w:p w:rsidR="00110918" w:rsidRDefault="00110918" w:rsidP="008B2107">
            <w:pPr>
              <w:pStyle w:val="Style7"/>
              <w:widowControl/>
              <w:spacing w:before="5" w:line="240" w:lineRule="auto"/>
              <w:ind w:firstLine="0"/>
              <w:rPr>
                <w:rStyle w:val="FontStyle21"/>
                <w:sz w:val="28"/>
                <w:szCs w:val="28"/>
                <w:lang w:val="es-ES_tradnl" w:eastAsia="ro-RO"/>
              </w:rPr>
            </w:pPr>
          </w:p>
          <w:p w:rsidR="00110918" w:rsidRDefault="00110918" w:rsidP="008B2107">
            <w:pPr>
              <w:pStyle w:val="Style7"/>
              <w:widowControl/>
              <w:spacing w:before="5" w:line="240" w:lineRule="auto"/>
              <w:ind w:firstLine="0"/>
              <w:rPr>
                <w:rStyle w:val="FontStyle21"/>
                <w:sz w:val="28"/>
                <w:szCs w:val="28"/>
                <w:lang w:val="es-ES_tradnl" w:eastAsia="ro-RO"/>
              </w:rPr>
            </w:pPr>
          </w:p>
          <w:p w:rsidR="00110918" w:rsidRPr="00DA7457" w:rsidRDefault="00110918" w:rsidP="008B2107">
            <w:pPr>
              <w:pStyle w:val="Style7"/>
              <w:widowControl/>
              <w:spacing w:before="5" w:line="240" w:lineRule="auto"/>
              <w:ind w:firstLine="643"/>
              <w:rPr>
                <w:rStyle w:val="FontStyle21"/>
                <w:sz w:val="28"/>
                <w:szCs w:val="28"/>
                <w:lang w:val="es-ES_tradnl" w:eastAsia="ro-RO"/>
              </w:rPr>
            </w:pPr>
          </w:p>
          <w:p w:rsidR="00110918" w:rsidRPr="006E05D9" w:rsidRDefault="00110918" w:rsidP="008B2107">
            <w:pPr>
              <w:pStyle w:val="Style7"/>
              <w:widowControl/>
              <w:spacing w:before="5" w:line="240" w:lineRule="auto"/>
              <w:ind w:firstLine="0"/>
              <w:rPr>
                <w:sz w:val="28"/>
                <w:szCs w:val="28"/>
                <w:lang w:val="ro-RO" w:eastAsia="ro-RO"/>
              </w:rPr>
            </w:pPr>
            <w:r>
              <w:rPr>
                <w:rStyle w:val="FontStyle21"/>
                <w:sz w:val="28"/>
                <w:szCs w:val="28"/>
                <w:lang w:val="es-ES_tradnl" w:eastAsia="ro-RO"/>
              </w:rPr>
              <w:t>6</w:t>
            </w:r>
            <w:r w:rsidRPr="00DA7457">
              <w:rPr>
                <w:rStyle w:val="FontStyle21"/>
                <w:sz w:val="28"/>
                <w:szCs w:val="28"/>
                <w:lang w:val="es-ES_tradnl" w:eastAsia="ro-RO"/>
              </w:rPr>
              <w:t>.</w:t>
            </w:r>
            <w:r w:rsidRPr="00712122">
              <w:rPr>
                <w:lang w:val="es-ES_tradnl" w:eastAsia="ro-RO"/>
              </w:rPr>
              <w:t xml:space="preserve"> </w:t>
            </w:r>
            <w:r w:rsidRPr="00DA7457">
              <w:rPr>
                <w:rStyle w:val="FontStyle21"/>
                <w:sz w:val="28"/>
                <w:szCs w:val="28"/>
                <w:lang w:val="ro-RO" w:eastAsia="ro-RO"/>
              </w:rPr>
              <w:t xml:space="preserve">Referinţa din nota informativă privind constatarea necorespunderii Hotărîrii Guvernului nr. </w:t>
            </w:r>
            <w:r w:rsidRPr="00DA7457">
              <w:rPr>
                <w:rStyle w:val="FontStyle21"/>
                <w:sz w:val="28"/>
                <w:szCs w:val="28"/>
                <w:lang w:val="es-ES_tradnl" w:eastAsia="ro-RO"/>
              </w:rPr>
              <w:t xml:space="preserve">79 </w:t>
            </w:r>
            <w:r w:rsidRPr="00DA7457">
              <w:rPr>
                <w:rStyle w:val="FontStyle21"/>
                <w:sz w:val="28"/>
                <w:szCs w:val="28"/>
                <w:lang w:val="ro-RO" w:eastAsia="ro-RO"/>
              </w:rPr>
              <w:t xml:space="preserve">din </w:t>
            </w:r>
            <w:r w:rsidRPr="00DA7457">
              <w:rPr>
                <w:rStyle w:val="FontStyle21"/>
                <w:sz w:val="28"/>
                <w:szCs w:val="28"/>
                <w:lang w:val="es-ES_tradnl" w:eastAsia="ro-RO"/>
              </w:rPr>
              <w:t xml:space="preserve">23 </w:t>
            </w:r>
            <w:r w:rsidRPr="00DA7457">
              <w:rPr>
                <w:rStyle w:val="FontStyle21"/>
                <w:sz w:val="28"/>
                <w:szCs w:val="28"/>
                <w:lang w:val="ro-RO" w:eastAsia="ro-RO"/>
              </w:rPr>
              <w:t xml:space="preserve">ianuarie </w:t>
            </w:r>
            <w:r w:rsidRPr="00DA7457">
              <w:rPr>
                <w:rStyle w:val="FontStyle21"/>
                <w:sz w:val="28"/>
                <w:szCs w:val="28"/>
                <w:lang w:val="es-ES_tradnl" w:eastAsia="ro-RO"/>
              </w:rPr>
              <w:t xml:space="preserve">2006 </w:t>
            </w:r>
            <w:r w:rsidRPr="00DA7457">
              <w:rPr>
                <w:rStyle w:val="FontStyle21"/>
                <w:sz w:val="28"/>
                <w:szCs w:val="28"/>
                <w:lang w:val="ro-RO" w:eastAsia="ro-RO"/>
              </w:rPr>
              <w:t xml:space="preserve">în partea ce ţine de stabilirea cantităţilor mici, mari şi deosebit de mari ale substanţelor narcotice, psihotrope şi a plantelor care conţin asemenea substanţe cu prevederile constituţionale şi cele ale alin. </w:t>
            </w:r>
            <w:r w:rsidRPr="00DA7457">
              <w:rPr>
                <w:rStyle w:val="FontStyle21"/>
                <w:sz w:val="28"/>
                <w:szCs w:val="28"/>
                <w:lang w:val="es-ES_tradnl" w:eastAsia="ro-RO"/>
              </w:rPr>
              <w:t xml:space="preserve">(4) al </w:t>
            </w:r>
            <w:r w:rsidRPr="00DA7457">
              <w:rPr>
                <w:rStyle w:val="FontStyle21"/>
                <w:sz w:val="28"/>
                <w:szCs w:val="28"/>
                <w:lang w:val="ro-RO" w:eastAsia="ro-RO"/>
              </w:rPr>
              <w:t>art. 134</w:t>
            </w:r>
            <w:r w:rsidRPr="00DA7457">
              <w:rPr>
                <w:rStyle w:val="FontStyle21"/>
                <w:sz w:val="28"/>
                <w:szCs w:val="28"/>
                <w:vertAlign w:val="superscript"/>
                <w:lang w:val="ro-RO" w:eastAsia="ro-RO"/>
              </w:rPr>
              <w:t>1</w:t>
            </w:r>
            <w:r w:rsidRPr="00DA7457">
              <w:rPr>
                <w:rStyle w:val="FontStyle21"/>
                <w:sz w:val="28"/>
                <w:szCs w:val="28"/>
                <w:lang w:val="ro-RO" w:eastAsia="ro-RO"/>
              </w:rPr>
              <w:t xml:space="preserve"> din Codul penal, se va exclude, or această interpretare ar putea ridica unele probleme de legalitate a actelor adoptate în temeiul acestei hotărîri. Prin urmare, propunem </w:t>
            </w:r>
            <w:r w:rsidRPr="00DA7457">
              <w:rPr>
                <w:rStyle w:val="FontStyle21"/>
                <w:sz w:val="28"/>
                <w:szCs w:val="28"/>
                <w:lang w:val="es-ES_tradnl" w:eastAsia="ro-RO"/>
              </w:rPr>
              <w:t>reformu</w:t>
            </w:r>
            <w:r w:rsidRPr="00DA7457">
              <w:rPr>
                <w:rStyle w:val="FontStyle21"/>
                <w:sz w:val="28"/>
                <w:szCs w:val="28"/>
                <w:lang w:val="ro-RO" w:eastAsia="ro-RO"/>
              </w:rPr>
              <w:t xml:space="preserve">larea </w:t>
            </w:r>
            <w:r w:rsidRPr="00DA7457">
              <w:rPr>
                <w:rStyle w:val="FontStyle21"/>
                <w:sz w:val="28"/>
                <w:szCs w:val="28"/>
                <w:lang w:val="ro-RO" w:eastAsia="ro-RO"/>
              </w:rPr>
              <w:lastRenderedPageBreak/>
              <w:t>notei informative sub aspectul indicării doar a competenţei exprese a Guvernului în aprobarea cantităţilor substanţelor narcotice, psihotrope şi a plantelor care conţin asemenea substanţe.</w:t>
            </w:r>
          </w:p>
          <w:p w:rsidR="00110918" w:rsidRDefault="00110918" w:rsidP="008B2107">
            <w:pPr>
              <w:jc w:val="both"/>
              <w:rPr>
                <w:sz w:val="28"/>
                <w:szCs w:val="28"/>
              </w:rPr>
            </w:pPr>
          </w:p>
          <w:p w:rsidR="00110918" w:rsidRDefault="00110918" w:rsidP="008B2107">
            <w:pPr>
              <w:jc w:val="both"/>
              <w:rPr>
                <w:sz w:val="28"/>
                <w:szCs w:val="28"/>
              </w:rPr>
            </w:pPr>
            <w:r>
              <w:rPr>
                <w:sz w:val="28"/>
                <w:szCs w:val="28"/>
              </w:rPr>
              <w:t xml:space="preserve">7. Suplimentar relevăm, că proiectul necesită a fi remis Centrului Naţional Anticorupţie pentru efectuarea expertizei anticorupţie ( a se vedea art. 22 alin. (3) din Legea nr. 780-XV din 27 decembrie 2001 şi pct. 15 din Regulamentul cu privire la organizarea procesului de efectuare a expertizei anticorupţie a proiectelor de acte legislative şi normative, aprobat prin Hotărîrea Guvernului nr. 977 din 23 august 2006). </w:t>
            </w:r>
          </w:p>
        </w:tc>
        <w:tc>
          <w:tcPr>
            <w:tcW w:w="3544" w:type="dxa"/>
          </w:tcPr>
          <w:p w:rsidR="00110918" w:rsidRDefault="00110918" w:rsidP="008B2107">
            <w:pPr>
              <w:jc w:val="both"/>
              <w:rPr>
                <w:sz w:val="28"/>
                <w:szCs w:val="28"/>
                <w:lang w:val="ro-MO"/>
              </w:rPr>
            </w:pPr>
            <w:r>
              <w:rPr>
                <w:sz w:val="28"/>
                <w:szCs w:val="28"/>
                <w:lang w:val="ro-MO"/>
              </w:rPr>
              <w:lastRenderedPageBreak/>
              <w:t xml:space="preserve">1. </w:t>
            </w:r>
            <w:r w:rsidRPr="00B716DF">
              <w:rPr>
                <w:b/>
                <w:sz w:val="28"/>
                <w:szCs w:val="28"/>
                <w:lang w:val="ro-MO"/>
              </w:rPr>
              <w:t xml:space="preserve">Se acceptă </w:t>
            </w:r>
            <w:r>
              <w:rPr>
                <w:sz w:val="28"/>
                <w:szCs w:val="28"/>
                <w:lang w:val="ro-MO"/>
              </w:rPr>
              <w:t>– au fost operate modificările de rigoare.</w:t>
            </w:r>
          </w:p>
          <w:p w:rsidR="00110918" w:rsidRDefault="00110918" w:rsidP="008B2107">
            <w:pPr>
              <w:jc w:val="both"/>
              <w:rPr>
                <w:sz w:val="28"/>
                <w:szCs w:val="28"/>
                <w:lang w:val="ro-MO"/>
              </w:rPr>
            </w:pPr>
          </w:p>
          <w:p w:rsidR="00110918" w:rsidRPr="004A3A77" w:rsidRDefault="00110918" w:rsidP="008B2107">
            <w:pPr>
              <w:ind w:left="45"/>
              <w:jc w:val="both"/>
              <w:rPr>
                <w:sz w:val="28"/>
                <w:szCs w:val="28"/>
                <w:lang w:val="ro-MO"/>
              </w:rPr>
            </w:pPr>
            <w:r>
              <w:rPr>
                <w:sz w:val="28"/>
                <w:szCs w:val="28"/>
                <w:lang w:val="ro-MO"/>
              </w:rPr>
              <w:t xml:space="preserve">2. </w:t>
            </w:r>
            <w:r w:rsidRPr="00B716DF">
              <w:rPr>
                <w:b/>
                <w:sz w:val="28"/>
                <w:szCs w:val="28"/>
                <w:lang w:val="ro-MO"/>
              </w:rPr>
              <w:t>Se acceptă</w:t>
            </w:r>
            <w:r>
              <w:rPr>
                <w:sz w:val="28"/>
                <w:szCs w:val="28"/>
                <w:lang w:val="ro-MO"/>
              </w:rPr>
              <w:t xml:space="preserve"> </w:t>
            </w:r>
            <w:r w:rsidRPr="00850203">
              <w:rPr>
                <w:sz w:val="28"/>
                <w:szCs w:val="28"/>
                <w:lang w:val="ro-MO"/>
              </w:rPr>
              <w:t xml:space="preserve">– </w:t>
            </w:r>
            <w:r w:rsidRPr="004A3A77">
              <w:rPr>
                <w:sz w:val="28"/>
                <w:szCs w:val="28"/>
                <w:lang w:val="ro-MO"/>
              </w:rPr>
              <w:t xml:space="preserve">sintagma </w:t>
            </w:r>
            <w:r w:rsidRPr="004A3A77">
              <w:rPr>
                <w:color w:val="000000"/>
                <w:sz w:val="28"/>
                <w:szCs w:val="28"/>
              </w:rPr>
              <w:t>,,sau consecinţele consumului</w:t>
            </w:r>
            <w:r w:rsidRPr="004A3A77">
              <w:rPr>
                <w:rStyle w:val="apple-converted-space"/>
                <w:color w:val="000000"/>
                <w:sz w:val="28"/>
                <w:szCs w:val="28"/>
              </w:rPr>
              <w:t> </w:t>
            </w:r>
            <w:r w:rsidRPr="004A3A77">
              <w:rPr>
                <w:color w:val="000000"/>
                <w:sz w:val="28"/>
                <w:szCs w:val="28"/>
              </w:rPr>
              <w:t xml:space="preserve">substanţelor narcotice, psihotrope şi/sau alte substanţe cu efecte similare,” se va completa după sintagma ” </w:t>
            </w:r>
            <w:r w:rsidRPr="004A3A77">
              <w:rPr>
                <w:i/>
                <w:color w:val="000000"/>
                <w:sz w:val="28"/>
                <w:szCs w:val="28"/>
                <w:u w:val="single"/>
              </w:rPr>
              <w:t>dacă fapta nu constituie infracţiune</w:t>
            </w:r>
            <w:r w:rsidRPr="004A3A77">
              <w:rPr>
                <w:color w:val="000000"/>
                <w:sz w:val="28"/>
                <w:szCs w:val="28"/>
              </w:rPr>
              <w:t xml:space="preserve">,”, </w:t>
            </w:r>
            <w:r>
              <w:rPr>
                <w:color w:val="000000"/>
                <w:sz w:val="28"/>
                <w:szCs w:val="28"/>
              </w:rPr>
              <w:t>deoarece</w:t>
            </w:r>
            <w:r w:rsidRPr="004A3A77">
              <w:rPr>
                <w:color w:val="000000"/>
                <w:sz w:val="28"/>
                <w:szCs w:val="28"/>
              </w:rPr>
              <w:t xml:space="preserve"> această faptă nu este reglementată de legea penală, respectiv, nu constituie infracţiune. </w:t>
            </w:r>
          </w:p>
          <w:p w:rsidR="00110918" w:rsidRDefault="00110918" w:rsidP="008B2107">
            <w:pPr>
              <w:jc w:val="both"/>
              <w:rPr>
                <w:sz w:val="28"/>
                <w:szCs w:val="28"/>
                <w:lang w:val="ro-MO"/>
              </w:rPr>
            </w:pPr>
            <w:r w:rsidRPr="004A3A77">
              <w:rPr>
                <w:color w:val="000000"/>
                <w:sz w:val="28"/>
                <w:szCs w:val="28"/>
                <w:lang w:val="ro-MO"/>
              </w:rPr>
              <w:t xml:space="preserve">Totodată, </w:t>
            </w:r>
            <w:r w:rsidRPr="004A3A77">
              <w:rPr>
                <w:sz w:val="28"/>
                <w:szCs w:val="28"/>
                <w:lang w:val="ro-MO"/>
              </w:rPr>
              <w:t xml:space="preserve">titlul art. </w:t>
            </w:r>
            <w:smartTag w:uri="urn:schemas-microsoft-com:office:smarttags" w:element="metricconverter">
              <w:smartTagPr>
                <w:attr w:name="ProductID" w:val="233 a"/>
              </w:smartTagPr>
              <w:r w:rsidRPr="004A3A77">
                <w:rPr>
                  <w:sz w:val="28"/>
                  <w:szCs w:val="28"/>
                  <w:lang w:val="ro-MO"/>
                </w:rPr>
                <w:t>233 a</w:t>
              </w:r>
            </w:smartTag>
            <w:r w:rsidRPr="004A3A77">
              <w:rPr>
                <w:sz w:val="28"/>
                <w:szCs w:val="28"/>
                <w:lang w:val="ro-MO"/>
              </w:rPr>
              <w:t xml:space="preserve"> fost completat cu prevederi care să reglementeze şi starea de după</w:t>
            </w:r>
            <w:r>
              <w:rPr>
                <w:sz w:val="28"/>
                <w:szCs w:val="28"/>
                <w:lang w:val="ro-MO"/>
              </w:rPr>
              <w:t xml:space="preserve"> </w:t>
            </w:r>
            <w:r w:rsidRPr="007E7BD4">
              <w:rPr>
                <w:color w:val="000000"/>
                <w:sz w:val="28"/>
                <w:szCs w:val="28"/>
              </w:rPr>
              <w:t>consumul</w:t>
            </w:r>
            <w:r w:rsidRPr="007E7BD4">
              <w:rPr>
                <w:rStyle w:val="apple-converted-space"/>
                <w:color w:val="000000"/>
              </w:rPr>
              <w:t> </w:t>
            </w:r>
            <w:r>
              <w:rPr>
                <w:rStyle w:val="apple-converted-space"/>
                <w:color w:val="000000"/>
              </w:rPr>
              <w:t xml:space="preserve"> </w:t>
            </w:r>
            <w:r w:rsidRPr="007E7BD4">
              <w:rPr>
                <w:color w:val="000000"/>
                <w:sz w:val="28"/>
                <w:szCs w:val="28"/>
              </w:rPr>
              <w:t>substanţelor narcotice, psihotrope şi/sau alte substanţe cu efecte similare</w:t>
            </w:r>
            <w:r w:rsidRPr="009C434C">
              <w:rPr>
                <w:sz w:val="28"/>
                <w:szCs w:val="28"/>
                <w:lang w:val="ro-MO"/>
              </w:rPr>
              <w:t>, adică urmare</w:t>
            </w:r>
            <w:r>
              <w:rPr>
                <w:b/>
                <w:sz w:val="28"/>
                <w:szCs w:val="28"/>
                <w:lang w:val="ro-MO"/>
              </w:rPr>
              <w:t xml:space="preserve"> </w:t>
            </w:r>
            <w:r>
              <w:rPr>
                <w:sz w:val="28"/>
                <w:szCs w:val="28"/>
              </w:rPr>
              <w:t>consumului a astfel de substan</w:t>
            </w:r>
            <w:r>
              <w:rPr>
                <w:rFonts w:ascii="Cambria Math" w:hAnsi="Cambria Math" w:cs="Cambria Math"/>
                <w:sz w:val="28"/>
                <w:szCs w:val="28"/>
              </w:rPr>
              <w:t>ț</w:t>
            </w:r>
            <w:r>
              <w:rPr>
                <w:sz w:val="28"/>
                <w:szCs w:val="28"/>
              </w:rPr>
              <w:t>e</w:t>
            </w:r>
            <w:r>
              <w:rPr>
                <w:color w:val="000000"/>
                <w:sz w:val="28"/>
                <w:szCs w:val="28"/>
              </w:rPr>
              <w:t>.</w:t>
            </w:r>
          </w:p>
          <w:p w:rsidR="00110918" w:rsidRDefault="00110918" w:rsidP="008B2107">
            <w:pPr>
              <w:jc w:val="both"/>
              <w:rPr>
                <w:sz w:val="28"/>
                <w:szCs w:val="28"/>
                <w:lang w:val="ro-MO"/>
              </w:rPr>
            </w:pPr>
          </w:p>
          <w:p w:rsidR="00110918" w:rsidRPr="0068084A" w:rsidRDefault="00110918" w:rsidP="008B2107">
            <w:pPr>
              <w:jc w:val="both"/>
              <w:rPr>
                <w:bCs/>
                <w:color w:val="000000"/>
                <w:sz w:val="28"/>
                <w:szCs w:val="28"/>
                <w:lang w:val="ro-MO"/>
              </w:rPr>
            </w:pPr>
            <w:r>
              <w:rPr>
                <w:sz w:val="28"/>
                <w:szCs w:val="28"/>
                <w:lang w:val="ro-MO"/>
              </w:rPr>
              <w:t xml:space="preserve">3. </w:t>
            </w:r>
            <w:r w:rsidRPr="006467D9">
              <w:rPr>
                <w:b/>
                <w:sz w:val="28"/>
                <w:szCs w:val="28"/>
                <w:lang w:val="ro-MO"/>
              </w:rPr>
              <w:t>Nu se acceptă</w:t>
            </w:r>
            <w:r>
              <w:rPr>
                <w:sz w:val="28"/>
                <w:szCs w:val="28"/>
                <w:lang w:val="ro-MO"/>
              </w:rPr>
              <w:t xml:space="preserve"> - c</w:t>
            </w:r>
            <w:r w:rsidRPr="00A81A61">
              <w:rPr>
                <w:sz w:val="28"/>
                <w:szCs w:val="28"/>
                <w:lang w:val="ro-MO"/>
              </w:rPr>
              <w:t>onform</w:t>
            </w:r>
            <w:r>
              <w:rPr>
                <w:sz w:val="28"/>
                <w:szCs w:val="28"/>
                <w:lang w:val="ro-MO"/>
              </w:rPr>
              <w:t xml:space="preserve"> </w:t>
            </w:r>
            <w:r w:rsidRPr="00A81A61">
              <w:rPr>
                <w:sz w:val="28"/>
                <w:szCs w:val="28"/>
                <w:lang w:val="ro-MO"/>
              </w:rPr>
              <w:t>prevederilor</w:t>
            </w:r>
            <w:r>
              <w:rPr>
                <w:sz w:val="28"/>
                <w:szCs w:val="28"/>
                <w:lang w:val="ro-MO"/>
              </w:rPr>
              <w:t xml:space="preserve"> pct. 25, titlul IV al</w:t>
            </w:r>
            <w:r w:rsidRPr="00A81A61">
              <w:rPr>
                <w:sz w:val="28"/>
                <w:szCs w:val="28"/>
                <w:lang w:val="ro-MO"/>
              </w:rPr>
              <w:t xml:space="preserve"> </w:t>
            </w:r>
            <w:r>
              <w:rPr>
                <w:sz w:val="28"/>
                <w:szCs w:val="28"/>
                <w:lang w:val="ro-MO"/>
              </w:rPr>
              <w:t>R</w:t>
            </w:r>
            <w:r w:rsidRPr="00712122">
              <w:rPr>
                <w:bCs/>
                <w:color w:val="000000"/>
                <w:sz w:val="28"/>
                <w:szCs w:val="28"/>
                <w:lang w:val="ro-MO"/>
              </w:rPr>
              <w:t>egulamentului privind modul de testare </w:t>
            </w:r>
            <w:r>
              <w:rPr>
                <w:bCs/>
                <w:color w:val="000000"/>
                <w:sz w:val="28"/>
                <w:szCs w:val="28"/>
                <w:lang w:val="ro-MO"/>
              </w:rPr>
              <w:t xml:space="preserve"> </w:t>
            </w:r>
            <w:r w:rsidRPr="00712122">
              <w:rPr>
                <w:bCs/>
                <w:color w:val="000000"/>
                <w:sz w:val="28"/>
                <w:szCs w:val="28"/>
                <w:lang w:val="ro-MO"/>
              </w:rPr>
              <w:t>alcoolscopică şi examinare medic</w:t>
            </w:r>
            <w:r>
              <w:rPr>
                <w:bCs/>
                <w:color w:val="000000"/>
                <w:sz w:val="28"/>
                <w:szCs w:val="28"/>
                <w:lang w:val="ro-MO"/>
              </w:rPr>
              <w:t xml:space="preserve">ală pentru stabilirea stării de </w:t>
            </w:r>
            <w:r w:rsidRPr="00712122">
              <w:rPr>
                <w:bCs/>
                <w:color w:val="000000"/>
                <w:sz w:val="28"/>
                <w:szCs w:val="28"/>
                <w:lang w:val="ro-MO"/>
              </w:rPr>
              <w:t xml:space="preserve">ebrietate şi naturii </w:t>
            </w:r>
            <w:r w:rsidRPr="00712122">
              <w:rPr>
                <w:bCs/>
                <w:color w:val="000000"/>
                <w:sz w:val="28"/>
                <w:szCs w:val="28"/>
                <w:lang w:val="ro-MO"/>
              </w:rPr>
              <w:lastRenderedPageBreak/>
              <w:t>ei, aprobat prin Hotărîrea Gu</w:t>
            </w:r>
            <w:r>
              <w:rPr>
                <w:bCs/>
                <w:color w:val="000000"/>
                <w:sz w:val="28"/>
                <w:szCs w:val="28"/>
                <w:lang w:val="ro-MO"/>
              </w:rPr>
              <w:t xml:space="preserve">vernului nr. 296 din 16.04.2009 </w:t>
            </w:r>
            <w:r w:rsidRPr="00712122">
              <w:rPr>
                <w:bCs/>
                <w:color w:val="000000"/>
                <w:sz w:val="28"/>
                <w:szCs w:val="28"/>
                <w:lang w:val="ro-MO"/>
              </w:rPr>
              <w:t>”</w:t>
            </w:r>
            <w:r w:rsidRPr="00A81A61">
              <w:rPr>
                <w:i/>
                <w:color w:val="000000"/>
                <w:sz w:val="28"/>
                <w:szCs w:val="28"/>
              </w:rPr>
              <w:t>consecinţele consumului produselor ori substanţelor stupefiante sau a medicamentelor cu efecte similare acestora</w:t>
            </w:r>
            <w:r w:rsidRPr="00712122">
              <w:rPr>
                <w:bCs/>
                <w:color w:val="000000"/>
                <w:sz w:val="28"/>
                <w:szCs w:val="28"/>
                <w:lang w:val="ro-MO"/>
              </w:rPr>
              <w:t xml:space="preserve">” reprezintă </w:t>
            </w:r>
            <w:r>
              <w:rPr>
                <w:bCs/>
                <w:color w:val="000000"/>
                <w:sz w:val="28"/>
                <w:szCs w:val="28"/>
                <w:u w:val="single"/>
              </w:rPr>
              <w:t>c</w:t>
            </w:r>
            <w:r w:rsidRPr="0068084A">
              <w:rPr>
                <w:bCs/>
                <w:color w:val="000000"/>
                <w:sz w:val="28"/>
                <w:szCs w:val="28"/>
                <w:u w:val="single"/>
              </w:rPr>
              <w:t>oncluzie</w:t>
            </w:r>
            <w:r w:rsidRPr="0068084A">
              <w:rPr>
                <w:bCs/>
                <w:color w:val="000000"/>
                <w:sz w:val="28"/>
                <w:szCs w:val="28"/>
              </w:rPr>
              <w:t xml:space="preserve"> a examinării </w:t>
            </w:r>
            <w:r w:rsidRPr="00A91D3A">
              <w:rPr>
                <w:bCs/>
                <w:color w:val="000000"/>
                <w:sz w:val="28"/>
                <w:szCs w:val="28"/>
              </w:rPr>
              <w:t>medicale pentru stabilirea stării de ebrietate şi naturii ei. Totodată, la</w:t>
            </w:r>
            <w:r>
              <w:rPr>
                <w:bCs/>
                <w:color w:val="000000"/>
                <w:sz w:val="28"/>
                <w:szCs w:val="28"/>
              </w:rPr>
              <w:t xml:space="preserve"> lit. f) şi g)</w:t>
            </w:r>
            <w:r w:rsidRPr="00A91D3A">
              <w:rPr>
                <w:bCs/>
                <w:color w:val="000000"/>
                <w:sz w:val="28"/>
                <w:szCs w:val="28"/>
              </w:rPr>
              <w:t xml:space="preserve"> </w:t>
            </w:r>
            <w:r>
              <w:rPr>
                <w:bCs/>
                <w:color w:val="000000"/>
                <w:sz w:val="28"/>
                <w:szCs w:val="28"/>
              </w:rPr>
              <w:t xml:space="preserve">din </w:t>
            </w:r>
            <w:r w:rsidRPr="00A91D3A">
              <w:rPr>
                <w:bCs/>
                <w:color w:val="000000"/>
                <w:sz w:val="28"/>
                <w:szCs w:val="28"/>
              </w:rPr>
              <w:t xml:space="preserve">punctul prenotat, se face delimitare între </w:t>
            </w:r>
            <w:r w:rsidRPr="00AB4297">
              <w:rPr>
                <w:color w:val="000000"/>
                <w:sz w:val="28"/>
                <w:szCs w:val="28"/>
                <w:u w:val="single"/>
              </w:rPr>
              <w:t>stare de ebrietate</w:t>
            </w:r>
            <w:r w:rsidRPr="00A91D3A">
              <w:rPr>
                <w:color w:val="000000"/>
                <w:sz w:val="28"/>
                <w:szCs w:val="28"/>
              </w:rPr>
              <w:t xml:space="preserve"> provocată de produsele ori substanţele stupefiante sau de medicamente cu efecte similare, ce se stabileşte la depistarea în timpul consumului acestora şi </w:t>
            </w:r>
            <w:r w:rsidRPr="00AB4297">
              <w:rPr>
                <w:color w:val="000000"/>
                <w:sz w:val="28"/>
                <w:szCs w:val="28"/>
                <w:u w:val="single"/>
              </w:rPr>
              <w:t>consecinţele consumului</w:t>
            </w:r>
            <w:r w:rsidRPr="00A91D3A">
              <w:rPr>
                <w:color w:val="000000"/>
                <w:sz w:val="28"/>
                <w:szCs w:val="28"/>
              </w:rPr>
              <w:t xml:space="preserve"> produselor ori substanţelor stupefiante sau a medicamentelor cu efecte similare acestora, </w:t>
            </w:r>
            <w:r>
              <w:rPr>
                <w:color w:val="000000"/>
                <w:sz w:val="28"/>
                <w:szCs w:val="28"/>
              </w:rPr>
              <w:t xml:space="preserve">ce se stabileşte după consumul lor,  calificându-se ca </w:t>
            </w:r>
            <w:r w:rsidRPr="00A91D3A">
              <w:rPr>
                <w:color w:val="000000"/>
                <w:sz w:val="28"/>
                <w:szCs w:val="28"/>
              </w:rPr>
              <w:t>treaz</w:t>
            </w:r>
            <w:r>
              <w:rPr>
                <w:color w:val="000000"/>
                <w:sz w:val="28"/>
                <w:szCs w:val="28"/>
              </w:rPr>
              <w:t>.</w:t>
            </w:r>
          </w:p>
          <w:p w:rsidR="00110918" w:rsidRPr="00712122" w:rsidRDefault="00110918" w:rsidP="008B2107">
            <w:pPr>
              <w:jc w:val="both"/>
              <w:rPr>
                <w:bCs/>
                <w:color w:val="000000"/>
                <w:sz w:val="28"/>
                <w:szCs w:val="28"/>
                <w:lang w:val="ro-MO"/>
              </w:rPr>
            </w:pPr>
          </w:p>
          <w:p w:rsidR="00110918" w:rsidRPr="00712122" w:rsidRDefault="00110918" w:rsidP="008B2107">
            <w:pPr>
              <w:ind w:left="34"/>
              <w:jc w:val="both"/>
              <w:rPr>
                <w:sz w:val="28"/>
                <w:szCs w:val="28"/>
              </w:rPr>
            </w:pPr>
            <w:r w:rsidRPr="00712122">
              <w:rPr>
                <w:sz w:val="28"/>
                <w:szCs w:val="28"/>
                <w:lang w:val="ro-MO"/>
              </w:rPr>
              <w:t>5.</w:t>
            </w:r>
            <w:r>
              <w:rPr>
                <w:sz w:val="28"/>
                <w:szCs w:val="28"/>
                <w:lang w:val="ro-MO"/>
              </w:rPr>
              <w:t xml:space="preserve"> </w:t>
            </w:r>
            <w:r w:rsidRPr="00A92903">
              <w:rPr>
                <w:b/>
                <w:sz w:val="28"/>
                <w:szCs w:val="28"/>
                <w:lang w:val="ro-MO"/>
              </w:rPr>
              <w:t>Nu se acceptă</w:t>
            </w:r>
            <w:r>
              <w:rPr>
                <w:sz w:val="28"/>
                <w:szCs w:val="28"/>
                <w:lang w:val="ro-MO"/>
              </w:rPr>
              <w:t xml:space="preserve"> - </w:t>
            </w:r>
            <w:r w:rsidRPr="00712122">
              <w:rPr>
                <w:sz w:val="28"/>
                <w:szCs w:val="28"/>
                <w:lang w:val="ro-MO"/>
              </w:rPr>
              <w:t>Infrac</w:t>
            </w:r>
            <w:r w:rsidRPr="00712122">
              <w:rPr>
                <w:rFonts w:ascii="Cambria Math" w:hAnsi="Cambria Math" w:cs="Cambria Math"/>
                <w:sz w:val="28"/>
                <w:szCs w:val="28"/>
                <w:lang w:val="ro-MO"/>
              </w:rPr>
              <w:t>ț</w:t>
            </w:r>
            <w:r w:rsidRPr="00712122">
              <w:rPr>
                <w:sz w:val="28"/>
                <w:szCs w:val="28"/>
                <w:lang w:val="ro-MO"/>
              </w:rPr>
              <w:t>iun</w:t>
            </w:r>
            <w:r>
              <w:rPr>
                <w:sz w:val="28"/>
                <w:szCs w:val="28"/>
                <w:lang w:val="ro-MO"/>
              </w:rPr>
              <w:t>e</w:t>
            </w:r>
            <w:r w:rsidRPr="00712122">
              <w:rPr>
                <w:sz w:val="28"/>
                <w:szCs w:val="28"/>
                <w:lang w:val="ro-MO"/>
              </w:rPr>
              <w:t>a incriminată conform art. 264</w:t>
            </w:r>
            <w:r w:rsidRPr="00712122">
              <w:rPr>
                <w:sz w:val="28"/>
                <w:szCs w:val="28"/>
                <w:vertAlign w:val="superscript"/>
                <w:lang w:val="ro-MO"/>
              </w:rPr>
              <w:t>1</w:t>
            </w:r>
            <w:r>
              <w:rPr>
                <w:sz w:val="28"/>
                <w:szCs w:val="28"/>
                <w:lang w:val="ro-MO"/>
              </w:rPr>
              <w:t xml:space="preserve"> Cod p</w:t>
            </w:r>
            <w:r w:rsidRPr="00712122">
              <w:rPr>
                <w:sz w:val="28"/>
                <w:szCs w:val="28"/>
                <w:lang w:val="ro-MO"/>
              </w:rPr>
              <w:t xml:space="preserve">enal, survine în urma emiterii de către </w:t>
            </w:r>
            <w:r w:rsidRPr="004E7333">
              <w:rPr>
                <w:color w:val="000000"/>
                <w:sz w:val="28"/>
                <w:szCs w:val="28"/>
              </w:rPr>
              <w:t xml:space="preserve">specialiştii instituţiei </w:t>
            </w:r>
            <w:r w:rsidRPr="004E7333">
              <w:rPr>
                <w:color w:val="000000"/>
                <w:sz w:val="28"/>
                <w:szCs w:val="28"/>
              </w:rPr>
              <w:lastRenderedPageBreak/>
              <w:t>medico-sanitare publice Dispensarul Republican de Narcologie</w:t>
            </w:r>
            <w:r>
              <w:rPr>
                <w:color w:val="000000"/>
                <w:sz w:val="28"/>
                <w:szCs w:val="28"/>
              </w:rPr>
              <w:t xml:space="preserve"> a concluziei ”</w:t>
            </w:r>
            <w:r w:rsidRPr="004E7333">
              <w:rPr>
                <w:b/>
                <w:color w:val="000000"/>
                <w:sz w:val="28"/>
                <w:szCs w:val="28"/>
              </w:rPr>
              <w:t>stare de ebrietate</w:t>
            </w:r>
            <w:r>
              <w:rPr>
                <w:b/>
                <w:color w:val="000000"/>
                <w:sz w:val="28"/>
                <w:szCs w:val="28"/>
              </w:rPr>
              <w:t xml:space="preserve">”, </w:t>
            </w:r>
            <w:r w:rsidRPr="00104F7D">
              <w:rPr>
                <w:color w:val="000000"/>
                <w:sz w:val="28"/>
                <w:szCs w:val="28"/>
              </w:rPr>
              <w:t>însă în proiect se înaintează sanc</w:t>
            </w:r>
            <w:r w:rsidRPr="00104F7D">
              <w:rPr>
                <w:rFonts w:ascii="Cambria Math" w:hAnsi="Cambria Math" w:cs="Cambria Math"/>
                <w:color w:val="000000"/>
                <w:sz w:val="28"/>
                <w:szCs w:val="28"/>
              </w:rPr>
              <w:t>ț</w:t>
            </w:r>
            <w:r w:rsidRPr="00104F7D">
              <w:rPr>
                <w:color w:val="000000"/>
                <w:sz w:val="28"/>
                <w:szCs w:val="28"/>
              </w:rPr>
              <w:t>ionarea concluziei medicale sub formă de</w:t>
            </w:r>
            <w:r>
              <w:rPr>
                <w:b/>
                <w:color w:val="000000"/>
                <w:sz w:val="28"/>
                <w:szCs w:val="28"/>
              </w:rPr>
              <w:t xml:space="preserve"> ”Consecinţe a consumului de droguri”. </w:t>
            </w:r>
            <w:r w:rsidRPr="00104F7D">
              <w:rPr>
                <w:color w:val="000000"/>
                <w:sz w:val="28"/>
                <w:szCs w:val="28"/>
              </w:rPr>
              <w:t>De</w:t>
            </w:r>
            <w:r>
              <w:rPr>
                <w:color w:val="000000"/>
                <w:sz w:val="28"/>
                <w:szCs w:val="28"/>
              </w:rPr>
              <w:t xml:space="preserve"> </w:t>
            </w:r>
            <w:r w:rsidRPr="00104F7D">
              <w:rPr>
                <w:color w:val="000000"/>
                <w:sz w:val="28"/>
                <w:szCs w:val="28"/>
              </w:rPr>
              <w:t xml:space="preserve">asemenea, este de remarcat faptul că, </w:t>
            </w:r>
            <w:r w:rsidRPr="00034F63">
              <w:rPr>
                <w:i/>
                <w:color w:val="000000"/>
                <w:sz w:val="28"/>
                <w:szCs w:val="28"/>
              </w:rPr>
              <w:t>starea de ebrietate</w:t>
            </w:r>
            <w:r w:rsidRPr="00104F7D">
              <w:rPr>
                <w:color w:val="000000"/>
                <w:sz w:val="28"/>
                <w:szCs w:val="28"/>
              </w:rPr>
              <w:t xml:space="preserve"> produsă de substan</w:t>
            </w:r>
            <w:r w:rsidRPr="00104F7D">
              <w:rPr>
                <w:rFonts w:ascii="Cambria Math" w:hAnsi="Cambria Math" w:cs="Cambria Math"/>
                <w:color w:val="000000"/>
                <w:sz w:val="28"/>
                <w:szCs w:val="28"/>
              </w:rPr>
              <w:t>ț</w:t>
            </w:r>
            <w:r w:rsidRPr="00104F7D">
              <w:rPr>
                <w:color w:val="000000"/>
                <w:sz w:val="28"/>
                <w:szCs w:val="28"/>
              </w:rPr>
              <w:t xml:space="preserve">e narcotice, psihotrope </w:t>
            </w:r>
            <w:r w:rsidRPr="00104F7D">
              <w:rPr>
                <w:rFonts w:ascii="Cambria Math" w:hAnsi="Cambria Math" w:cs="Cambria Math"/>
                <w:color w:val="000000"/>
                <w:sz w:val="28"/>
                <w:szCs w:val="28"/>
              </w:rPr>
              <w:t>ș</w:t>
            </w:r>
            <w:r w:rsidRPr="00104F7D">
              <w:rPr>
                <w:color w:val="000000"/>
                <w:sz w:val="28"/>
                <w:szCs w:val="28"/>
              </w:rPr>
              <w:t>i/sau de alte substan</w:t>
            </w:r>
            <w:r w:rsidRPr="00104F7D">
              <w:rPr>
                <w:rFonts w:ascii="Cambria Math" w:hAnsi="Cambria Math" w:cs="Cambria Math"/>
                <w:color w:val="000000"/>
                <w:sz w:val="28"/>
                <w:szCs w:val="28"/>
              </w:rPr>
              <w:t>ț</w:t>
            </w:r>
            <w:r w:rsidRPr="00104F7D">
              <w:rPr>
                <w:color w:val="000000"/>
                <w:sz w:val="28"/>
                <w:szCs w:val="28"/>
              </w:rPr>
              <w:t>e cu efecte similare,</w:t>
            </w:r>
            <w:r>
              <w:rPr>
                <w:color w:val="000000"/>
                <w:sz w:val="28"/>
                <w:szCs w:val="28"/>
              </w:rPr>
              <w:t xml:space="preserve"> conform legisla</w:t>
            </w:r>
            <w:r>
              <w:rPr>
                <w:rFonts w:ascii="Cambria Math" w:hAnsi="Cambria Math" w:cs="Cambria Math"/>
                <w:color w:val="000000"/>
                <w:sz w:val="28"/>
                <w:szCs w:val="28"/>
              </w:rPr>
              <w:t>ț</w:t>
            </w:r>
            <w:r>
              <w:rPr>
                <w:color w:val="000000"/>
                <w:sz w:val="28"/>
                <w:szCs w:val="28"/>
              </w:rPr>
              <w:t>iei în vigoare este sanc</w:t>
            </w:r>
            <w:r>
              <w:rPr>
                <w:rFonts w:ascii="Cambria Math" w:hAnsi="Cambria Math" w:cs="Cambria Math"/>
                <w:color w:val="000000"/>
                <w:sz w:val="28"/>
                <w:szCs w:val="28"/>
              </w:rPr>
              <w:t>ț</w:t>
            </w:r>
            <w:r>
              <w:rPr>
                <w:color w:val="000000"/>
                <w:sz w:val="28"/>
                <w:szCs w:val="28"/>
              </w:rPr>
              <w:t xml:space="preserve">ionată exclusiv doar în baza Codului penal </w:t>
            </w:r>
            <w:r>
              <w:rPr>
                <w:rFonts w:ascii="Cambria Math" w:hAnsi="Cambria Math" w:cs="Cambria Math"/>
                <w:color w:val="000000"/>
                <w:sz w:val="28"/>
                <w:szCs w:val="28"/>
              </w:rPr>
              <w:t>ș</w:t>
            </w:r>
            <w:r>
              <w:rPr>
                <w:color w:val="000000"/>
                <w:sz w:val="28"/>
                <w:szCs w:val="28"/>
              </w:rPr>
              <w:t xml:space="preserve">i prin urmare </w:t>
            </w:r>
            <w:r>
              <w:rPr>
                <w:rFonts w:ascii="Cambria Math" w:hAnsi="Cambria Math" w:cs="Cambria Math"/>
                <w:color w:val="000000"/>
                <w:sz w:val="28"/>
                <w:szCs w:val="28"/>
              </w:rPr>
              <w:t>ț</w:t>
            </w:r>
            <w:r>
              <w:rPr>
                <w:color w:val="000000"/>
                <w:sz w:val="28"/>
                <w:szCs w:val="28"/>
              </w:rPr>
              <w:t>inînd cont de pericolul social sporit al consumului de droguri, consecin</w:t>
            </w:r>
            <w:r>
              <w:rPr>
                <w:rFonts w:ascii="Cambria Math" w:hAnsi="Cambria Math" w:cs="Cambria Math"/>
                <w:color w:val="000000"/>
                <w:sz w:val="28"/>
                <w:szCs w:val="28"/>
              </w:rPr>
              <w:t>ț</w:t>
            </w:r>
            <w:r>
              <w:rPr>
                <w:color w:val="000000"/>
                <w:sz w:val="28"/>
                <w:szCs w:val="28"/>
              </w:rPr>
              <w:t>ele consumului substan</w:t>
            </w:r>
            <w:r>
              <w:rPr>
                <w:rFonts w:ascii="Cambria Math" w:hAnsi="Cambria Math" w:cs="Cambria Math"/>
                <w:color w:val="000000"/>
                <w:sz w:val="28"/>
                <w:szCs w:val="28"/>
              </w:rPr>
              <w:t>ț</w:t>
            </w:r>
            <w:r>
              <w:rPr>
                <w:color w:val="000000"/>
                <w:sz w:val="28"/>
                <w:szCs w:val="28"/>
              </w:rPr>
              <w:t>elor indicate urmează a fi sanc</w:t>
            </w:r>
            <w:r>
              <w:rPr>
                <w:rFonts w:ascii="Cambria Math" w:hAnsi="Cambria Math" w:cs="Cambria Math"/>
                <w:color w:val="000000"/>
                <w:sz w:val="28"/>
                <w:szCs w:val="28"/>
              </w:rPr>
              <w:t>ț</w:t>
            </w:r>
            <w:r>
              <w:rPr>
                <w:color w:val="000000"/>
                <w:sz w:val="28"/>
                <w:szCs w:val="28"/>
              </w:rPr>
              <w:t>ionat contraven</w:t>
            </w:r>
            <w:r>
              <w:rPr>
                <w:rFonts w:ascii="Cambria Math" w:hAnsi="Cambria Math" w:cs="Cambria Math"/>
                <w:color w:val="000000"/>
                <w:sz w:val="28"/>
                <w:szCs w:val="28"/>
              </w:rPr>
              <w:t>ț</w:t>
            </w:r>
            <w:r>
              <w:rPr>
                <w:color w:val="000000"/>
                <w:sz w:val="28"/>
                <w:szCs w:val="28"/>
              </w:rPr>
              <w:t>ional.</w:t>
            </w:r>
          </w:p>
          <w:p w:rsidR="00110918" w:rsidRPr="00712122" w:rsidRDefault="00110918" w:rsidP="008B2107">
            <w:pPr>
              <w:jc w:val="both"/>
              <w:rPr>
                <w:sz w:val="28"/>
                <w:szCs w:val="28"/>
              </w:rPr>
            </w:pPr>
          </w:p>
          <w:p w:rsidR="00110918" w:rsidRDefault="00110918" w:rsidP="008B2107">
            <w:pPr>
              <w:jc w:val="both"/>
              <w:rPr>
                <w:sz w:val="28"/>
                <w:szCs w:val="28"/>
                <w:lang w:val="ro-MO"/>
              </w:rPr>
            </w:pPr>
            <w:r w:rsidRPr="008317F9">
              <w:rPr>
                <w:sz w:val="28"/>
                <w:szCs w:val="28"/>
              </w:rPr>
              <w:t xml:space="preserve">6. </w:t>
            </w:r>
            <w:r w:rsidRPr="008317F9">
              <w:rPr>
                <w:b/>
                <w:sz w:val="28"/>
                <w:szCs w:val="28"/>
              </w:rPr>
              <w:t>Se acceptă</w:t>
            </w:r>
            <w:r w:rsidRPr="008317F9">
              <w:rPr>
                <w:sz w:val="28"/>
                <w:szCs w:val="28"/>
              </w:rPr>
              <w:t xml:space="preserve"> - </w:t>
            </w:r>
            <w:r>
              <w:rPr>
                <w:sz w:val="28"/>
                <w:szCs w:val="28"/>
                <w:lang w:val="ro-MO"/>
              </w:rPr>
              <w:t>au fost operate modificările de rigoare.</w:t>
            </w: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Pr="008317F9" w:rsidRDefault="00110918" w:rsidP="008B2107">
            <w:pPr>
              <w:jc w:val="both"/>
              <w:rPr>
                <w:sz w:val="28"/>
                <w:szCs w:val="28"/>
              </w:rPr>
            </w:pPr>
          </w:p>
          <w:p w:rsidR="00110918" w:rsidRDefault="00110918" w:rsidP="008B2107">
            <w:pPr>
              <w:jc w:val="both"/>
              <w:rPr>
                <w:b/>
                <w:sz w:val="28"/>
                <w:szCs w:val="28"/>
              </w:rPr>
            </w:pPr>
          </w:p>
          <w:p w:rsidR="00110918" w:rsidRDefault="00110918" w:rsidP="008B2107">
            <w:pPr>
              <w:jc w:val="both"/>
              <w:rPr>
                <w:sz w:val="28"/>
                <w:szCs w:val="28"/>
              </w:rPr>
            </w:pPr>
            <w:r w:rsidRPr="008317F9">
              <w:rPr>
                <w:b/>
                <w:sz w:val="28"/>
                <w:szCs w:val="28"/>
              </w:rPr>
              <w:t>Se acceptă</w:t>
            </w:r>
            <w:r w:rsidRPr="008317F9">
              <w:rPr>
                <w:sz w:val="28"/>
                <w:szCs w:val="28"/>
              </w:rPr>
              <w:t xml:space="preserve"> – proiectul a fost supus expertizei anticorupţie în conformitate cu legislaţia </w:t>
            </w:r>
          </w:p>
          <w:p w:rsidR="00110918" w:rsidRPr="008317F9" w:rsidRDefault="00110918" w:rsidP="008B2107">
            <w:pPr>
              <w:jc w:val="both"/>
              <w:rPr>
                <w:sz w:val="28"/>
                <w:szCs w:val="28"/>
              </w:rPr>
            </w:pPr>
            <w:r w:rsidRPr="008317F9">
              <w:rPr>
                <w:sz w:val="28"/>
                <w:szCs w:val="28"/>
              </w:rPr>
              <w:t>în vigoare.</w:t>
            </w:r>
          </w:p>
        </w:tc>
      </w:tr>
      <w:tr w:rsidR="00110918" w:rsidRPr="00851E3F" w:rsidTr="008B2107">
        <w:tblPrEx>
          <w:tblCellMar>
            <w:top w:w="0" w:type="dxa"/>
            <w:bottom w:w="0" w:type="dxa"/>
          </w:tblCellMar>
        </w:tblPrEx>
        <w:trPr>
          <w:trHeight w:val="1115"/>
        </w:trPr>
        <w:tc>
          <w:tcPr>
            <w:tcW w:w="2497" w:type="dxa"/>
          </w:tcPr>
          <w:p w:rsidR="00110918" w:rsidRDefault="00110918" w:rsidP="008B2107">
            <w:pPr>
              <w:jc w:val="center"/>
              <w:rPr>
                <w:b/>
                <w:sz w:val="28"/>
                <w:szCs w:val="28"/>
                <w:lang w:val="ro-MO"/>
              </w:rPr>
            </w:pPr>
            <w:r>
              <w:rPr>
                <w:b/>
                <w:sz w:val="28"/>
                <w:szCs w:val="28"/>
                <w:lang w:val="ro-MO"/>
              </w:rPr>
              <w:lastRenderedPageBreak/>
              <w:t>Ministerul Sănătăţii</w:t>
            </w:r>
          </w:p>
          <w:p w:rsidR="00110918" w:rsidRDefault="00110918" w:rsidP="008B2107">
            <w:pPr>
              <w:jc w:val="center"/>
              <w:rPr>
                <w:i/>
                <w:sz w:val="20"/>
                <w:szCs w:val="20"/>
              </w:rPr>
            </w:pPr>
            <w:r w:rsidRPr="009C7C47">
              <w:rPr>
                <w:i/>
                <w:sz w:val="20"/>
                <w:szCs w:val="20"/>
              </w:rPr>
              <w:t xml:space="preserve">Aviz nr. </w:t>
            </w:r>
            <w:r>
              <w:rPr>
                <w:i/>
                <w:sz w:val="20"/>
                <w:szCs w:val="20"/>
              </w:rPr>
              <w:t>01-9/819</w:t>
            </w:r>
            <w:r w:rsidRPr="009C7C47">
              <w:rPr>
                <w:i/>
                <w:sz w:val="20"/>
                <w:szCs w:val="20"/>
              </w:rPr>
              <w:t xml:space="preserve"> din </w:t>
            </w:r>
          </w:p>
          <w:p w:rsidR="00110918" w:rsidRPr="003F7657" w:rsidRDefault="00110918" w:rsidP="008B2107">
            <w:pPr>
              <w:jc w:val="center"/>
              <w:rPr>
                <w:b/>
                <w:sz w:val="28"/>
                <w:szCs w:val="28"/>
                <w:lang w:val="ro-MO"/>
              </w:rPr>
            </w:pPr>
            <w:r>
              <w:rPr>
                <w:i/>
                <w:sz w:val="20"/>
                <w:szCs w:val="20"/>
              </w:rPr>
              <w:t>15 mai 2014</w:t>
            </w:r>
          </w:p>
        </w:tc>
        <w:tc>
          <w:tcPr>
            <w:tcW w:w="8930" w:type="dxa"/>
          </w:tcPr>
          <w:p w:rsidR="00110918" w:rsidRDefault="00110918" w:rsidP="008B2107">
            <w:pPr>
              <w:tabs>
                <w:tab w:val="left" w:pos="450"/>
              </w:tabs>
              <w:jc w:val="center"/>
              <w:rPr>
                <w:sz w:val="28"/>
                <w:szCs w:val="28"/>
                <w:lang w:val="it-IT"/>
              </w:rPr>
            </w:pPr>
          </w:p>
          <w:p w:rsidR="00110918" w:rsidRPr="003F7657" w:rsidRDefault="00110918" w:rsidP="008B2107">
            <w:pPr>
              <w:tabs>
                <w:tab w:val="left" w:pos="450"/>
              </w:tabs>
              <w:jc w:val="center"/>
              <w:rPr>
                <w:sz w:val="28"/>
                <w:szCs w:val="28"/>
                <w:lang w:val="it-IT"/>
              </w:rPr>
            </w:pPr>
            <w:r>
              <w:rPr>
                <w:sz w:val="28"/>
                <w:szCs w:val="28"/>
                <w:lang w:val="it-IT"/>
              </w:rPr>
              <w:t>Obiecţii şi propuneri nu sunt.</w:t>
            </w:r>
          </w:p>
        </w:tc>
        <w:tc>
          <w:tcPr>
            <w:tcW w:w="3544" w:type="dxa"/>
          </w:tcPr>
          <w:p w:rsidR="00110918" w:rsidRPr="003F7657" w:rsidRDefault="00110918" w:rsidP="008B2107">
            <w:pPr>
              <w:rPr>
                <w:lang w:val="it-IT"/>
              </w:rPr>
            </w:pPr>
          </w:p>
        </w:tc>
      </w:tr>
      <w:tr w:rsidR="00110918" w:rsidRPr="00851E3F" w:rsidTr="008B2107">
        <w:tblPrEx>
          <w:tblCellMar>
            <w:top w:w="0" w:type="dxa"/>
            <w:bottom w:w="0" w:type="dxa"/>
          </w:tblCellMar>
        </w:tblPrEx>
        <w:trPr>
          <w:trHeight w:val="1115"/>
        </w:trPr>
        <w:tc>
          <w:tcPr>
            <w:tcW w:w="2497" w:type="dxa"/>
          </w:tcPr>
          <w:p w:rsidR="00110918" w:rsidRDefault="00110918" w:rsidP="008B2107">
            <w:pPr>
              <w:jc w:val="center"/>
              <w:rPr>
                <w:b/>
                <w:sz w:val="28"/>
                <w:szCs w:val="28"/>
                <w:lang w:val="ro-MO"/>
              </w:rPr>
            </w:pPr>
            <w:r>
              <w:rPr>
                <w:b/>
                <w:sz w:val="28"/>
                <w:szCs w:val="28"/>
                <w:lang w:val="ro-MO"/>
              </w:rPr>
              <w:t>Ministerul Transporturilor şi Infrastructurii Drumurilor</w:t>
            </w:r>
          </w:p>
          <w:p w:rsidR="00110918" w:rsidRDefault="00110918" w:rsidP="008B2107">
            <w:pPr>
              <w:jc w:val="center"/>
              <w:rPr>
                <w:i/>
                <w:sz w:val="20"/>
                <w:szCs w:val="20"/>
              </w:rPr>
            </w:pPr>
            <w:r w:rsidRPr="009C7C47">
              <w:rPr>
                <w:i/>
                <w:sz w:val="20"/>
                <w:szCs w:val="20"/>
              </w:rPr>
              <w:t xml:space="preserve">Aviz nr. </w:t>
            </w:r>
            <w:r>
              <w:rPr>
                <w:i/>
                <w:sz w:val="20"/>
                <w:szCs w:val="20"/>
              </w:rPr>
              <w:t>07-03/376</w:t>
            </w:r>
            <w:r w:rsidRPr="009C7C47">
              <w:rPr>
                <w:i/>
                <w:sz w:val="20"/>
                <w:szCs w:val="20"/>
              </w:rPr>
              <w:t xml:space="preserve"> din </w:t>
            </w:r>
          </w:p>
          <w:p w:rsidR="00110918" w:rsidRPr="00851E3F" w:rsidRDefault="00110918" w:rsidP="008B2107">
            <w:pPr>
              <w:jc w:val="center"/>
              <w:rPr>
                <w:b/>
                <w:sz w:val="28"/>
                <w:szCs w:val="28"/>
                <w:lang w:val="ro-MO"/>
              </w:rPr>
            </w:pPr>
            <w:r>
              <w:rPr>
                <w:i/>
                <w:sz w:val="20"/>
                <w:szCs w:val="20"/>
              </w:rPr>
              <w:t>26 mai 2014</w:t>
            </w:r>
          </w:p>
        </w:tc>
        <w:tc>
          <w:tcPr>
            <w:tcW w:w="8930" w:type="dxa"/>
          </w:tcPr>
          <w:p w:rsidR="00110918" w:rsidRDefault="00110918" w:rsidP="008B2107">
            <w:pPr>
              <w:jc w:val="center"/>
              <w:rPr>
                <w:sz w:val="28"/>
                <w:szCs w:val="28"/>
              </w:rPr>
            </w:pPr>
          </w:p>
          <w:p w:rsidR="00110918" w:rsidRDefault="00110918" w:rsidP="008B2107">
            <w:pPr>
              <w:jc w:val="center"/>
              <w:rPr>
                <w:sz w:val="28"/>
                <w:szCs w:val="28"/>
              </w:rPr>
            </w:pPr>
          </w:p>
          <w:p w:rsidR="00110918" w:rsidRPr="00851E3F" w:rsidRDefault="00110918" w:rsidP="008B2107">
            <w:pPr>
              <w:jc w:val="center"/>
              <w:rPr>
                <w:sz w:val="28"/>
                <w:szCs w:val="28"/>
              </w:rPr>
            </w:pPr>
            <w:r>
              <w:rPr>
                <w:sz w:val="28"/>
                <w:szCs w:val="28"/>
              </w:rPr>
              <w:t>Obiecţii şi propuneri nu sunt.</w:t>
            </w:r>
          </w:p>
        </w:tc>
        <w:tc>
          <w:tcPr>
            <w:tcW w:w="3544" w:type="dxa"/>
          </w:tcPr>
          <w:p w:rsidR="00110918" w:rsidRPr="00851E3F" w:rsidRDefault="00110918" w:rsidP="008B2107">
            <w:pPr>
              <w:jc w:val="both"/>
              <w:rPr>
                <w:sz w:val="28"/>
                <w:szCs w:val="28"/>
                <w:lang w:val="ro-MO"/>
              </w:rPr>
            </w:pPr>
          </w:p>
        </w:tc>
      </w:tr>
      <w:tr w:rsidR="00110918" w:rsidRPr="00851E3F" w:rsidTr="008B2107">
        <w:tblPrEx>
          <w:tblCellMar>
            <w:top w:w="0" w:type="dxa"/>
            <w:bottom w:w="0" w:type="dxa"/>
          </w:tblCellMar>
        </w:tblPrEx>
        <w:trPr>
          <w:trHeight w:val="1115"/>
        </w:trPr>
        <w:tc>
          <w:tcPr>
            <w:tcW w:w="2497" w:type="dxa"/>
          </w:tcPr>
          <w:p w:rsidR="00110918" w:rsidRDefault="00110918" w:rsidP="008B2107">
            <w:pPr>
              <w:jc w:val="center"/>
              <w:rPr>
                <w:b/>
                <w:sz w:val="28"/>
                <w:szCs w:val="28"/>
              </w:rPr>
            </w:pPr>
            <w:r>
              <w:rPr>
                <w:b/>
                <w:sz w:val="28"/>
                <w:szCs w:val="28"/>
              </w:rPr>
              <w:t>Centrul Na</w:t>
            </w:r>
            <w:r>
              <w:rPr>
                <w:rFonts w:ascii="Cambria Math" w:hAnsi="Cambria Math" w:cs="Cambria Math"/>
                <w:b/>
                <w:sz w:val="28"/>
                <w:szCs w:val="28"/>
              </w:rPr>
              <w:t>ț</w:t>
            </w:r>
            <w:r>
              <w:rPr>
                <w:b/>
                <w:sz w:val="28"/>
                <w:szCs w:val="28"/>
              </w:rPr>
              <w:t>ional Anticorup</w:t>
            </w:r>
            <w:r>
              <w:rPr>
                <w:rFonts w:ascii="Cambria Math" w:hAnsi="Cambria Math" w:cs="Cambria Math"/>
                <w:b/>
                <w:sz w:val="28"/>
                <w:szCs w:val="28"/>
              </w:rPr>
              <w:t>ț</w:t>
            </w:r>
            <w:r>
              <w:rPr>
                <w:b/>
                <w:sz w:val="28"/>
                <w:szCs w:val="28"/>
              </w:rPr>
              <w:t>ie</w:t>
            </w:r>
          </w:p>
          <w:p w:rsidR="00110918" w:rsidRDefault="00110918" w:rsidP="008B2107">
            <w:pPr>
              <w:jc w:val="center"/>
              <w:rPr>
                <w:i/>
                <w:sz w:val="20"/>
                <w:szCs w:val="20"/>
              </w:rPr>
            </w:pPr>
            <w:r w:rsidRPr="009C7C47">
              <w:rPr>
                <w:i/>
                <w:sz w:val="20"/>
                <w:szCs w:val="20"/>
              </w:rPr>
              <w:t xml:space="preserve">Aviz nr. </w:t>
            </w:r>
            <w:r>
              <w:rPr>
                <w:i/>
                <w:sz w:val="20"/>
                <w:szCs w:val="20"/>
              </w:rPr>
              <w:t>06/4588</w:t>
            </w:r>
            <w:r w:rsidRPr="009C7C47">
              <w:rPr>
                <w:i/>
                <w:sz w:val="20"/>
                <w:szCs w:val="20"/>
              </w:rPr>
              <w:t xml:space="preserve"> din </w:t>
            </w:r>
          </w:p>
          <w:p w:rsidR="00110918" w:rsidRDefault="00110918" w:rsidP="008B2107">
            <w:pPr>
              <w:jc w:val="center"/>
              <w:rPr>
                <w:b/>
                <w:sz w:val="28"/>
                <w:szCs w:val="28"/>
              </w:rPr>
            </w:pPr>
            <w:r>
              <w:rPr>
                <w:i/>
                <w:sz w:val="20"/>
                <w:szCs w:val="20"/>
              </w:rPr>
              <w:t>05 decembrie 2014</w:t>
            </w:r>
          </w:p>
        </w:tc>
        <w:tc>
          <w:tcPr>
            <w:tcW w:w="8930" w:type="dxa"/>
          </w:tcPr>
          <w:p w:rsidR="00110918" w:rsidRDefault="00110918" w:rsidP="008B2107">
            <w:pPr>
              <w:jc w:val="center"/>
              <w:rPr>
                <w:sz w:val="28"/>
                <w:szCs w:val="28"/>
              </w:rPr>
            </w:pPr>
          </w:p>
          <w:p w:rsidR="00110918" w:rsidRDefault="00110918" w:rsidP="008B2107">
            <w:pPr>
              <w:jc w:val="center"/>
              <w:rPr>
                <w:sz w:val="28"/>
                <w:szCs w:val="28"/>
              </w:rPr>
            </w:pPr>
            <w:r>
              <w:rPr>
                <w:sz w:val="28"/>
                <w:szCs w:val="28"/>
              </w:rPr>
              <w:t>Prevederile proiectului nu conţin reglementări care pot favoriza corupţia.</w:t>
            </w:r>
          </w:p>
        </w:tc>
        <w:tc>
          <w:tcPr>
            <w:tcW w:w="3544" w:type="dxa"/>
          </w:tcPr>
          <w:p w:rsidR="00110918" w:rsidRPr="00851E3F" w:rsidRDefault="00110918" w:rsidP="008B2107">
            <w:pPr>
              <w:jc w:val="both"/>
              <w:rPr>
                <w:sz w:val="28"/>
                <w:szCs w:val="28"/>
                <w:lang w:val="ro-MO"/>
              </w:rPr>
            </w:pPr>
          </w:p>
        </w:tc>
      </w:tr>
    </w:tbl>
    <w:p w:rsidR="00110918" w:rsidRPr="00851E3F" w:rsidRDefault="00110918" w:rsidP="00110918">
      <w:pPr>
        <w:pStyle w:val="a3"/>
        <w:rPr>
          <w:sz w:val="28"/>
          <w:szCs w:val="28"/>
          <w:lang w:val="ro-MO"/>
        </w:rPr>
      </w:pPr>
    </w:p>
    <w:p w:rsidR="00110918" w:rsidRDefault="00110918" w:rsidP="00110918">
      <w:pPr>
        <w:ind w:firstLine="1260"/>
        <w:rPr>
          <w:b/>
          <w:sz w:val="28"/>
          <w:szCs w:val="28"/>
          <w:lang w:val="ro-MO"/>
        </w:rPr>
      </w:pPr>
      <w:r>
        <w:rPr>
          <w:b/>
          <w:sz w:val="28"/>
          <w:szCs w:val="28"/>
          <w:lang w:val="ro-MO"/>
        </w:rPr>
        <w:t xml:space="preserve">                               </w:t>
      </w:r>
    </w:p>
    <w:p w:rsidR="00110918" w:rsidRDefault="00110918" w:rsidP="00110918">
      <w:pPr>
        <w:ind w:firstLine="1260"/>
        <w:rPr>
          <w:b/>
          <w:sz w:val="28"/>
          <w:szCs w:val="28"/>
          <w:lang w:val="ro-MO"/>
        </w:rPr>
      </w:pPr>
    </w:p>
    <w:p w:rsidR="00110918" w:rsidRDefault="00110918" w:rsidP="00110918">
      <w:pPr>
        <w:ind w:firstLine="1260"/>
        <w:rPr>
          <w:b/>
          <w:sz w:val="28"/>
          <w:szCs w:val="28"/>
          <w:lang w:val="ro-MO"/>
        </w:rPr>
      </w:pPr>
    </w:p>
    <w:p w:rsidR="00110918" w:rsidRPr="00851E3F" w:rsidRDefault="00110918" w:rsidP="00110918">
      <w:pPr>
        <w:ind w:firstLine="1260"/>
        <w:jc w:val="center"/>
        <w:rPr>
          <w:b/>
          <w:sz w:val="28"/>
          <w:szCs w:val="28"/>
          <w:lang w:val="ro-MO"/>
        </w:rPr>
      </w:pPr>
      <w:r>
        <w:rPr>
          <w:b/>
          <w:sz w:val="28"/>
          <w:szCs w:val="28"/>
          <w:lang w:val="ro-MO"/>
        </w:rPr>
        <w:t xml:space="preserve">Ministru                                                                                        </w:t>
      </w:r>
      <w:r w:rsidRPr="00851E3F">
        <w:rPr>
          <w:b/>
          <w:sz w:val="28"/>
          <w:szCs w:val="28"/>
          <w:lang w:val="ro-MO"/>
        </w:rPr>
        <w:t xml:space="preserve">          </w:t>
      </w:r>
      <w:r>
        <w:rPr>
          <w:b/>
          <w:sz w:val="28"/>
          <w:szCs w:val="28"/>
          <w:lang w:val="ro-MO"/>
        </w:rPr>
        <w:t>Oleg BALAN</w:t>
      </w:r>
    </w:p>
    <w:p w:rsidR="005400CD" w:rsidRDefault="005400CD"/>
    <w:sectPr w:rsidR="005400CD" w:rsidSect="009B356D">
      <w:pgSz w:w="16838" w:h="11906" w:orient="landscape" w:code="9"/>
      <w:pgMar w:top="851" w:right="709" w:bottom="284" w:left="851"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10918"/>
    <w:rsid w:val="00011CB0"/>
    <w:rsid w:val="00110918"/>
    <w:rsid w:val="003240BD"/>
    <w:rsid w:val="005400CD"/>
    <w:rsid w:val="00672B1A"/>
    <w:rsid w:val="00B04C6B"/>
    <w:rsid w:val="00C20E27"/>
    <w:rsid w:val="00D42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18"/>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9"/>
    <w:qFormat/>
    <w:rsid w:val="00110918"/>
    <w:pPr>
      <w:keepNext/>
      <w:jc w:val="both"/>
      <w:outlineLvl w:val="0"/>
    </w:pPr>
    <w:rPr>
      <w:b/>
      <w:bCs/>
      <w:lang w:val="ro-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918"/>
    <w:rPr>
      <w:rFonts w:ascii="Times New Roman" w:eastAsia="Times New Roman" w:hAnsi="Times New Roman" w:cs="Times New Roman"/>
      <w:b/>
      <w:bCs/>
      <w:sz w:val="24"/>
      <w:szCs w:val="24"/>
      <w:lang w:val="ro-MO" w:eastAsia="ru-RU"/>
    </w:rPr>
  </w:style>
  <w:style w:type="character" w:customStyle="1" w:styleId="apple-converted-space">
    <w:name w:val="apple-converted-space"/>
    <w:basedOn w:val="a0"/>
    <w:uiPriority w:val="99"/>
    <w:rsid w:val="00110918"/>
    <w:rPr>
      <w:rFonts w:cs="Times New Roman"/>
    </w:rPr>
  </w:style>
  <w:style w:type="paragraph" w:styleId="a3">
    <w:name w:val="footer"/>
    <w:basedOn w:val="a"/>
    <w:link w:val="a4"/>
    <w:uiPriority w:val="99"/>
    <w:rsid w:val="00110918"/>
    <w:pPr>
      <w:tabs>
        <w:tab w:val="center" w:pos="4320"/>
        <w:tab w:val="right" w:pos="8640"/>
      </w:tabs>
    </w:pPr>
    <w:rPr>
      <w:lang w:val="ru-RU"/>
    </w:rPr>
  </w:style>
  <w:style w:type="character" w:customStyle="1" w:styleId="a4">
    <w:name w:val="Нижний колонтитул Знак"/>
    <w:basedOn w:val="a0"/>
    <w:link w:val="a3"/>
    <w:uiPriority w:val="99"/>
    <w:rsid w:val="00110918"/>
    <w:rPr>
      <w:rFonts w:ascii="Times New Roman" w:eastAsia="Times New Roman" w:hAnsi="Times New Roman" w:cs="Times New Roman"/>
      <w:sz w:val="24"/>
      <w:szCs w:val="24"/>
      <w:lang w:eastAsia="ru-RU"/>
    </w:rPr>
  </w:style>
  <w:style w:type="paragraph" w:customStyle="1" w:styleId="Style7">
    <w:name w:val="Style7"/>
    <w:basedOn w:val="a"/>
    <w:uiPriority w:val="99"/>
    <w:rsid w:val="00110918"/>
    <w:pPr>
      <w:widowControl w:val="0"/>
      <w:autoSpaceDE w:val="0"/>
      <w:autoSpaceDN w:val="0"/>
      <w:adjustRightInd w:val="0"/>
      <w:spacing w:line="293" w:lineRule="exact"/>
      <w:ind w:firstLine="658"/>
      <w:jc w:val="both"/>
    </w:pPr>
    <w:rPr>
      <w:lang w:val="ru-RU"/>
    </w:rPr>
  </w:style>
  <w:style w:type="character" w:customStyle="1" w:styleId="FontStyle21">
    <w:name w:val="Font Style21"/>
    <w:basedOn w:val="a0"/>
    <w:uiPriority w:val="99"/>
    <w:rsid w:val="00110918"/>
    <w:rPr>
      <w:rFonts w:ascii="Times New Roman" w:hAnsi="Times New Roman" w:cs="Times New Roman"/>
      <w:sz w:val="22"/>
      <w:szCs w:val="22"/>
    </w:rPr>
  </w:style>
  <w:style w:type="character" w:customStyle="1" w:styleId="FontStyle22">
    <w:name w:val="Font Style22"/>
    <w:basedOn w:val="a0"/>
    <w:uiPriority w:val="99"/>
    <w:rsid w:val="00110918"/>
    <w:rPr>
      <w:rFonts w:ascii="Times New Roman" w:hAnsi="Times New Roman" w:cs="Times New Roman"/>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1326</Words>
  <Characters>7563</Characters>
  <Application>Microsoft Office Word</Application>
  <DocSecurity>0</DocSecurity>
  <Lines>63</Lines>
  <Paragraphs>17</Paragraphs>
  <ScaleCrop>false</ScaleCrop>
  <Company>CtrlSoft</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2</cp:revision>
  <dcterms:created xsi:type="dcterms:W3CDTF">2015-03-16T12:41:00Z</dcterms:created>
  <dcterms:modified xsi:type="dcterms:W3CDTF">2015-03-16T12:41:00Z</dcterms:modified>
</cp:coreProperties>
</file>