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C3" w:rsidRPr="00915FC3" w:rsidRDefault="00915FC3" w:rsidP="00CD2825">
      <w:pPr>
        <w:spacing w:after="0" w:line="240" w:lineRule="auto"/>
        <w:ind w:left="708" w:hanging="708"/>
        <w:jc w:val="center"/>
        <w:rPr>
          <w:rFonts w:ascii="Times New Roman" w:hAnsi="Times New Roman"/>
          <w:b/>
          <w:sz w:val="24"/>
          <w:szCs w:val="24"/>
          <w:lang w:val="ro-RO"/>
        </w:rPr>
      </w:pPr>
    </w:p>
    <w:p w:rsidR="00915FC3" w:rsidRPr="00915FC3" w:rsidRDefault="00915FC3" w:rsidP="00CD2825">
      <w:pPr>
        <w:spacing w:after="0" w:line="240" w:lineRule="auto"/>
        <w:ind w:left="708" w:hanging="708"/>
        <w:jc w:val="center"/>
        <w:rPr>
          <w:rFonts w:ascii="Times New Roman" w:hAnsi="Times New Roman"/>
          <w:b/>
          <w:sz w:val="24"/>
          <w:szCs w:val="24"/>
          <w:lang w:val="ro-RO"/>
        </w:rPr>
      </w:pPr>
    </w:p>
    <w:p w:rsidR="00915FC3" w:rsidRPr="00915FC3" w:rsidRDefault="001F0F7E" w:rsidP="00CD2825">
      <w:pPr>
        <w:spacing w:after="0" w:line="240" w:lineRule="auto"/>
        <w:ind w:left="708" w:hanging="708"/>
        <w:jc w:val="center"/>
        <w:rPr>
          <w:rFonts w:ascii="Times New Roman" w:hAnsi="Times New Roman"/>
          <w:b/>
          <w:sz w:val="24"/>
          <w:szCs w:val="24"/>
          <w:lang w:val="ro-RO"/>
        </w:rPr>
      </w:pPr>
      <w:r w:rsidRPr="00915FC3">
        <w:rPr>
          <w:rFonts w:ascii="Times New Roman" w:hAnsi="Times New Roman"/>
          <w:b/>
          <w:sz w:val="24"/>
          <w:szCs w:val="24"/>
          <w:lang w:val="ro-RO"/>
        </w:rPr>
        <w:t>Tabelul divergenţilor</w:t>
      </w:r>
      <w:r w:rsidR="00915FC3" w:rsidRPr="00915FC3">
        <w:rPr>
          <w:rFonts w:ascii="Times New Roman" w:hAnsi="Times New Roman"/>
          <w:b/>
          <w:sz w:val="24"/>
          <w:szCs w:val="24"/>
          <w:lang w:val="ro-RO"/>
        </w:rPr>
        <w:t xml:space="preserve"> </w:t>
      </w:r>
      <w:r w:rsidRPr="00915FC3">
        <w:rPr>
          <w:rFonts w:ascii="Times New Roman" w:hAnsi="Times New Roman"/>
          <w:b/>
          <w:sz w:val="24"/>
          <w:szCs w:val="24"/>
          <w:lang w:val="ro-RO"/>
        </w:rPr>
        <w:t xml:space="preserve">la proiectul Hotărîrii de Guvern </w:t>
      </w:r>
    </w:p>
    <w:p w:rsidR="001F0F7E" w:rsidRPr="00915FC3" w:rsidRDefault="001F0F7E" w:rsidP="00CD2825">
      <w:pPr>
        <w:spacing w:after="0" w:line="240" w:lineRule="auto"/>
        <w:ind w:left="708" w:hanging="708"/>
        <w:jc w:val="center"/>
        <w:rPr>
          <w:rFonts w:ascii="Times New Roman" w:hAnsi="Times New Roman"/>
          <w:b/>
          <w:sz w:val="24"/>
          <w:szCs w:val="24"/>
          <w:lang w:val="ro-RO"/>
        </w:rPr>
      </w:pPr>
      <w:r w:rsidRPr="00915FC3">
        <w:rPr>
          <w:rFonts w:ascii="Times New Roman" w:hAnsi="Times New Roman"/>
          <w:b/>
          <w:sz w:val="24"/>
          <w:szCs w:val="24"/>
          <w:lang w:val="ro-RO"/>
        </w:rPr>
        <w:t>cu privire la aprobarea Reglementării tehnice privind punerea la dispoziţie pe piaţă a mijloacelor de măsurare</w:t>
      </w:r>
    </w:p>
    <w:p w:rsidR="00915FC3" w:rsidRPr="00915FC3" w:rsidRDefault="00915FC3" w:rsidP="00CD2825">
      <w:pPr>
        <w:spacing w:after="0" w:line="240" w:lineRule="auto"/>
        <w:ind w:left="708" w:hanging="708"/>
        <w:jc w:val="center"/>
        <w:rPr>
          <w:rFonts w:ascii="Times New Roman" w:hAnsi="Times New Roman"/>
          <w:b/>
          <w:sz w:val="24"/>
          <w:szCs w:val="24"/>
          <w:lang w:val="ro-RO"/>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702"/>
        <w:gridCol w:w="1276"/>
        <w:gridCol w:w="7513"/>
        <w:gridCol w:w="4819"/>
      </w:tblGrid>
      <w:tr w:rsidR="00915FC3" w:rsidRPr="00915FC3" w:rsidTr="00915FC3">
        <w:tc>
          <w:tcPr>
            <w:tcW w:w="708" w:type="dxa"/>
          </w:tcPr>
          <w:p w:rsidR="001F0F7E" w:rsidRPr="00915FC3" w:rsidRDefault="001F0F7E" w:rsidP="001742EE">
            <w:pPr>
              <w:pStyle w:val="a4"/>
              <w:spacing w:after="0" w:line="240" w:lineRule="auto"/>
              <w:ind w:left="34" w:right="34"/>
              <w:jc w:val="center"/>
              <w:rPr>
                <w:rFonts w:ascii="Times New Roman" w:hAnsi="Times New Roman"/>
                <w:b/>
                <w:sz w:val="24"/>
                <w:szCs w:val="24"/>
              </w:rPr>
            </w:pPr>
            <w:r w:rsidRPr="00915FC3">
              <w:rPr>
                <w:rFonts w:ascii="Times New Roman" w:hAnsi="Times New Roman"/>
                <w:b/>
                <w:sz w:val="24"/>
                <w:szCs w:val="24"/>
              </w:rPr>
              <w:t>Nr.</w:t>
            </w:r>
          </w:p>
        </w:tc>
        <w:tc>
          <w:tcPr>
            <w:tcW w:w="1702" w:type="dxa"/>
          </w:tcPr>
          <w:p w:rsidR="001F0F7E" w:rsidRPr="00915FC3" w:rsidRDefault="001F0F7E" w:rsidP="001742EE">
            <w:pPr>
              <w:spacing w:after="0" w:line="240" w:lineRule="auto"/>
              <w:jc w:val="center"/>
              <w:rPr>
                <w:rFonts w:ascii="Times New Roman" w:hAnsi="Times New Roman"/>
                <w:b/>
                <w:sz w:val="24"/>
                <w:szCs w:val="24"/>
              </w:rPr>
            </w:pPr>
            <w:r w:rsidRPr="00915FC3">
              <w:rPr>
                <w:rFonts w:ascii="Times New Roman" w:hAnsi="Times New Roman"/>
                <w:b/>
                <w:sz w:val="24"/>
                <w:szCs w:val="24"/>
              </w:rPr>
              <w:t>Instituţia</w:t>
            </w:r>
          </w:p>
        </w:tc>
        <w:tc>
          <w:tcPr>
            <w:tcW w:w="1276" w:type="dxa"/>
          </w:tcPr>
          <w:p w:rsidR="001F0F7E" w:rsidRPr="00915FC3" w:rsidRDefault="001F0F7E" w:rsidP="001742EE">
            <w:pPr>
              <w:spacing w:after="0" w:line="240" w:lineRule="auto"/>
              <w:jc w:val="center"/>
              <w:rPr>
                <w:rFonts w:ascii="Times New Roman" w:hAnsi="Times New Roman"/>
                <w:b/>
                <w:sz w:val="24"/>
                <w:szCs w:val="24"/>
              </w:rPr>
            </w:pPr>
            <w:r w:rsidRPr="00915FC3">
              <w:rPr>
                <w:rFonts w:ascii="Times New Roman" w:hAnsi="Times New Roman"/>
                <w:b/>
                <w:sz w:val="24"/>
                <w:szCs w:val="24"/>
                <w:lang w:val="ro-RO"/>
              </w:rPr>
              <w:t>D</w:t>
            </w:r>
            <w:r w:rsidRPr="00915FC3">
              <w:rPr>
                <w:rFonts w:ascii="Times New Roman" w:hAnsi="Times New Roman"/>
                <w:b/>
                <w:sz w:val="24"/>
                <w:szCs w:val="24"/>
              </w:rPr>
              <w:t>emersul</w:t>
            </w:r>
          </w:p>
        </w:tc>
        <w:tc>
          <w:tcPr>
            <w:tcW w:w="7513" w:type="dxa"/>
          </w:tcPr>
          <w:p w:rsidR="001F0F7E" w:rsidRPr="00915FC3" w:rsidRDefault="001F0F7E" w:rsidP="001742EE">
            <w:pPr>
              <w:spacing w:after="0" w:line="240" w:lineRule="auto"/>
              <w:jc w:val="center"/>
              <w:rPr>
                <w:rFonts w:ascii="Times New Roman" w:hAnsi="Times New Roman"/>
                <w:b/>
                <w:sz w:val="24"/>
                <w:szCs w:val="24"/>
              </w:rPr>
            </w:pPr>
            <w:r w:rsidRPr="00915FC3">
              <w:rPr>
                <w:rFonts w:ascii="Times New Roman" w:hAnsi="Times New Roman"/>
                <w:b/>
                <w:sz w:val="24"/>
                <w:szCs w:val="24"/>
              </w:rPr>
              <w:t>Obiecţii şi recomandări</w:t>
            </w:r>
          </w:p>
        </w:tc>
        <w:tc>
          <w:tcPr>
            <w:tcW w:w="4819" w:type="dxa"/>
          </w:tcPr>
          <w:p w:rsidR="001F0F7E" w:rsidRPr="00915FC3" w:rsidRDefault="001F0F7E" w:rsidP="001742EE">
            <w:pPr>
              <w:spacing w:after="0" w:line="240" w:lineRule="auto"/>
              <w:jc w:val="center"/>
              <w:rPr>
                <w:rFonts w:ascii="Times New Roman" w:hAnsi="Times New Roman"/>
                <w:b/>
                <w:sz w:val="24"/>
                <w:szCs w:val="24"/>
              </w:rPr>
            </w:pPr>
            <w:r w:rsidRPr="00915FC3">
              <w:rPr>
                <w:rFonts w:ascii="Times New Roman" w:hAnsi="Times New Roman"/>
                <w:b/>
                <w:sz w:val="24"/>
                <w:szCs w:val="24"/>
              </w:rPr>
              <w:t>Decizia luată</w:t>
            </w:r>
          </w:p>
        </w:tc>
      </w:tr>
      <w:tr w:rsidR="00915FC3" w:rsidRPr="00915FC3" w:rsidTr="00915FC3">
        <w:tc>
          <w:tcPr>
            <w:tcW w:w="708" w:type="dxa"/>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Ministerul Dezvoltării Regionale şi Construcţiilor</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03/2-433 din 11.03.2015</w:t>
            </w:r>
          </w:p>
        </w:tc>
        <w:tc>
          <w:tcPr>
            <w:tcW w:w="7513"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Lipsa de obiecţii şi propuneri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Ministerul Sănătăţii</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01/9-345 din 12.03.2015</w:t>
            </w:r>
          </w:p>
        </w:tc>
        <w:tc>
          <w:tcPr>
            <w:tcW w:w="7513"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Lipsa de obiecţii şi propuneri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Ministerul Muncii, Protecţiei Sociale şi Familiei</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01-653 din 12.03.2015</w:t>
            </w:r>
          </w:p>
        </w:tc>
        <w:tc>
          <w:tcPr>
            <w:tcW w:w="7513"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Lipsa de obiecţii şi propuneri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Confederaţia Naţională a Sindicatelor</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05-02/1004 din 22.10.2014</w:t>
            </w:r>
          </w:p>
        </w:tc>
        <w:tc>
          <w:tcPr>
            <w:tcW w:w="7513" w:type="dxa"/>
          </w:tcPr>
          <w:p w:rsidR="001F0F7E" w:rsidRPr="00915FC3" w:rsidRDefault="001F0F7E"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Lipsa de obiecţii şi propuneri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tcPr>
          <w:p w:rsidR="00915FC3" w:rsidRPr="00915FC3" w:rsidRDefault="00915FC3"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915FC3" w:rsidRPr="00915FC3" w:rsidRDefault="00915FC3" w:rsidP="00915FC3">
            <w:pPr>
              <w:spacing w:after="0" w:line="240" w:lineRule="auto"/>
              <w:ind w:right="-108"/>
              <w:rPr>
                <w:rFonts w:ascii="Times New Roman" w:hAnsi="Times New Roman"/>
                <w:sz w:val="24"/>
                <w:szCs w:val="24"/>
                <w:lang w:val="ro-RO"/>
              </w:rPr>
            </w:pPr>
            <w:r w:rsidRPr="00915FC3">
              <w:rPr>
                <w:rFonts w:ascii="Times New Roman" w:hAnsi="Times New Roman"/>
                <w:sz w:val="24"/>
                <w:szCs w:val="24"/>
                <w:lang w:val="ro-RO"/>
              </w:rPr>
              <w:t>Agenţia pentru Protecţia Consumatorilor</w:t>
            </w:r>
          </w:p>
        </w:tc>
        <w:tc>
          <w:tcPr>
            <w:tcW w:w="1276" w:type="dxa"/>
          </w:tcPr>
          <w:p w:rsidR="00915FC3" w:rsidRPr="00915FC3" w:rsidRDefault="00915FC3" w:rsidP="00FE7E2C">
            <w:pPr>
              <w:spacing w:after="0" w:line="240" w:lineRule="auto"/>
              <w:rPr>
                <w:rFonts w:ascii="Times New Roman" w:hAnsi="Times New Roman"/>
                <w:sz w:val="24"/>
                <w:szCs w:val="24"/>
                <w:lang w:val="ro-RO"/>
              </w:rPr>
            </w:pPr>
            <w:r w:rsidRPr="00915FC3">
              <w:rPr>
                <w:rFonts w:ascii="Times New Roman" w:hAnsi="Times New Roman"/>
                <w:sz w:val="24"/>
                <w:szCs w:val="24"/>
                <w:lang w:val="ro-RO"/>
              </w:rPr>
              <w:t>Nr. 27/06-5635 din 19.12.2014</w:t>
            </w:r>
          </w:p>
        </w:tc>
        <w:tc>
          <w:tcPr>
            <w:tcW w:w="7513" w:type="dxa"/>
          </w:tcPr>
          <w:p w:rsidR="00915FC3" w:rsidRDefault="00915FC3" w:rsidP="00915FC3">
            <w:pPr>
              <w:spacing w:after="0" w:line="240" w:lineRule="auto"/>
              <w:rPr>
                <w:rFonts w:ascii="Times New Roman" w:hAnsi="Times New Roman"/>
                <w:sz w:val="24"/>
                <w:szCs w:val="24"/>
                <w:lang w:val="ro-RO"/>
              </w:rPr>
            </w:pPr>
          </w:p>
          <w:p w:rsidR="00915FC3" w:rsidRPr="00915FC3" w:rsidRDefault="00915FC3" w:rsidP="00915FC3">
            <w:pPr>
              <w:spacing w:after="0" w:line="240" w:lineRule="auto"/>
              <w:rPr>
                <w:rFonts w:ascii="Times New Roman" w:hAnsi="Times New Roman"/>
                <w:sz w:val="24"/>
                <w:szCs w:val="24"/>
                <w:lang w:val="ro-RO"/>
              </w:rPr>
            </w:pPr>
            <w:r w:rsidRPr="00915FC3">
              <w:rPr>
                <w:rFonts w:ascii="Times New Roman" w:hAnsi="Times New Roman"/>
                <w:sz w:val="24"/>
                <w:szCs w:val="24"/>
                <w:lang w:val="ro-RO"/>
              </w:rPr>
              <w:t>Lipsa de obiecţii şi propuneri</w:t>
            </w:r>
          </w:p>
        </w:tc>
        <w:tc>
          <w:tcPr>
            <w:tcW w:w="4819" w:type="dxa"/>
          </w:tcPr>
          <w:p w:rsidR="00915FC3" w:rsidRPr="00915FC3" w:rsidRDefault="00915FC3" w:rsidP="001742EE">
            <w:pPr>
              <w:spacing w:after="0" w:line="240" w:lineRule="auto"/>
              <w:jc w:val="center"/>
              <w:rPr>
                <w:rFonts w:ascii="Times New Roman" w:hAnsi="Times New Roman"/>
                <w:b/>
                <w:sz w:val="24"/>
                <w:szCs w:val="24"/>
                <w:lang w:val="ro-RO"/>
              </w:rPr>
            </w:pPr>
          </w:p>
        </w:tc>
      </w:tr>
      <w:tr w:rsidR="00915FC3" w:rsidRPr="00915FC3" w:rsidTr="00915FC3">
        <w:trPr>
          <w:trHeight w:val="979"/>
        </w:trPr>
        <w:tc>
          <w:tcPr>
            <w:tcW w:w="708" w:type="dxa"/>
            <w:vMerge w:val="restart"/>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fr-FR"/>
              </w:rPr>
            </w:pPr>
          </w:p>
        </w:tc>
        <w:tc>
          <w:tcPr>
            <w:tcW w:w="1702" w:type="dxa"/>
            <w:vMerge w:val="restart"/>
          </w:tcPr>
          <w:p w:rsidR="001F0F7E" w:rsidRPr="00915FC3" w:rsidRDefault="001F0F7E" w:rsidP="00915FC3">
            <w:pPr>
              <w:spacing w:after="0" w:line="240" w:lineRule="auto"/>
              <w:ind w:right="-76"/>
              <w:rPr>
                <w:rFonts w:ascii="Times New Roman" w:hAnsi="Times New Roman"/>
                <w:sz w:val="24"/>
                <w:szCs w:val="24"/>
                <w:lang w:val="ro-RO"/>
              </w:rPr>
            </w:pPr>
            <w:r w:rsidRPr="00915FC3">
              <w:rPr>
                <w:rFonts w:ascii="Times New Roman" w:hAnsi="Times New Roman"/>
                <w:sz w:val="24"/>
                <w:szCs w:val="24"/>
                <w:lang w:val="ro-RO"/>
              </w:rPr>
              <w:t>Ministerul Mediului</w:t>
            </w:r>
          </w:p>
        </w:tc>
        <w:tc>
          <w:tcPr>
            <w:tcW w:w="1276" w:type="dxa"/>
            <w:vMerge w:val="restart"/>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 xml:space="preserve">Nr. 05-07/323 din 06.03.2015 </w:t>
            </w: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La proiectul hotărîrii de Guvern:</w:t>
            </w:r>
          </w:p>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      Temeiul legal de emitere a actului normativ (art. 18 şi poziţia 28 din Anexa nr. 3 la Legea nr. 235 din 01.12.2011 privind activităţile de acreditare şi de evaluare a conformităţii) la care se face referin</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ă în clauza de emitere, nu este complet, deoarece Reglementarea tehnică nu se referă doar la procedurile de evaluare a conformită</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 xml:space="preserve">ii. În acest sens, propunem completarea textului după expresia ” În temeiul prevederilor” cu următoarea sintagmă ”art.3 alin. (3) lit. a) din Legea nr. 420-XVI din 22 decembrie 2006 privind activitatea de reglementare tehnică”. </w:t>
            </w:r>
          </w:p>
          <w:p w:rsidR="001F0F7E" w:rsidRPr="00915FC3" w:rsidRDefault="001F0F7E" w:rsidP="001742EE">
            <w:pPr>
              <w:pStyle w:val="ad"/>
              <w:jc w:val="both"/>
              <w:rPr>
                <w:rFonts w:ascii="Times New Roman" w:hAnsi="Times New Roman"/>
                <w:sz w:val="24"/>
                <w:szCs w:val="24"/>
                <w:lang w:val="ro-RO"/>
              </w:rPr>
            </w:pPr>
            <w:r w:rsidRPr="00915FC3">
              <w:rPr>
                <w:rFonts w:ascii="Times New Roman" w:hAnsi="Times New Roman"/>
                <w:sz w:val="24"/>
                <w:szCs w:val="24"/>
                <w:lang w:val="ro-RO" w:eastAsia="ru-RU"/>
              </w:rPr>
              <w:t xml:space="preserve">     De asemenea, este necesar de specificat care alineate din art.18 din </w:t>
            </w:r>
            <w:r w:rsidRPr="00915FC3">
              <w:rPr>
                <w:rFonts w:ascii="Times New Roman" w:hAnsi="Times New Roman"/>
                <w:sz w:val="24"/>
                <w:szCs w:val="24"/>
                <w:lang w:val="ro-RO" w:eastAsia="ru-RU"/>
              </w:rPr>
              <w:lastRenderedPageBreak/>
              <w:t>Legea nr. 235 au  servit drept bază legislativă, deoarece nu întreg articolul con</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ine prevederi relevante pentru emiterea Reglementării tehnice propriu-zise.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Se acceptă parţial, </w:t>
            </w:r>
          </w:p>
          <w:p w:rsidR="001F0F7E" w:rsidRPr="00915FC3" w:rsidRDefault="001F0F7E" w:rsidP="001742EE">
            <w:pPr>
              <w:spacing w:after="0" w:line="240" w:lineRule="auto"/>
              <w:jc w:val="center"/>
              <w:rPr>
                <w:rFonts w:ascii="Times New Roman" w:hAnsi="Times New Roman"/>
                <w:sz w:val="24"/>
                <w:szCs w:val="24"/>
                <w:lang w:val="ro-RO" w:eastAsia="ru-RU"/>
              </w:rPr>
            </w:pPr>
            <w:r w:rsidRPr="00915FC3">
              <w:rPr>
                <w:rFonts w:ascii="Times New Roman" w:hAnsi="Times New Roman"/>
                <w:sz w:val="24"/>
                <w:szCs w:val="24"/>
                <w:lang w:val="ro-RO"/>
              </w:rPr>
              <w:t>doar</w:t>
            </w:r>
            <w:r w:rsidRPr="00915FC3">
              <w:rPr>
                <w:rFonts w:ascii="Times New Roman" w:hAnsi="Times New Roman"/>
                <w:b/>
                <w:sz w:val="24"/>
                <w:szCs w:val="24"/>
                <w:lang w:val="ro-RO"/>
              </w:rPr>
              <w:t xml:space="preserve"> </w:t>
            </w:r>
            <w:r w:rsidRPr="00915FC3">
              <w:rPr>
                <w:rFonts w:ascii="Times New Roman" w:hAnsi="Times New Roman"/>
                <w:sz w:val="24"/>
                <w:szCs w:val="24"/>
                <w:lang w:val="ro-RO" w:eastAsia="ru-RU"/>
              </w:rPr>
              <w:t>Legea nr. 235 din 01.12.2011 specifică concret care produse prezintă domeniul reglementat.</w:t>
            </w:r>
          </w:p>
          <w:p w:rsidR="001F0F7E" w:rsidRPr="00915FC3" w:rsidRDefault="001F0F7E" w:rsidP="001742EE">
            <w:pPr>
              <w:spacing w:after="0" w:line="240" w:lineRule="auto"/>
              <w:jc w:val="center"/>
              <w:rPr>
                <w:rFonts w:ascii="Times New Roman" w:hAnsi="Times New Roman"/>
                <w:sz w:val="24"/>
                <w:szCs w:val="24"/>
                <w:lang w:val="ro-RO" w:eastAsia="ru-RU"/>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eastAsia="ru-RU"/>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915FC3">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  La pct.2, de exclus sintagma ”</w:t>
            </w:r>
            <w:r w:rsidRPr="00915FC3">
              <w:rPr>
                <w:rFonts w:ascii="Cambria Math" w:hAnsi="Cambria Math" w:cs="Cambria Math"/>
                <w:sz w:val="24"/>
                <w:szCs w:val="24"/>
                <w:lang w:val="ro-RO" w:eastAsia="ru-RU"/>
              </w:rPr>
              <w:t>ș</w:t>
            </w:r>
            <w:r w:rsidRPr="00915FC3">
              <w:rPr>
                <w:rFonts w:ascii="Times New Roman" w:hAnsi="Times New Roman"/>
                <w:sz w:val="24"/>
                <w:szCs w:val="24"/>
                <w:lang w:val="ro-RO" w:eastAsia="ru-RU"/>
              </w:rPr>
              <w:t xml:space="preserve">i se aplică”, fiindcă se creează pleonasm, dat fiind faptul că deja se precizează că ” </w:t>
            </w:r>
            <w:r w:rsidRPr="00915FC3">
              <w:rPr>
                <w:rFonts w:ascii="Times New Roman" w:hAnsi="Times New Roman"/>
                <w:i/>
                <w:sz w:val="24"/>
                <w:szCs w:val="24"/>
                <w:lang w:val="ro-RO" w:eastAsia="ru-RU"/>
              </w:rPr>
              <w:t>Prezenta hotărîre intră în vigoare</w:t>
            </w:r>
            <w:r w:rsidRPr="00915FC3">
              <w:rPr>
                <w:rFonts w:ascii="Times New Roman" w:hAnsi="Times New Roman"/>
                <w:sz w:val="24"/>
                <w:szCs w:val="24"/>
                <w:lang w:val="ro-RO" w:eastAsia="ru-RU"/>
              </w:rPr>
              <w:t>”.</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vMerge/>
          </w:tcPr>
          <w:p w:rsidR="001F0F7E" w:rsidRPr="00915FC3" w:rsidRDefault="001F0F7E" w:rsidP="001742EE">
            <w:pPr>
              <w:spacing w:after="0" w:line="240" w:lineRule="auto"/>
              <w:ind w:left="34" w:right="34"/>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F5761F">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 La pct.3 de adăugat la sfîr</w:t>
            </w:r>
            <w:r w:rsidRPr="00915FC3">
              <w:rPr>
                <w:rFonts w:ascii="Cambria Math" w:hAnsi="Cambria Math" w:cs="Cambria Math"/>
                <w:sz w:val="24"/>
                <w:szCs w:val="24"/>
                <w:lang w:val="ro-RO" w:eastAsia="ru-RU"/>
              </w:rPr>
              <w:t>ș</w:t>
            </w:r>
            <w:r w:rsidRPr="00915FC3">
              <w:rPr>
                <w:rFonts w:ascii="Times New Roman" w:hAnsi="Times New Roman"/>
                <w:sz w:val="24"/>
                <w:szCs w:val="24"/>
                <w:lang w:val="ro-RO" w:eastAsia="ru-RU"/>
              </w:rPr>
              <w:t>itul frazei cuvîntul ”hotărîri”.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rPr>
          <w:trHeight w:val="534"/>
        </w:trPr>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La pct.6 propunem delimitarea frazei ”Se interzice, în condiţiile prevăzute de prezenta hotărâre, aplicarea pe acelaşi mijloc de măsurare a mărcii SM şi a marcajului CE” printr-un subpunct separat.  </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Ne acceptă, </w:t>
            </w:r>
          </w:p>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Propoziţia a doua prezintă succesiunea logică a prevederii, care reiesă din prima propoziţie.</w:t>
            </w:r>
          </w:p>
        </w:tc>
      </w:tr>
      <w:tr w:rsidR="00915FC3" w:rsidRPr="00915FC3" w:rsidTr="00915FC3">
        <w:trPr>
          <w:trHeight w:val="658"/>
        </w:trPr>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La proiectul Reglementării tehnice privind punerea la dispoziţie pe piaţă a mijloacelor de măsurare:</w:t>
            </w:r>
          </w:p>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      În temeiul pct. 18 din HG nr. 1345 din 24.11.2006 cu privire la armonizarea legislaţiei Republicii Moldova cu legislaţia comunitară, urmează de precizat expres articole/secţiuni din actul Uniunii Europene sint preluate efectiv </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b/>
                <w:sz w:val="24"/>
                <w:szCs w:val="24"/>
                <w:lang w:val="ro-RO"/>
              </w:rPr>
              <w:t xml:space="preserve"> </w:t>
            </w:r>
            <w:r w:rsidRPr="00915FC3">
              <w:rPr>
                <w:rFonts w:ascii="Times New Roman" w:hAnsi="Times New Roman"/>
                <w:sz w:val="24"/>
                <w:szCs w:val="24"/>
                <w:lang w:val="ro-RO"/>
              </w:rPr>
              <w:t>este prezentat Tabelul de concordanţă</w:t>
            </w:r>
          </w:p>
        </w:tc>
      </w:tr>
      <w:tr w:rsidR="00915FC3" w:rsidRPr="00915FC3" w:rsidTr="00915FC3">
        <w:trPr>
          <w:trHeight w:val="271"/>
        </w:trPr>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fr-FR"/>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    La Capitolul I Dispoziţii generale, pct. 2 necesită reformulare, fiindcă nu este clar redată prevederea.   </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rPr>
          <w:trHeight w:val="570"/>
        </w:trPr>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La Capitolul III Terminologie, pct.20, după cuvîntul ”(module)” propunem de adăugat sintagma ”Legea nr. 420-XVI din 22 decembrie 2006 privind activitatea de reglementare tehnică” întrucît no</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iunile ”specifica</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ie tehnică”, ”standard conex”, ”modul”, ”cerin</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e esen</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iale”, ”documenta</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ie tehnică”, etc. sunt definite anume în această Lege.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rPr>
          <w:trHeight w:val="979"/>
        </w:trPr>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    </w:t>
            </w:r>
          </w:p>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Propunem substituirea no</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iunii de ”agent economic” cu no</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iunea de „operator economic” din Directiva 2014/32/UE, pentru a exclude confuzia generată de faptul că  no</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iunea de ”agent economic” se regăse</w:t>
            </w:r>
            <w:r w:rsidRPr="00915FC3">
              <w:rPr>
                <w:rFonts w:ascii="Cambria Math" w:hAnsi="Cambria Math" w:cs="Cambria Math"/>
                <w:sz w:val="24"/>
                <w:szCs w:val="24"/>
                <w:lang w:val="ro-RO" w:eastAsia="ru-RU"/>
              </w:rPr>
              <w:t>ș</w:t>
            </w:r>
            <w:r w:rsidRPr="00915FC3">
              <w:rPr>
                <w:rFonts w:ascii="Times New Roman" w:hAnsi="Times New Roman"/>
                <w:sz w:val="24"/>
                <w:szCs w:val="24"/>
                <w:lang w:val="ro-RO" w:eastAsia="ru-RU"/>
              </w:rPr>
              <w:t xml:space="preserve">te deja în Legea nr. 420-XVI din 22 decembrie 2006 </w:t>
            </w:r>
            <w:r w:rsidRPr="00915FC3">
              <w:rPr>
                <w:rFonts w:ascii="Cambria Math" w:hAnsi="Cambria Math" w:cs="Cambria Math"/>
                <w:sz w:val="24"/>
                <w:szCs w:val="24"/>
                <w:lang w:val="ro-RO" w:eastAsia="ru-RU"/>
              </w:rPr>
              <w:t>ș</w:t>
            </w:r>
            <w:r w:rsidRPr="00915FC3">
              <w:rPr>
                <w:rFonts w:ascii="Times New Roman" w:hAnsi="Times New Roman"/>
                <w:sz w:val="24"/>
                <w:szCs w:val="24"/>
                <w:lang w:val="ro-RO" w:eastAsia="ru-RU"/>
              </w:rPr>
              <w:t>i are o altă defini</w:t>
            </w:r>
            <w:r w:rsidRPr="00915FC3">
              <w:rPr>
                <w:rFonts w:ascii="Cambria Math" w:hAnsi="Cambria Math" w:cs="Cambria Math"/>
                <w:sz w:val="24"/>
                <w:szCs w:val="24"/>
                <w:lang w:val="ro-RO" w:eastAsia="ru-RU"/>
              </w:rPr>
              <w:t>ț</w:t>
            </w:r>
            <w:r w:rsidRPr="00915FC3">
              <w:rPr>
                <w:rFonts w:ascii="Times New Roman" w:hAnsi="Times New Roman"/>
                <w:sz w:val="24"/>
                <w:szCs w:val="24"/>
                <w:lang w:val="ro-RO" w:eastAsia="ru-RU"/>
              </w:rPr>
              <w:t>ie.</w:t>
            </w:r>
          </w:p>
          <w:p w:rsidR="001F0F7E" w:rsidRPr="00915FC3" w:rsidRDefault="001F0F7E" w:rsidP="001742EE">
            <w:pPr>
              <w:pStyle w:val="ad"/>
              <w:jc w:val="both"/>
              <w:rPr>
                <w:rFonts w:ascii="Times New Roman" w:hAnsi="Times New Roman"/>
                <w:sz w:val="24"/>
                <w:szCs w:val="24"/>
                <w:lang w:val="ro-RO" w:eastAsia="ru-RU"/>
              </w:rPr>
            </w:pP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Ne acceptă, </w:t>
            </w:r>
          </w:p>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sz w:val="24"/>
                <w:szCs w:val="24"/>
                <w:lang w:val="ro-RO"/>
              </w:rPr>
              <w:t>În cadrul normativ naţional se utilizează termen „agent economic”.</w:t>
            </w:r>
            <w:r w:rsidRPr="00915FC3">
              <w:rPr>
                <w:rFonts w:ascii="Times New Roman" w:hAnsi="Times New Roman"/>
                <w:sz w:val="24"/>
                <w:szCs w:val="24"/>
                <w:lang w:val="fr-FR"/>
              </w:rPr>
              <w:t xml:space="preserve"> </w:t>
            </w:r>
            <w:r w:rsidRPr="00915FC3">
              <w:rPr>
                <w:rFonts w:ascii="Times New Roman" w:hAnsi="Times New Roman"/>
                <w:sz w:val="24"/>
                <w:szCs w:val="24"/>
                <w:lang w:val="ro-RO"/>
              </w:rPr>
              <w:t>În sensul prezentei Reglementări tehnice</w:t>
            </w:r>
            <w:r w:rsidRPr="00915FC3">
              <w:rPr>
                <w:rFonts w:ascii="Times New Roman" w:hAnsi="Times New Roman"/>
                <w:sz w:val="24"/>
                <w:szCs w:val="24"/>
                <w:lang w:val="fr-FR"/>
              </w:rPr>
              <w:t xml:space="preserve"> sunt vizaţi doar cei </w:t>
            </w:r>
            <w:r w:rsidRPr="00915FC3">
              <w:rPr>
                <w:rFonts w:ascii="Times New Roman" w:hAnsi="Times New Roman"/>
                <w:sz w:val="24"/>
                <w:szCs w:val="24"/>
                <w:lang w:val="ro-RO"/>
              </w:rPr>
              <w:t xml:space="preserve">agenţi economici care sunt producători, reprezentanţi autorizaţi, importatori sau distribuitori </w:t>
            </w:r>
          </w:p>
        </w:tc>
      </w:tr>
      <w:tr w:rsidR="00915FC3" w:rsidRPr="00915FC3" w:rsidTr="00915FC3">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fr-FR"/>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Concomitent, propunem revizuirea textului proiectului Reglementării tehnice, cu necesitatea redactării acestuia, în vederea respectării stricte a regulilor de ortografie, reieşind din prevederile art. 46 alin. (2) al Legii nr. 317 din 18.07.2003 privind actele normative ale Guvernului şi ale altor autorităţi ale administraţiei publice centrale şi locale.</w:t>
            </w:r>
          </w:p>
          <w:p w:rsidR="001F0F7E" w:rsidRPr="00915FC3" w:rsidRDefault="001F0F7E" w:rsidP="001742EE">
            <w:pPr>
              <w:pStyle w:val="ad"/>
              <w:jc w:val="both"/>
              <w:rPr>
                <w:rFonts w:ascii="Times New Roman" w:hAnsi="Times New Roman"/>
                <w:sz w:val="24"/>
                <w:szCs w:val="24"/>
                <w:lang w:val="ro-RO" w:eastAsia="ru-RU"/>
              </w:rPr>
            </w:pP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ind w:right="-76"/>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915FC3">
            <w:pPr>
              <w:pStyle w:val="ad"/>
              <w:jc w:val="both"/>
              <w:rPr>
                <w:rFonts w:ascii="Times New Roman" w:hAnsi="Times New Roman"/>
                <w:sz w:val="24"/>
                <w:szCs w:val="24"/>
                <w:lang w:val="ro-RO" w:eastAsia="ru-RU"/>
              </w:rPr>
            </w:pPr>
            <w:r w:rsidRPr="00915FC3">
              <w:rPr>
                <w:rFonts w:ascii="Times New Roman" w:hAnsi="Times New Roman"/>
                <w:sz w:val="24"/>
                <w:szCs w:val="24"/>
                <w:lang w:val="ro-RO" w:eastAsia="ru-RU"/>
              </w:rPr>
              <w:t>La fel, menţionăm că Nota informativă nu corespunde tuturor cerinţelor art. 37 al Legii nr. 317-XV din 18.07.2003. Lipse</w:t>
            </w:r>
            <w:r w:rsidRPr="00915FC3">
              <w:rPr>
                <w:rFonts w:ascii="Cambria Math" w:hAnsi="Cambria Math" w:cs="Cambria Math"/>
                <w:sz w:val="24"/>
                <w:szCs w:val="24"/>
                <w:lang w:val="ro-RO" w:eastAsia="ru-RU"/>
              </w:rPr>
              <w:t>ș</w:t>
            </w:r>
            <w:r w:rsidRPr="00915FC3">
              <w:rPr>
                <w:rFonts w:ascii="Times New Roman" w:hAnsi="Times New Roman"/>
                <w:sz w:val="24"/>
                <w:szCs w:val="24"/>
                <w:lang w:val="ro-RO" w:eastAsia="ru-RU"/>
              </w:rPr>
              <w:t xml:space="preserve">te  actul de analiză a </w:t>
            </w:r>
            <w:r w:rsidRPr="00915FC3">
              <w:rPr>
                <w:rFonts w:ascii="Times New Roman" w:hAnsi="Times New Roman"/>
                <w:sz w:val="24"/>
                <w:szCs w:val="24"/>
                <w:lang w:val="ro-RO" w:eastAsia="ru-RU"/>
              </w:rPr>
              <w:lastRenderedPageBreak/>
              <w:t>impactului de reglementare ca parte integrantă a notei informative la proiectul de act normativ.</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lastRenderedPageBreak/>
              <w:t>Ne acceptă,</w:t>
            </w:r>
          </w:p>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 xml:space="preserve">AIR, fiind partea integrantă a notei de </w:t>
            </w:r>
            <w:r w:rsidRPr="00915FC3">
              <w:rPr>
                <w:rFonts w:ascii="Times New Roman" w:hAnsi="Times New Roman"/>
                <w:sz w:val="24"/>
                <w:szCs w:val="24"/>
                <w:lang w:val="ro-RO"/>
              </w:rPr>
              <w:lastRenderedPageBreak/>
              <w:t>argumentare (informative) la fel este plasat pe pagina web a Ministerului Economiei</w:t>
            </w:r>
          </w:p>
        </w:tc>
      </w:tr>
      <w:tr w:rsidR="00915FC3" w:rsidRPr="00915FC3" w:rsidTr="00915FC3">
        <w:trPr>
          <w:trHeight w:val="4381"/>
        </w:trPr>
        <w:tc>
          <w:tcPr>
            <w:tcW w:w="708" w:type="dxa"/>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1F0F7E" w:rsidRPr="00915FC3" w:rsidRDefault="001F0F7E" w:rsidP="001742EE">
            <w:pPr>
              <w:spacing w:after="0" w:line="240" w:lineRule="auto"/>
              <w:ind w:left="-107" w:right="-76" w:firstLine="107"/>
              <w:jc w:val="center"/>
              <w:rPr>
                <w:rFonts w:ascii="Times New Roman" w:hAnsi="Times New Roman"/>
                <w:sz w:val="24"/>
                <w:szCs w:val="24"/>
                <w:lang w:val="ro-RO"/>
              </w:rPr>
            </w:pPr>
            <w:r w:rsidRPr="00915FC3">
              <w:rPr>
                <w:rFonts w:ascii="Times New Roman" w:hAnsi="Times New Roman"/>
                <w:sz w:val="24"/>
                <w:szCs w:val="24"/>
                <w:lang w:val="ro-RO"/>
              </w:rPr>
              <w:t>Ministerul Tehnologie Informaţiei şi Comunicaţiilor</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01/252 din 10.03.2015</w:t>
            </w:r>
          </w:p>
        </w:tc>
        <w:tc>
          <w:tcPr>
            <w:tcW w:w="7513" w:type="dxa"/>
          </w:tcPr>
          <w:p w:rsidR="001F0F7E" w:rsidRPr="00915FC3" w:rsidRDefault="001F0F7E" w:rsidP="001742EE">
            <w:pPr>
              <w:pStyle w:val="a4"/>
              <w:numPr>
                <w:ilvl w:val="0"/>
                <w:numId w:val="3"/>
              </w:numPr>
              <w:spacing w:after="0" w:line="240" w:lineRule="auto"/>
              <w:ind w:left="34" w:firstLine="266"/>
              <w:jc w:val="both"/>
              <w:rPr>
                <w:rFonts w:ascii="Times New Roman" w:hAnsi="Times New Roman"/>
                <w:sz w:val="24"/>
                <w:szCs w:val="24"/>
                <w:lang w:val="ro-RO"/>
              </w:rPr>
            </w:pPr>
            <w:r w:rsidRPr="00915FC3">
              <w:rPr>
                <w:rFonts w:ascii="Times New Roman" w:hAnsi="Times New Roman"/>
                <w:sz w:val="24"/>
                <w:szCs w:val="24"/>
                <w:lang w:val="ro-RO"/>
              </w:rPr>
              <w:t>În proiectul hotărîrii de Guvern şi a Reglementării tehnice se face referinţă la marcajul de conformitate CE, care nu este prevăzut de Legea nr. 235 din 01.12.2011 privind activităţile de acreditare şi de evaluare a conformităţii. În conformitate cu art.23 din Legea nr. 235 din 01.12.2011, produsele supuse evaluării conformităţii în domeniul reglementat trebuie să fie marcate de către producător cu marca de conformitate SM. Alte mărci de conformitate decît marca de conformitate SM, potrivit art.24 alin.(1) din Legea nr. 235 din 01.12.2011, se utilizează în domeniul nereglementat. Din aceste considerente propunem ca marcarea mijloacelor de măsurare să fie efectuată conform prevederilor Legii sus menţionate.</w:t>
            </w:r>
          </w:p>
          <w:p w:rsidR="001F0F7E" w:rsidRPr="00915FC3" w:rsidRDefault="001F0F7E"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F5761F" w:rsidRPr="00915FC3" w:rsidRDefault="00F5761F" w:rsidP="001742EE">
            <w:pPr>
              <w:pStyle w:val="a4"/>
              <w:spacing w:after="0" w:line="240" w:lineRule="auto"/>
              <w:ind w:left="660"/>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r w:rsidRPr="00915FC3">
              <w:rPr>
                <w:rFonts w:ascii="Times New Roman" w:hAnsi="Times New Roman"/>
                <w:sz w:val="24"/>
                <w:szCs w:val="24"/>
                <w:lang w:val="en-US"/>
              </w:rPr>
              <w:t xml:space="preserve">    </w:t>
            </w: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r w:rsidRPr="00915FC3">
              <w:rPr>
                <w:rFonts w:ascii="Times New Roman" w:hAnsi="Times New Roman"/>
                <w:sz w:val="24"/>
                <w:szCs w:val="24"/>
                <w:lang w:val="en-US"/>
              </w:rPr>
              <w:t xml:space="preserve"> </w:t>
            </w:r>
          </w:p>
          <w:p w:rsidR="00F5761F" w:rsidRPr="00915FC3" w:rsidRDefault="00F5761F" w:rsidP="001742EE">
            <w:pPr>
              <w:spacing w:after="0" w:line="240" w:lineRule="auto"/>
              <w:jc w:val="both"/>
              <w:rPr>
                <w:rFonts w:ascii="Times New Roman" w:hAnsi="Times New Roman"/>
                <w:sz w:val="24"/>
                <w:szCs w:val="24"/>
                <w:lang w:val="en-US"/>
              </w:rPr>
            </w:pPr>
          </w:p>
          <w:p w:rsidR="00F5761F" w:rsidRPr="00915FC3" w:rsidRDefault="00F5761F" w:rsidP="001742EE">
            <w:pPr>
              <w:spacing w:after="0" w:line="240" w:lineRule="auto"/>
              <w:jc w:val="both"/>
              <w:rPr>
                <w:rFonts w:ascii="Times New Roman" w:hAnsi="Times New Roman"/>
                <w:sz w:val="24"/>
                <w:szCs w:val="24"/>
                <w:lang w:val="en-US"/>
              </w:rPr>
            </w:pPr>
          </w:p>
          <w:p w:rsidR="00F5761F" w:rsidRPr="00915FC3" w:rsidRDefault="00F5761F" w:rsidP="001742EE">
            <w:pPr>
              <w:spacing w:after="0" w:line="240" w:lineRule="auto"/>
              <w:jc w:val="both"/>
              <w:rPr>
                <w:rFonts w:ascii="Times New Roman" w:hAnsi="Times New Roman"/>
                <w:sz w:val="24"/>
                <w:szCs w:val="24"/>
                <w:lang w:val="en-US"/>
              </w:rPr>
            </w:pPr>
          </w:p>
          <w:p w:rsidR="00F5761F" w:rsidRPr="00915FC3" w:rsidRDefault="00F5761F" w:rsidP="001742EE">
            <w:pPr>
              <w:spacing w:after="0" w:line="240" w:lineRule="auto"/>
              <w:jc w:val="both"/>
              <w:rPr>
                <w:rFonts w:ascii="Times New Roman" w:hAnsi="Times New Roman"/>
                <w:sz w:val="24"/>
                <w:szCs w:val="24"/>
                <w:lang w:val="en-US"/>
              </w:rPr>
            </w:pPr>
          </w:p>
          <w:p w:rsidR="00915FC3" w:rsidRDefault="00915FC3" w:rsidP="001742EE">
            <w:pPr>
              <w:spacing w:after="0" w:line="240" w:lineRule="auto"/>
              <w:jc w:val="both"/>
              <w:rPr>
                <w:rFonts w:ascii="Times New Roman" w:hAnsi="Times New Roman"/>
                <w:sz w:val="24"/>
                <w:szCs w:val="24"/>
                <w:lang w:val="en-US"/>
              </w:rPr>
            </w:pPr>
          </w:p>
          <w:p w:rsidR="001F0F7E" w:rsidRPr="00915FC3" w:rsidRDefault="001F0F7E" w:rsidP="001742EE">
            <w:pPr>
              <w:spacing w:after="0" w:line="240" w:lineRule="auto"/>
              <w:jc w:val="both"/>
              <w:rPr>
                <w:rFonts w:ascii="Times New Roman" w:hAnsi="Times New Roman"/>
                <w:sz w:val="24"/>
                <w:szCs w:val="24"/>
                <w:lang w:val="en-US"/>
              </w:rPr>
            </w:pPr>
            <w:r w:rsidRPr="00915FC3">
              <w:rPr>
                <w:rFonts w:ascii="Times New Roman" w:hAnsi="Times New Roman"/>
                <w:sz w:val="24"/>
                <w:szCs w:val="24"/>
                <w:lang w:val="en-US"/>
              </w:rPr>
              <w:t xml:space="preserve">2. Prevederile expuse în cap.VIII </w:t>
            </w:r>
            <w:r w:rsidRPr="00915FC3">
              <w:rPr>
                <w:rFonts w:ascii="Times New Roman" w:hAnsi="Times New Roman"/>
                <w:sz w:val="24"/>
                <w:szCs w:val="24"/>
                <w:lang w:val="ro-RO"/>
              </w:rPr>
              <w:t xml:space="preserve">a Reglementării tehnice </w:t>
            </w:r>
            <w:r w:rsidRPr="00915FC3">
              <w:rPr>
                <w:rFonts w:ascii="Times New Roman" w:hAnsi="Times New Roman"/>
                <w:sz w:val="24"/>
                <w:szCs w:val="24"/>
                <w:lang w:val="en-US"/>
              </w:rPr>
              <w:t>stabilesc că mijloacele de măsurare sunt însoţite de declaraţia de conformitate semnată de producător, ceea ce nu corespunde prevederilor art.28 alin</w:t>
            </w:r>
            <w:proofErr w:type="gramStart"/>
            <w:r w:rsidRPr="00915FC3">
              <w:rPr>
                <w:rFonts w:ascii="Times New Roman" w:hAnsi="Times New Roman"/>
                <w:sz w:val="24"/>
                <w:szCs w:val="24"/>
                <w:lang w:val="en-US"/>
              </w:rPr>
              <w:t>.(</w:t>
            </w:r>
            <w:proofErr w:type="gramEnd"/>
            <w:r w:rsidRPr="00915FC3">
              <w:rPr>
                <w:rFonts w:ascii="Times New Roman" w:hAnsi="Times New Roman"/>
                <w:sz w:val="24"/>
                <w:szCs w:val="24"/>
                <w:lang w:val="en-US"/>
              </w:rPr>
              <w:t>2) din Legea nr.235 din 01.12.2011. Această prevedere a legii asigură responsabilitatea importatorului pentru conformitatea produselor importate şi ca urmare propunem ca la import declaraţia de conformitate să fie emisă şi semnată de către importator.</w:t>
            </w:r>
          </w:p>
          <w:p w:rsidR="001F0F7E" w:rsidRPr="00915FC3" w:rsidRDefault="001F0F7E" w:rsidP="001742EE">
            <w:pPr>
              <w:spacing w:after="0" w:line="240" w:lineRule="auto"/>
              <w:jc w:val="center"/>
              <w:rPr>
                <w:rFonts w:ascii="Times New Roman" w:hAnsi="Times New Roman"/>
                <w:sz w:val="24"/>
                <w:szCs w:val="24"/>
                <w:lang w:val="en-US"/>
              </w:rPr>
            </w:pPr>
          </w:p>
        </w:tc>
        <w:tc>
          <w:tcPr>
            <w:tcW w:w="4819" w:type="dxa"/>
          </w:tcPr>
          <w:p w:rsidR="00F5761F" w:rsidRPr="00915FC3" w:rsidRDefault="001F0F7E" w:rsidP="00F5761F">
            <w:pPr>
              <w:jc w:val="center"/>
              <w:rPr>
                <w:rFonts w:ascii="Times New Roman" w:hAnsi="Times New Roman"/>
                <w:b/>
                <w:sz w:val="24"/>
                <w:szCs w:val="24"/>
                <w:lang w:val="en-US"/>
              </w:rPr>
            </w:pPr>
            <w:r w:rsidRPr="00915FC3">
              <w:rPr>
                <w:rFonts w:ascii="Times New Roman" w:hAnsi="Times New Roman"/>
                <w:b/>
                <w:sz w:val="24"/>
                <w:szCs w:val="24"/>
                <w:lang w:val="en-US"/>
              </w:rPr>
              <w:lastRenderedPageBreak/>
              <w:t>Nu se acceptă,</w:t>
            </w:r>
          </w:p>
          <w:p w:rsidR="001F0F7E" w:rsidRPr="00915FC3" w:rsidRDefault="001F0F7E" w:rsidP="00F5761F">
            <w:pPr>
              <w:jc w:val="both"/>
              <w:rPr>
                <w:rFonts w:ascii="Times New Roman" w:hAnsi="Times New Roman"/>
                <w:sz w:val="24"/>
                <w:szCs w:val="24"/>
                <w:lang w:val="en-US"/>
              </w:rPr>
            </w:pPr>
            <w:r w:rsidRPr="00915FC3">
              <w:rPr>
                <w:rFonts w:ascii="Times New Roman" w:hAnsi="Times New Roman"/>
                <w:sz w:val="24"/>
                <w:szCs w:val="24"/>
                <w:lang w:val="en-US"/>
              </w:rPr>
              <w:t xml:space="preserve">Ministerul Economiei </w:t>
            </w:r>
            <w:proofErr w:type="gramStart"/>
            <w:r w:rsidRPr="00915FC3">
              <w:rPr>
                <w:rFonts w:ascii="Times New Roman" w:hAnsi="Times New Roman"/>
                <w:sz w:val="24"/>
                <w:szCs w:val="24"/>
                <w:lang w:val="en-US"/>
              </w:rPr>
              <w:t>a</w:t>
            </w:r>
            <w:proofErr w:type="gramEnd"/>
            <w:r w:rsidRPr="00915FC3">
              <w:rPr>
                <w:rFonts w:ascii="Times New Roman" w:hAnsi="Times New Roman"/>
                <w:sz w:val="24"/>
                <w:szCs w:val="24"/>
                <w:lang w:val="en-US"/>
              </w:rPr>
              <w:t xml:space="preserve"> elaborat proiectul de modificare a Legii nr. 235 din 11.12.2011 care prevede includerea prevederilor ce ţin de aplicarea marcajului CE, care nu este restricţionată pentru producătorii din ţările terţe, cu condiţia respectării stricte a tuturor prevederilor din reglementarea tehnică respectivă. </w:t>
            </w:r>
          </w:p>
          <w:p w:rsidR="00915FC3" w:rsidRPr="00915FC3" w:rsidRDefault="001F0F7E" w:rsidP="00EC14DD">
            <w:pPr>
              <w:jc w:val="both"/>
              <w:rPr>
                <w:rFonts w:ascii="Times New Roman" w:hAnsi="Times New Roman"/>
                <w:sz w:val="24"/>
                <w:szCs w:val="24"/>
                <w:lang w:val="en-US"/>
              </w:rPr>
            </w:pPr>
            <w:r w:rsidRPr="00915FC3">
              <w:rPr>
                <w:rFonts w:ascii="Times New Roman" w:hAnsi="Times New Roman"/>
                <w:sz w:val="24"/>
                <w:szCs w:val="24"/>
                <w:lang w:val="en-US"/>
              </w:rPr>
              <w:t xml:space="preserve">Este de menţionat că, producătorii din China exportă produsele pe piaţa UE aplicînd marcajul respectiv sub responsabilitatea producătorului sau reprezentantului autorizat. În cadrul consultării proiectului reglementării în cauză a fost consultat şi producătorul autohton a mijloacelor de măsurare (contoare de energie electrică), ce fac obiectul prezentei reglementări tehnice - „ADD-Production” SRL. Producător nominalizat actualmente exportă mijloace de măsurare pe piaţa UE respectînd toate cerinţele din reglementare, </w:t>
            </w:r>
            <w:proofErr w:type="gramStart"/>
            <w:r w:rsidRPr="00915FC3">
              <w:rPr>
                <w:rFonts w:ascii="Times New Roman" w:hAnsi="Times New Roman"/>
                <w:sz w:val="24"/>
                <w:szCs w:val="24"/>
                <w:lang w:val="en-US"/>
              </w:rPr>
              <w:t>inclusiv  condiţia</w:t>
            </w:r>
            <w:proofErr w:type="gramEnd"/>
            <w:r w:rsidRPr="00915FC3">
              <w:rPr>
                <w:rFonts w:ascii="Times New Roman" w:hAnsi="Times New Roman"/>
                <w:sz w:val="24"/>
                <w:szCs w:val="24"/>
                <w:lang w:val="en-US"/>
              </w:rPr>
              <w:t xml:space="preserve"> de apelare la un  organism de evaluare a conformităţii notificat </w:t>
            </w:r>
            <w:r w:rsidRPr="00915FC3">
              <w:rPr>
                <w:rFonts w:ascii="Cambria Math" w:hAnsi="Cambria Math" w:cs="Cambria Math"/>
                <w:sz w:val="24"/>
                <w:szCs w:val="24"/>
                <w:lang w:val="en-US"/>
              </w:rPr>
              <w:t>ș</w:t>
            </w:r>
            <w:r w:rsidRPr="00915FC3">
              <w:rPr>
                <w:rFonts w:ascii="Times New Roman" w:hAnsi="Times New Roman"/>
                <w:sz w:val="24"/>
                <w:szCs w:val="24"/>
                <w:lang w:val="en-US"/>
              </w:rPr>
              <w:t xml:space="preserve">i de aplicare a marcajului CE. Prevederile privind marca de conformitate SM sunt pentru producătorii autohtoni care plasează produsele pe piaţa interna sau în ţările CSI în care aceasta marca este recunoscută în baza Acordurilor de recunoaştere reciprocă. Prevederile privind aplicarea mărcii SM vor fi valabile pănă la </w:t>
            </w:r>
            <w:r w:rsidRPr="00915FC3">
              <w:rPr>
                <w:rFonts w:ascii="Times New Roman" w:hAnsi="Times New Roman"/>
                <w:sz w:val="24"/>
                <w:szCs w:val="24"/>
                <w:lang w:val="en-US"/>
              </w:rPr>
              <w:lastRenderedPageBreak/>
              <w:t>semnarea acordului AECA</w:t>
            </w:r>
            <w:r w:rsidRPr="00915FC3">
              <w:rPr>
                <w:rFonts w:ascii="Times New Roman" w:hAnsi="Times New Roman"/>
                <w:sz w:val="24"/>
                <w:szCs w:val="24"/>
                <w:lang w:val="ro-RO"/>
              </w:rPr>
              <w:t xml:space="preserve"> pentru domeniul respectiv</w:t>
            </w:r>
            <w:r w:rsidRPr="00915FC3">
              <w:rPr>
                <w:rFonts w:ascii="Times New Roman" w:hAnsi="Times New Roman"/>
                <w:sz w:val="24"/>
                <w:szCs w:val="24"/>
                <w:lang w:val="en-US"/>
              </w:rPr>
              <w:t>.</w:t>
            </w:r>
          </w:p>
          <w:p w:rsidR="001F0F7E" w:rsidRPr="00915FC3" w:rsidRDefault="001F0F7E" w:rsidP="00F5761F">
            <w:pPr>
              <w:jc w:val="both"/>
              <w:rPr>
                <w:rFonts w:ascii="Times New Roman" w:hAnsi="Times New Roman"/>
                <w:sz w:val="24"/>
                <w:szCs w:val="24"/>
                <w:lang w:val="ro-RO"/>
              </w:rPr>
            </w:pPr>
            <w:r w:rsidRPr="00915FC3">
              <w:rPr>
                <w:rFonts w:ascii="Times New Roman" w:hAnsi="Times New Roman"/>
                <w:sz w:val="24"/>
                <w:szCs w:val="24"/>
                <w:lang w:val="ro-RO"/>
              </w:rPr>
              <w:t xml:space="preserve">Totodată proiectul prevede posibilitatea de intocmire a declaraţiei de conformitate de către producător sau reprezentantul autorizat de acesta.  Atribuţia importatorului privind emiterea pe propria responsabilitate în temeiul documentaţiei tehnice a producătorului, este o prevedere care denaturează conceptul domeniului armonizat. Întocmirea documentaţiei tehnice şi, în baza acesteia,  emiterea declaraţiei de conformitate nu poate fi asigurată de importator sau distribuitor. </w:t>
            </w:r>
          </w:p>
        </w:tc>
      </w:tr>
      <w:tr w:rsidR="00915FC3" w:rsidRPr="00915FC3" w:rsidTr="00915FC3">
        <w:trPr>
          <w:trHeight w:val="979"/>
        </w:trPr>
        <w:tc>
          <w:tcPr>
            <w:tcW w:w="708" w:type="dxa"/>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Ministerul Afacerilor Interne</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22/524 din 16.03.2015</w:t>
            </w:r>
          </w:p>
        </w:tc>
        <w:tc>
          <w:tcPr>
            <w:tcW w:w="7513" w:type="dxa"/>
          </w:tcPr>
          <w:p w:rsidR="001F0F7E" w:rsidRPr="00915FC3" w:rsidRDefault="001F0F7E" w:rsidP="00915FC3">
            <w:pPr>
              <w:jc w:val="both"/>
              <w:rPr>
                <w:rFonts w:ascii="Times New Roman" w:hAnsi="Times New Roman"/>
                <w:sz w:val="24"/>
                <w:szCs w:val="24"/>
                <w:lang w:val="ro-RO"/>
              </w:rPr>
            </w:pPr>
            <w:r w:rsidRPr="00915FC3">
              <w:rPr>
                <w:rFonts w:ascii="Times New Roman" w:hAnsi="Times New Roman"/>
                <w:sz w:val="24"/>
                <w:szCs w:val="24"/>
                <w:lang w:val="ro-RO"/>
              </w:rPr>
              <w:t>La proiectul hotărîrii Guvernului:</w:t>
            </w:r>
          </w:p>
          <w:p w:rsidR="001F0F7E" w:rsidRPr="00915FC3" w:rsidRDefault="001F0F7E" w:rsidP="00915FC3">
            <w:pPr>
              <w:jc w:val="both"/>
              <w:rPr>
                <w:rFonts w:ascii="Times New Roman" w:hAnsi="Times New Roman"/>
                <w:sz w:val="24"/>
                <w:szCs w:val="24"/>
                <w:lang w:val="en-US"/>
              </w:rPr>
            </w:pPr>
            <w:r w:rsidRPr="00915FC3">
              <w:rPr>
                <w:rFonts w:ascii="Times New Roman" w:hAnsi="Times New Roman"/>
                <w:sz w:val="24"/>
                <w:szCs w:val="24"/>
                <w:lang w:val="ro-RO"/>
              </w:rPr>
              <w:t>În clauza de emitere a act</w:t>
            </w:r>
            <w:r w:rsidRPr="00915FC3">
              <w:rPr>
                <w:rFonts w:ascii="Times New Roman" w:hAnsi="Times New Roman"/>
                <w:sz w:val="24"/>
                <w:szCs w:val="24"/>
                <w:lang w:val="en-US"/>
              </w:rPr>
              <w:t>ului normativ se va face referin</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ă </w:t>
            </w:r>
            <w:r w:rsidRPr="00915FC3">
              <w:rPr>
                <w:rFonts w:ascii="Cambria Math" w:hAnsi="Cambria Math" w:cs="Cambria Math"/>
                <w:sz w:val="24"/>
                <w:szCs w:val="24"/>
                <w:lang w:val="en-US"/>
              </w:rPr>
              <w:t>ș</w:t>
            </w:r>
            <w:r w:rsidRPr="00915FC3">
              <w:rPr>
                <w:rFonts w:ascii="Times New Roman" w:hAnsi="Times New Roman"/>
                <w:sz w:val="24"/>
                <w:szCs w:val="24"/>
                <w:lang w:val="en-US"/>
              </w:rPr>
              <w:t xml:space="preserve">i la art. 8 alin. (2) </w:t>
            </w:r>
            <w:proofErr w:type="gramStart"/>
            <w:r w:rsidRPr="00915FC3">
              <w:rPr>
                <w:rFonts w:ascii="Times New Roman" w:hAnsi="Times New Roman"/>
                <w:sz w:val="24"/>
                <w:szCs w:val="24"/>
                <w:lang w:val="en-US"/>
              </w:rPr>
              <w:t>sau</w:t>
            </w:r>
            <w:proofErr w:type="gramEnd"/>
            <w:r w:rsidRPr="00915FC3">
              <w:rPr>
                <w:rFonts w:ascii="Times New Roman" w:hAnsi="Times New Roman"/>
                <w:sz w:val="24"/>
                <w:szCs w:val="24"/>
                <w:lang w:val="en-US"/>
              </w:rPr>
              <w:t xml:space="preserve"> (21) din Legea nr. 420-XVI din 22 decembrie 2006 privind activitatea de reglementare tehnică, potrivit căruia reglementările tehnice care conţin proceduri de evaluare a conformităţii se aprobă de Guvern. Obligativitatea evaluării conformităţii produselor, precum şi cerinţele care trebuie verificate în procesul evaluării conformităţii produselor din domeniul reglementat se stabilesc în reglementări tehnice aprobate prin legi sau hotărîri de Guvern. Or, reie</w:t>
            </w:r>
            <w:r w:rsidRPr="00915FC3">
              <w:rPr>
                <w:rFonts w:ascii="Cambria Math" w:hAnsi="Cambria Math" w:cs="Cambria Math"/>
                <w:sz w:val="24"/>
                <w:szCs w:val="24"/>
                <w:lang w:val="en-US"/>
              </w:rPr>
              <w:t>ș</w:t>
            </w:r>
            <w:r w:rsidRPr="00915FC3">
              <w:rPr>
                <w:rFonts w:ascii="Times New Roman" w:hAnsi="Times New Roman"/>
                <w:sz w:val="24"/>
                <w:szCs w:val="24"/>
                <w:lang w:val="en-US"/>
              </w:rPr>
              <w:t xml:space="preserve">ind din prevederile art. 52 alin. (1) </w:t>
            </w:r>
            <w:proofErr w:type="gramStart"/>
            <w:r w:rsidRPr="00915FC3">
              <w:rPr>
                <w:rFonts w:ascii="Times New Roman" w:hAnsi="Times New Roman"/>
                <w:sz w:val="24"/>
                <w:szCs w:val="24"/>
                <w:lang w:val="en-US"/>
              </w:rPr>
              <w:t>din</w:t>
            </w:r>
            <w:proofErr w:type="gramEnd"/>
            <w:r w:rsidRPr="00915FC3">
              <w:rPr>
                <w:rFonts w:ascii="Times New Roman" w:hAnsi="Times New Roman"/>
                <w:sz w:val="24"/>
                <w:szCs w:val="24"/>
                <w:lang w:val="en-US"/>
              </w:rPr>
              <w:t xml:space="preserve"> Legea nr. 317-XV privind actele normative ale Guvernului şi ale altor autorităţi ale administraţiei publice centrale şi locale din 18 iulie 2003, clauza de emitere stabileşte temeiul legal de emitere a actului normativ. În actele Guvernului se va adăuga, după caz, şi temeiul din legea respectivă. Prin urmare, clauza de emitere </w:t>
            </w:r>
            <w:proofErr w:type="gramStart"/>
            <w:r w:rsidRPr="00915FC3">
              <w:rPr>
                <w:rFonts w:ascii="Times New Roman" w:hAnsi="Times New Roman"/>
                <w:sz w:val="24"/>
                <w:szCs w:val="24"/>
                <w:lang w:val="en-US"/>
              </w:rPr>
              <w:t>a</w:t>
            </w:r>
            <w:proofErr w:type="gramEnd"/>
            <w:r w:rsidRPr="00915FC3">
              <w:rPr>
                <w:rFonts w:ascii="Times New Roman" w:hAnsi="Times New Roman"/>
                <w:sz w:val="24"/>
                <w:szCs w:val="24"/>
                <w:lang w:val="en-US"/>
              </w:rPr>
              <w:t xml:space="preserve"> actului normativ va conţine trimiterea propriu-zisă din lege, care acordă Guvernului competen</w:t>
            </w:r>
            <w:r w:rsidRPr="00915FC3">
              <w:rPr>
                <w:rFonts w:ascii="Cambria Math" w:hAnsi="Cambria Math" w:cs="Cambria Math"/>
                <w:sz w:val="24"/>
                <w:szCs w:val="24"/>
                <w:lang w:val="en-US"/>
              </w:rPr>
              <w:t>ț</w:t>
            </w:r>
            <w:r w:rsidRPr="00915FC3">
              <w:rPr>
                <w:rFonts w:ascii="Times New Roman" w:hAnsi="Times New Roman"/>
                <w:sz w:val="24"/>
                <w:szCs w:val="24"/>
                <w:lang w:val="en-US"/>
              </w:rPr>
              <w:t>a de a aproba Reglementarea tehnică respectivă.</w:t>
            </w:r>
          </w:p>
          <w:p w:rsidR="001F0F7E" w:rsidRPr="00915FC3" w:rsidRDefault="001F0F7E" w:rsidP="00915FC3">
            <w:pPr>
              <w:jc w:val="both"/>
              <w:rPr>
                <w:rFonts w:ascii="Times New Roman" w:hAnsi="Times New Roman"/>
                <w:sz w:val="24"/>
                <w:szCs w:val="24"/>
                <w:lang w:val="en-US"/>
              </w:rPr>
            </w:pPr>
            <w:r w:rsidRPr="00915FC3">
              <w:rPr>
                <w:rFonts w:ascii="Times New Roman" w:hAnsi="Times New Roman"/>
                <w:sz w:val="24"/>
                <w:szCs w:val="24"/>
                <w:lang w:val="en-US"/>
              </w:rPr>
              <w:t>La proiectul Reglementării tehnice privind punerea la dispozi</w:t>
            </w:r>
            <w:r w:rsidRPr="00915FC3">
              <w:rPr>
                <w:rFonts w:ascii="Cambria Math" w:hAnsi="Cambria Math" w:cs="Cambria Math"/>
                <w:sz w:val="24"/>
                <w:szCs w:val="24"/>
                <w:lang w:val="en-US"/>
              </w:rPr>
              <w:t>ț</w:t>
            </w:r>
            <w:r w:rsidRPr="00915FC3">
              <w:rPr>
                <w:rFonts w:ascii="Times New Roman" w:hAnsi="Times New Roman"/>
                <w:sz w:val="24"/>
                <w:szCs w:val="24"/>
                <w:lang w:val="en-US"/>
              </w:rPr>
              <w:t>ie pe pia</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ă a </w:t>
            </w:r>
            <w:r w:rsidRPr="00915FC3">
              <w:rPr>
                <w:rFonts w:ascii="Times New Roman" w:hAnsi="Times New Roman"/>
                <w:sz w:val="24"/>
                <w:szCs w:val="24"/>
                <w:lang w:val="en-US"/>
              </w:rPr>
              <w:lastRenderedPageBreak/>
              <w:t>mijloacelor de măsurare:</w:t>
            </w:r>
          </w:p>
          <w:p w:rsidR="001F0F7E" w:rsidRPr="00915FC3" w:rsidRDefault="001F0F7E" w:rsidP="00915FC3">
            <w:pPr>
              <w:jc w:val="both"/>
              <w:rPr>
                <w:rFonts w:ascii="Times New Roman" w:hAnsi="Times New Roman"/>
                <w:sz w:val="24"/>
                <w:szCs w:val="24"/>
                <w:lang w:val="en-US"/>
              </w:rPr>
            </w:pPr>
            <w:r w:rsidRPr="00915FC3">
              <w:rPr>
                <w:rFonts w:ascii="Times New Roman" w:hAnsi="Times New Roman"/>
                <w:sz w:val="24"/>
                <w:szCs w:val="24"/>
                <w:lang w:val="en-US"/>
              </w:rPr>
              <w:t xml:space="preserve">La pct. 7, se consideră judicios ca </w:t>
            </w:r>
            <w:proofErr w:type="gramStart"/>
            <w:r w:rsidRPr="00915FC3">
              <w:rPr>
                <w:rFonts w:ascii="Times New Roman" w:hAnsi="Times New Roman"/>
                <w:sz w:val="24"/>
                <w:szCs w:val="24"/>
                <w:lang w:val="en-US"/>
              </w:rPr>
              <w:t>sintagma ”</w:t>
            </w:r>
            <w:proofErr w:type="gramEnd"/>
            <w:r w:rsidRPr="00915FC3">
              <w:rPr>
                <w:rFonts w:ascii="Times New Roman" w:hAnsi="Times New Roman"/>
                <w:sz w:val="24"/>
                <w:szCs w:val="24"/>
                <w:lang w:val="en-US"/>
              </w:rPr>
              <w:t>de supraveghere a pie</w:t>
            </w:r>
            <w:r w:rsidRPr="00915FC3">
              <w:rPr>
                <w:rFonts w:ascii="Cambria Math" w:hAnsi="Cambria Math" w:cs="Cambria Math"/>
                <w:sz w:val="24"/>
                <w:szCs w:val="24"/>
                <w:lang w:val="en-US"/>
              </w:rPr>
              <w:t>ț</w:t>
            </w:r>
            <w:r w:rsidRPr="00915FC3">
              <w:rPr>
                <w:rFonts w:ascii="Times New Roman" w:hAnsi="Times New Roman"/>
                <w:sz w:val="24"/>
                <w:szCs w:val="24"/>
                <w:lang w:val="en-US"/>
              </w:rPr>
              <w:t>ei” să fie completată cu sintagma ”privind conformitatea cu cerinţele prescrise şi/sau declarate a produselor fabricate şi plasate pe piaţă şi a serviciilor prestate”, corespunzător prevederilor art. 16 alin. (1) al Legii nr. 420 din 22 decembrie 2006, potrivit cărora supravegherea pieţei privind conformitatea cu cerinţele prescrise şi/sau declarate a produselor fabricate şi plasate pe piaţă şi a serviciilor prestate se efectuează, în numele statului, de către Ministerul Economiei, prin intermediul Agenţiei pentru Protecţia Consumatorilor, şi alte organe centrale de specialitate ale administraţiei publice, în condiţiile legii. Or, argumentarea expusă de către autorul proiectului în tabelul divergen</w:t>
            </w:r>
            <w:r w:rsidRPr="00915FC3">
              <w:rPr>
                <w:rFonts w:ascii="Cambria Math" w:hAnsi="Cambria Math" w:cs="Cambria Math"/>
                <w:sz w:val="24"/>
                <w:szCs w:val="24"/>
                <w:lang w:val="en-US"/>
              </w:rPr>
              <w:t>ț</w:t>
            </w:r>
            <w:r w:rsidRPr="00915FC3">
              <w:rPr>
                <w:rFonts w:ascii="Times New Roman" w:hAnsi="Times New Roman"/>
                <w:sz w:val="24"/>
                <w:szCs w:val="24"/>
                <w:lang w:val="en-US"/>
              </w:rPr>
              <w:t>elor în raport cu această obiec</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ie, potrivit </w:t>
            </w:r>
            <w:proofErr w:type="gramStart"/>
            <w:r w:rsidRPr="00915FC3">
              <w:rPr>
                <w:rFonts w:ascii="Times New Roman" w:hAnsi="Times New Roman"/>
                <w:sz w:val="24"/>
                <w:szCs w:val="24"/>
                <w:lang w:val="en-US"/>
              </w:rPr>
              <w:t>căreia ”</w:t>
            </w:r>
            <w:proofErr w:type="gramEnd"/>
            <w:r w:rsidRPr="00915FC3">
              <w:rPr>
                <w:rFonts w:ascii="Times New Roman" w:hAnsi="Times New Roman"/>
                <w:sz w:val="24"/>
                <w:szCs w:val="24"/>
                <w:lang w:val="en-US"/>
              </w:rPr>
              <w:t>prin sintagma propusă, Agenţia pentru Protecţia Consumatorilor este autoritatea desemnată de Guvern pentru supravegherea pieţei, iar prin promovarea proiectului de Lege privind supravegherea pieţei (actualmente este examinat de Parlament) şi respectiv modificarea unor acte legislative care merg în pachet cu proiectul nominalizat, Capitolul V, inclusiv art. 16 din Legea nr. 420-XVI din 22 decembrie 2007 se abrogă”, se consideră nejustificată, în special avînd în vedere că proiectul legii privind supravegherea pie</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ei (nr. de înregistrare în Parlament 250 din 27.06.2014) a fost declarat nul </w:t>
            </w:r>
            <w:r w:rsidRPr="00915FC3">
              <w:rPr>
                <w:rFonts w:ascii="Cambria Math" w:hAnsi="Cambria Math" w:cs="Cambria Math"/>
                <w:sz w:val="24"/>
                <w:szCs w:val="24"/>
                <w:lang w:val="en-US"/>
              </w:rPr>
              <w:t>ș</w:t>
            </w:r>
            <w:r w:rsidRPr="00915FC3">
              <w:rPr>
                <w:rFonts w:ascii="Times New Roman" w:hAnsi="Times New Roman"/>
                <w:sz w:val="24"/>
                <w:szCs w:val="24"/>
                <w:lang w:val="en-US"/>
              </w:rPr>
              <w:t xml:space="preserve">i exclus din procedura legislativă, respectiv acesta urmînd a fi supus unei noi proceduri de coordonare. În plus, un proiect de hotărîre a Guvernului este elaborat în vederea executării legii, iar atît timp cît prevederea de la art. 16 alin. (1) </w:t>
            </w:r>
            <w:proofErr w:type="gramStart"/>
            <w:r w:rsidRPr="00915FC3">
              <w:rPr>
                <w:rFonts w:ascii="Times New Roman" w:hAnsi="Times New Roman"/>
                <w:sz w:val="24"/>
                <w:szCs w:val="24"/>
                <w:lang w:val="en-US"/>
              </w:rPr>
              <w:t>din</w:t>
            </w:r>
            <w:proofErr w:type="gramEnd"/>
            <w:r w:rsidRPr="00915FC3">
              <w:rPr>
                <w:rFonts w:ascii="Times New Roman" w:hAnsi="Times New Roman"/>
                <w:sz w:val="24"/>
                <w:szCs w:val="24"/>
                <w:lang w:val="en-US"/>
              </w:rPr>
              <w:t xml:space="preserve"> Legea nr. 420 din 22 decembrie 2006 este în vigoare </w:t>
            </w:r>
            <w:r w:rsidRPr="00915FC3">
              <w:rPr>
                <w:rFonts w:ascii="Cambria Math" w:hAnsi="Cambria Math" w:cs="Cambria Math"/>
                <w:sz w:val="24"/>
                <w:szCs w:val="24"/>
                <w:lang w:val="en-US"/>
              </w:rPr>
              <w:t>ș</w:t>
            </w:r>
            <w:r w:rsidRPr="00915FC3">
              <w:rPr>
                <w:rFonts w:ascii="Times New Roman" w:hAnsi="Times New Roman"/>
                <w:sz w:val="24"/>
                <w:szCs w:val="24"/>
                <w:lang w:val="en-US"/>
              </w:rPr>
              <w:t>i produce efecte juridice, actele normative subordonate acesteia vor fi elaborate în conformitate cu prevederile stabilite.</w:t>
            </w:r>
          </w:p>
          <w:p w:rsidR="001F0F7E" w:rsidRPr="00915FC3" w:rsidRDefault="001F0F7E" w:rsidP="00915FC3">
            <w:pPr>
              <w:jc w:val="both"/>
              <w:rPr>
                <w:rFonts w:ascii="Times New Roman" w:hAnsi="Times New Roman"/>
                <w:sz w:val="24"/>
                <w:szCs w:val="24"/>
                <w:lang w:val="en-US"/>
              </w:rPr>
            </w:pPr>
            <w:r w:rsidRPr="00915FC3">
              <w:rPr>
                <w:rFonts w:ascii="Times New Roman" w:hAnsi="Times New Roman"/>
                <w:sz w:val="24"/>
                <w:szCs w:val="24"/>
                <w:lang w:val="en-US"/>
              </w:rPr>
              <w:t>Mai mult, la pct. 12, sintagma „Legea privind supravegherea pie</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ei” se va exclude, avînd în vedere că legea la care se face referire este în fază de proiect, iar potrivit prevederilor art. 46 alin. (1) </w:t>
            </w:r>
            <w:proofErr w:type="gramStart"/>
            <w:r w:rsidRPr="00915FC3">
              <w:rPr>
                <w:rFonts w:ascii="Times New Roman" w:hAnsi="Times New Roman"/>
                <w:sz w:val="24"/>
                <w:szCs w:val="24"/>
                <w:lang w:val="en-US"/>
              </w:rPr>
              <w:t>din</w:t>
            </w:r>
            <w:proofErr w:type="gramEnd"/>
            <w:r w:rsidRPr="00915FC3">
              <w:rPr>
                <w:rFonts w:ascii="Times New Roman" w:hAnsi="Times New Roman"/>
                <w:sz w:val="24"/>
                <w:szCs w:val="24"/>
                <w:lang w:val="en-US"/>
              </w:rPr>
              <w:t xml:space="preserve"> Legea nr. 780 – XV din 27 decembrie 2001 privind actele legislative, actul legislativ produce efecte numai în timpul cît este în vigoare şi nu poate fi retroactiv sau ultraactiv. Totodată, potrivit art. 76 din Constituţia Republicii Moldova, legea se </w:t>
            </w:r>
            <w:r w:rsidRPr="00915FC3">
              <w:rPr>
                <w:rFonts w:ascii="Times New Roman" w:hAnsi="Times New Roman"/>
                <w:sz w:val="24"/>
                <w:szCs w:val="24"/>
                <w:lang w:val="en-US"/>
              </w:rPr>
              <w:lastRenderedPageBreak/>
              <w:t>publică în Monitorul Oficial al Republicii Moldova şi intră în vigoare la data publicării sau la data prevăzută în textul ei. Nepublicarea legii atrage inexistenţa acesteia. Respectiv, se consideră prematură referinţa la un proiect de act legislativ, avînd în vedere că nu se cunoaşte cu certitudine voinţa finală a legiuitorului.</w:t>
            </w:r>
          </w:p>
          <w:p w:rsidR="001F0F7E" w:rsidRPr="00915FC3" w:rsidRDefault="001F0F7E" w:rsidP="00915FC3">
            <w:pPr>
              <w:jc w:val="both"/>
              <w:rPr>
                <w:rFonts w:ascii="Times New Roman" w:hAnsi="Times New Roman"/>
                <w:sz w:val="24"/>
                <w:szCs w:val="24"/>
                <w:lang w:val="en-US"/>
              </w:rPr>
            </w:pPr>
            <w:r w:rsidRPr="00915FC3">
              <w:rPr>
                <w:rFonts w:ascii="Times New Roman" w:hAnsi="Times New Roman"/>
                <w:sz w:val="24"/>
                <w:szCs w:val="24"/>
                <w:lang w:val="en-US"/>
              </w:rPr>
              <w:t xml:space="preserve">La pct. 98, prevederile expuse la lit. e) </w:t>
            </w:r>
            <w:proofErr w:type="gramStart"/>
            <w:r w:rsidRPr="00915FC3">
              <w:rPr>
                <w:rFonts w:ascii="Times New Roman" w:hAnsi="Times New Roman"/>
                <w:sz w:val="24"/>
                <w:szCs w:val="24"/>
                <w:lang w:val="en-US"/>
              </w:rPr>
              <w:t>se</w:t>
            </w:r>
            <w:proofErr w:type="gramEnd"/>
            <w:r w:rsidRPr="00915FC3">
              <w:rPr>
                <w:rFonts w:ascii="Times New Roman" w:hAnsi="Times New Roman"/>
                <w:sz w:val="24"/>
                <w:szCs w:val="24"/>
                <w:lang w:val="en-US"/>
              </w:rPr>
              <w:t xml:space="preserve"> vor examina suplimentar prin prisma prevederilor art. 7 alin. (1) </w:t>
            </w:r>
            <w:r w:rsidRPr="00915FC3">
              <w:rPr>
                <w:rFonts w:ascii="Cambria Math" w:hAnsi="Cambria Math" w:cs="Cambria Math"/>
                <w:sz w:val="24"/>
                <w:szCs w:val="24"/>
                <w:lang w:val="en-US"/>
              </w:rPr>
              <w:t>ș</w:t>
            </w:r>
            <w:r w:rsidRPr="00915FC3">
              <w:rPr>
                <w:rFonts w:ascii="Times New Roman" w:hAnsi="Times New Roman"/>
                <w:sz w:val="24"/>
                <w:szCs w:val="24"/>
                <w:lang w:val="en-US"/>
              </w:rPr>
              <w:t>i (2) din Legea nr. 982-XIV din 11 mai 2000 privind accesul la informa</w:t>
            </w:r>
            <w:r w:rsidRPr="00915FC3">
              <w:rPr>
                <w:rFonts w:ascii="Cambria Math" w:hAnsi="Cambria Math" w:cs="Cambria Math"/>
                <w:sz w:val="24"/>
                <w:szCs w:val="24"/>
                <w:lang w:val="en-US"/>
              </w:rPr>
              <w:t>ț</w:t>
            </w:r>
            <w:r w:rsidRPr="00915FC3">
              <w:rPr>
                <w:rFonts w:ascii="Times New Roman" w:hAnsi="Times New Roman"/>
                <w:sz w:val="24"/>
                <w:szCs w:val="24"/>
                <w:lang w:val="en-US"/>
              </w:rPr>
              <w:t>ie, potrivit cărora informa</w:t>
            </w:r>
            <w:r w:rsidRPr="00915FC3">
              <w:rPr>
                <w:rFonts w:ascii="Cambria Math" w:hAnsi="Cambria Math" w:cs="Cambria Math"/>
                <w:sz w:val="24"/>
                <w:szCs w:val="24"/>
                <w:lang w:val="en-US"/>
              </w:rPr>
              <w:t>ț</w:t>
            </w:r>
            <w:r w:rsidRPr="00915FC3">
              <w:rPr>
                <w:rFonts w:ascii="Times New Roman" w:hAnsi="Times New Roman"/>
                <w:sz w:val="24"/>
                <w:szCs w:val="24"/>
                <w:lang w:val="en-US"/>
              </w:rPr>
              <w:t>iile oficiale cu accesibilitate limitată, care corespund necesită</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ilor respectării drepturilor </w:t>
            </w:r>
            <w:r w:rsidRPr="00915FC3">
              <w:rPr>
                <w:rFonts w:ascii="Cambria Math" w:hAnsi="Cambria Math" w:cs="Cambria Math"/>
                <w:sz w:val="24"/>
                <w:szCs w:val="24"/>
                <w:lang w:val="en-US"/>
              </w:rPr>
              <w:t>ș</w:t>
            </w:r>
            <w:r w:rsidRPr="00915FC3">
              <w:rPr>
                <w:rFonts w:ascii="Times New Roman" w:hAnsi="Times New Roman"/>
                <w:sz w:val="24"/>
                <w:szCs w:val="24"/>
                <w:lang w:val="en-US"/>
              </w:rPr>
              <w:t>i reputa</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iei altei persoane, precum </w:t>
            </w:r>
            <w:r w:rsidRPr="00915FC3">
              <w:rPr>
                <w:rFonts w:ascii="Cambria Math" w:hAnsi="Cambria Math" w:cs="Cambria Math"/>
                <w:sz w:val="24"/>
                <w:szCs w:val="24"/>
                <w:lang w:val="en-US"/>
              </w:rPr>
              <w:t>ș</w:t>
            </w:r>
            <w:r w:rsidRPr="00915FC3">
              <w:rPr>
                <w:rFonts w:ascii="Times New Roman" w:hAnsi="Times New Roman"/>
                <w:sz w:val="24"/>
                <w:szCs w:val="24"/>
                <w:lang w:val="en-US"/>
              </w:rPr>
              <w:t>i protec</w:t>
            </w:r>
            <w:r w:rsidRPr="00915FC3">
              <w:rPr>
                <w:rFonts w:ascii="Cambria Math" w:hAnsi="Cambria Math" w:cs="Cambria Math"/>
                <w:sz w:val="24"/>
                <w:szCs w:val="24"/>
                <w:lang w:val="en-US"/>
              </w:rPr>
              <w:t>ț</w:t>
            </w:r>
            <w:r w:rsidRPr="00915FC3">
              <w:rPr>
                <w:rFonts w:ascii="Times New Roman" w:hAnsi="Times New Roman"/>
                <w:sz w:val="24"/>
                <w:szCs w:val="24"/>
                <w:lang w:val="en-US"/>
              </w:rPr>
              <w:t>iei securită</w:t>
            </w:r>
            <w:r w:rsidRPr="00915FC3">
              <w:rPr>
                <w:rFonts w:ascii="Cambria Math" w:hAnsi="Cambria Math" w:cs="Cambria Math"/>
                <w:sz w:val="24"/>
                <w:szCs w:val="24"/>
                <w:lang w:val="en-US"/>
              </w:rPr>
              <w:t>ț</w:t>
            </w:r>
            <w:r w:rsidRPr="00915FC3">
              <w:rPr>
                <w:rFonts w:ascii="Times New Roman" w:hAnsi="Times New Roman"/>
                <w:sz w:val="24"/>
                <w:szCs w:val="24"/>
                <w:lang w:val="en-US"/>
              </w:rPr>
              <w:t>ii na</w:t>
            </w:r>
            <w:r w:rsidRPr="00915FC3">
              <w:rPr>
                <w:rFonts w:ascii="Cambria Math" w:hAnsi="Cambria Math" w:cs="Cambria Math"/>
                <w:sz w:val="24"/>
                <w:szCs w:val="24"/>
                <w:lang w:val="en-US"/>
              </w:rPr>
              <w:t>ț</w:t>
            </w:r>
            <w:r w:rsidRPr="00915FC3">
              <w:rPr>
                <w:rFonts w:ascii="Times New Roman" w:hAnsi="Times New Roman"/>
                <w:sz w:val="24"/>
                <w:szCs w:val="24"/>
                <w:lang w:val="en-US"/>
              </w:rPr>
              <w:t>ionale, ordinii publice, ocrotirii sănătă</w:t>
            </w:r>
            <w:r w:rsidRPr="00915FC3">
              <w:rPr>
                <w:rFonts w:ascii="Cambria Math" w:hAnsi="Cambria Math" w:cs="Cambria Math"/>
                <w:sz w:val="24"/>
                <w:szCs w:val="24"/>
                <w:lang w:val="en-US"/>
              </w:rPr>
              <w:t>ț</w:t>
            </w:r>
            <w:r w:rsidRPr="00915FC3">
              <w:rPr>
                <w:rFonts w:ascii="Times New Roman" w:hAnsi="Times New Roman"/>
                <w:sz w:val="24"/>
                <w:szCs w:val="24"/>
                <w:lang w:val="en-US"/>
              </w:rPr>
              <w:t>ii sau protec</w:t>
            </w:r>
            <w:r w:rsidRPr="00915FC3">
              <w:rPr>
                <w:rFonts w:ascii="Cambria Math" w:hAnsi="Cambria Math" w:cs="Cambria Math"/>
                <w:sz w:val="24"/>
                <w:szCs w:val="24"/>
                <w:lang w:val="en-US"/>
              </w:rPr>
              <w:t>ț</w:t>
            </w:r>
            <w:r w:rsidRPr="00915FC3">
              <w:rPr>
                <w:rFonts w:ascii="Times New Roman" w:hAnsi="Times New Roman"/>
                <w:sz w:val="24"/>
                <w:szCs w:val="24"/>
                <w:lang w:val="en-US"/>
              </w:rPr>
              <w:t>iei moralei societă</w:t>
            </w:r>
            <w:r w:rsidRPr="00915FC3">
              <w:rPr>
                <w:rFonts w:ascii="Cambria Math" w:hAnsi="Cambria Math" w:cs="Cambria Math"/>
                <w:sz w:val="24"/>
                <w:szCs w:val="24"/>
                <w:lang w:val="en-US"/>
              </w:rPr>
              <w:t>ț</w:t>
            </w:r>
            <w:r w:rsidRPr="00915FC3">
              <w:rPr>
                <w:rFonts w:ascii="Times New Roman" w:hAnsi="Times New Roman"/>
                <w:sz w:val="24"/>
                <w:szCs w:val="24"/>
                <w:lang w:val="en-US"/>
              </w:rPr>
              <w:t>ii, nu pot fi făcute publice. Respectiv, în raport cu informaţiile atribuite la secret de stat; informaţiile confidenţiale din domeniul afacerilor, prezentate instituţiilor publice cu titlu de confidenţialitate, reglementate de legislaţia privind secretul comercial; informaţiile cu caracter personal, protejate de legislaţia privind protecţia datelor cu caracter personal; informaţiile ce ţin de activitatea special de investiga</w:t>
            </w:r>
            <w:r w:rsidRPr="00915FC3">
              <w:rPr>
                <w:rFonts w:ascii="Cambria Math" w:hAnsi="Cambria Math" w:cs="Cambria Math"/>
                <w:sz w:val="24"/>
                <w:szCs w:val="24"/>
                <w:lang w:val="en-US"/>
              </w:rPr>
              <w:t>ț</w:t>
            </w:r>
            <w:r w:rsidRPr="00915FC3">
              <w:rPr>
                <w:rFonts w:ascii="Times New Roman" w:hAnsi="Times New Roman"/>
                <w:sz w:val="24"/>
                <w:szCs w:val="24"/>
                <w:lang w:val="en-US"/>
              </w:rPr>
              <w:t>ie şi de urmărire penală a organelor de resort; informaţiile ce reflectă rezultatele finale sau intermediare ale unor investigaţii ştiinţifice şi tehnice şi a căror divulgare privează autorii investigaţiilor de prioritatea de publicare sau influenţează negativ exercitarea altor drepturi protejate prin lege, se aplică anumite restric</w:t>
            </w:r>
            <w:r w:rsidRPr="00915FC3">
              <w:rPr>
                <w:rFonts w:ascii="Cambria Math" w:hAnsi="Cambria Math" w:cs="Cambria Math"/>
                <w:sz w:val="24"/>
                <w:szCs w:val="24"/>
                <w:lang w:val="en-US"/>
              </w:rPr>
              <w:t>ț</w:t>
            </w:r>
            <w:r w:rsidRPr="00915FC3">
              <w:rPr>
                <w:rFonts w:ascii="Times New Roman" w:hAnsi="Times New Roman"/>
                <w:sz w:val="24"/>
                <w:szCs w:val="24"/>
                <w:lang w:val="en-US"/>
              </w:rPr>
              <w:t>ii în ceea ce prive</w:t>
            </w:r>
            <w:r w:rsidRPr="00915FC3">
              <w:rPr>
                <w:rFonts w:ascii="Cambria Math" w:hAnsi="Cambria Math" w:cs="Cambria Math"/>
                <w:sz w:val="24"/>
                <w:szCs w:val="24"/>
                <w:lang w:val="en-US"/>
              </w:rPr>
              <w:t>ș</w:t>
            </w:r>
            <w:r w:rsidRPr="00915FC3">
              <w:rPr>
                <w:rFonts w:ascii="Times New Roman" w:hAnsi="Times New Roman"/>
                <w:sz w:val="24"/>
                <w:szCs w:val="24"/>
                <w:lang w:val="en-US"/>
              </w:rPr>
              <w:t xml:space="preserve">te divulgarea acestora. </w:t>
            </w:r>
          </w:p>
          <w:p w:rsidR="001F0F7E" w:rsidRPr="00915FC3" w:rsidRDefault="001F0F7E" w:rsidP="00915FC3">
            <w:pPr>
              <w:jc w:val="both"/>
              <w:rPr>
                <w:rFonts w:ascii="Times New Roman" w:hAnsi="Times New Roman"/>
                <w:sz w:val="24"/>
                <w:szCs w:val="24"/>
                <w:lang w:val="en-US"/>
              </w:rPr>
            </w:pPr>
            <w:r w:rsidRPr="00915FC3">
              <w:rPr>
                <w:rFonts w:ascii="Times New Roman" w:hAnsi="Times New Roman"/>
                <w:sz w:val="24"/>
                <w:szCs w:val="24"/>
                <w:lang w:val="en-US"/>
              </w:rPr>
              <w:t>Potrivit pct. 112, organismele de evaluare a conformită</w:t>
            </w:r>
            <w:r w:rsidRPr="00915FC3">
              <w:rPr>
                <w:rFonts w:ascii="Cambria Math" w:hAnsi="Cambria Math" w:cs="Cambria Math"/>
                <w:sz w:val="24"/>
                <w:szCs w:val="24"/>
                <w:lang w:val="en-US"/>
              </w:rPr>
              <w:t>ț</w:t>
            </w:r>
            <w:r w:rsidRPr="00915FC3">
              <w:rPr>
                <w:rFonts w:ascii="Times New Roman" w:hAnsi="Times New Roman"/>
                <w:sz w:val="24"/>
                <w:szCs w:val="24"/>
                <w:lang w:val="en-US"/>
              </w:rPr>
              <w:t>ii încheie o asigurare de răspundere în cazul în care răspunderea nu este asumată de stat în conformitate cu legisla</w:t>
            </w:r>
            <w:r w:rsidRPr="00915FC3">
              <w:rPr>
                <w:rFonts w:ascii="Cambria Math" w:hAnsi="Cambria Math" w:cs="Cambria Math"/>
                <w:sz w:val="24"/>
                <w:szCs w:val="24"/>
                <w:lang w:val="en-US"/>
              </w:rPr>
              <w:t>ț</w:t>
            </w:r>
            <w:r w:rsidRPr="00915FC3">
              <w:rPr>
                <w:rFonts w:ascii="Times New Roman" w:hAnsi="Times New Roman"/>
                <w:sz w:val="24"/>
                <w:szCs w:val="24"/>
                <w:lang w:val="en-US"/>
              </w:rPr>
              <w:t>ia na</w:t>
            </w:r>
            <w:r w:rsidRPr="00915FC3">
              <w:rPr>
                <w:rFonts w:ascii="Cambria Math" w:hAnsi="Cambria Math" w:cs="Cambria Math"/>
                <w:sz w:val="24"/>
                <w:szCs w:val="24"/>
                <w:lang w:val="en-US"/>
              </w:rPr>
              <w:t>ț</w:t>
            </w:r>
            <w:r w:rsidRPr="00915FC3">
              <w:rPr>
                <w:rFonts w:ascii="Times New Roman" w:hAnsi="Times New Roman"/>
                <w:sz w:val="24"/>
                <w:szCs w:val="24"/>
                <w:lang w:val="en-US"/>
              </w:rPr>
              <w:t>ională. În acest sens, avînd în vedere că în legisla</w:t>
            </w:r>
            <w:r w:rsidRPr="00915FC3">
              <w:rPr>
                <w:rFonts w:ascii="Cambria Math" w:hAnsi="Cambria Math" w:cs="Cambria Math"/>
                <w:sz w:val="24"/>
                <w:szCs w:val="24"/>
                <w:lang w:val="en-US"/>
              </w:rPr>
              <w:t>ț</w:t>
            </w:r>
            <w:r w:rsidRPr="00915FC3">
              <w:rPr>
                <w:rFonts w:ascii="Times New Roman" w:hAnsi="Times New Roman"/>
                <w:sz w:val="24"/>
                <w:szCs w:val="24"/>
                <w:lang w:val="en-US"/>
              </w:rPr>
              <w:t>ia na</w:t>
            </w:r>
            <w:r w:rsidRPr="00915FC3">
              <w:rPr>
                <w:rFonts w:ascii="Cambria Math" w:hAnsi="Cambria Math" w:cs="Cambria Math"/>
                <w:sz w:val="24"/>
                <w:szCs w:val="24"/>
                <w:lang w:val="en-US"/>
              </w:rPr>
              <w:t>ț</w:t>
            </w:r>
            <w:r w:rsidRPr="00915FC3">
              <w:rPr>
                <w:rFonts w:ascii="Times New Roman" w:hAnsi="Times New Roman"/>
                <w:sz w:val="24"/>
                <w:szCs w:val="24"/>
                <w:lang w:val="en-US"/>
              </w:rPr>
              <w:t>ională în vigoare nu se regăse</w:t>
            </w:r>
            <w:r w:rsidRPr="00915FC3">
              <w:rPr>
                <w:rFonts w:ascii="Cambria Math" w:hAnsi="Cambria Math" w:cs="Cambria Math"/>
                <w:sz w:val="24"/>
                <w:szCs w:val="24"/>
                <w:lang w:val="en-US"/>
              </w:rPr>
              <w:t>ș</w:t>
            </w:r>
            <w:r w:rsidRPr="00915FC3">
              <w:rPr>
                <w:rFonts w:ascii="Times New Roman" w:hAnsi="Times New Roman"/>
                <w:sz w:val="24"/>
                <w:szCs w:val="24"/>
                <w:lang w:val="en-US"/>
              </w:rPr>
              <w:t>te no</w:t>
            </w:r>
            <w:r w:rsidRPr="00915FC3">
              <w:rPr>
                <w:rFonts w:ascii="Cambria Math" w:hAnsi="Cambria Math" w:cs="Cambria Math"/>
                <w:sz w:val="24"/>
                <w:szCs w:val="24"/>
                <w:lang w:val="en-US"/>
              </w:rPr>
              <w:t>ț</w:t>
            </w:r>
            <w:r w:rsidRPr="00915FC3">
              <w:rPr>
                <w:rFonts w:ascii="Times New Roman" w:hAnsi="Times New Roman"/>
                <w:sz w:val="24"/>
                <w:szCs w:val="24"/>
                <w:lang w:val="en-US"/>
              </w:rPr>
              <w:t>iunea de ”asigurare de răspundere” în calitate de act încheiat de o institu</w:t>
            </w:r>
            <w:r w:rsidRPr="00915FC3">
              <w:rPr>
                <w:rFonts w:ascii="Cambria Math" w:hAnsi="Cambria Math" w:cs="Cambria Math"/>
                <w:sz w:val="24"/>
                <w:szCs w:val="24"/>
                <w:lang w:val="en-US"/>
              </w:rPr>
              <w:t>ț</w:t>
            </w:r>
            <w:r w:rsidRPr="00915FC3">
              <w:rPr>
                <w:rFonts w:ascii="Times New Roman" w:hAnsi="Times New Roman"/>
                <w:sz w:val="24"/>
                <w:szCs w:val="24"/>
                <w:lang w:val="en-US"/>
              </w:rPr>
              <w:t>ie, se recomandă revizuirea acesteia. Or, reie</w:t>
            </w:r>
            <w:r w:rsidRPr="00915FC3">
              <w:rPr>
                <w:rFonts w:ascii="Cambria Math" w:hAnsi="Cambria Math" w:cs="Cambria Math"/>
                <w:sz w:val="24"/>
                <w:szCs w:val="24"/>
                <w:lang w:val="en-US"/>
              </w:rPr>
              <w:t>ș</w:t>
            </w:r>
            <w:r w:rsidRPr="00915FC3">
              <w:rPr>
                <w:rFonts w:ascii="Times New Roman" w:hAnsi="Times New Roman"/>
                <w:sz w:val="24"/>
                <w:szCs w:val="24"/>
                <w:lang w:val="en-US"/>
              </w:rPr>
              <w:t xml:space="preserve">ind din prevederile art. 16 alin. (1) </w:t>
            </w:r>
            <w:proofErr w:type="gramStart"/>
            <w:r w:rsidRPr="00915FC3">
              <w:rPr>
                <w:rFonts w:ascii="Times New Roman" w:hAnsi="Times New Roman"/>
                <w:sz w:val="24"/>
                <w:szCs w:val="24"/>
                <w:lang w:val="en-US"/>
              </w:rPr>
              <w:t>lit</w:t>
            </w:r>
            <w:proofErr w:type="gramEnd"/>
            <w:r w:rsidRPr="00915FC3">
              <w:rPr>
                <w:rFonts w:ascii="Times New Roman" w:hAnsi="Times New Roman"/>
                <w:sz w:val="24"/>
                <w:szCs w:val="24"/>
                <w:lang w:val="en-US"/>
              </w:rPr>
              <w:t xml:space="preserve">. e) </w:t>
            </w:r>
            <w:proofErr w:type="gramStart"/>
            <w:r w:rsidRPr="00915FC3">
              <w:rPr>
                <w:rFonts w:ascii="Times New Roman" w:hAnsi="Times New Roman"/>
                <w:sz w:val="24"/>
                <w:szCs w:val="24"/>
                <w:lang w:val="en-US"/>
              </w:rPr>
              <w:t>din</w:t>
            </w:r>
            <w:proofErr w:type="gramEnd"/>
            <w:r w:rsidRPr="00915FC3">
              <w:rPr>
                <w:rFonts w:ascii="Times New Roman" w:hAnsi="Times New Roman"/>
                <w:sz w:val="24"/>
                <w:szCs w:val="24"/>
                <w:lang w:val="en-US"/>
              </w:rPr>
              <w:t xml:space="preserve"> Legea nr. 235 din 1 decembrie 2011 privind activită</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ile de acreditare </w:t>
            </w:r>
            <w:r w:rsidRPr="00915FC3">
              <w:rPr>
                <w:rFonts w:ascii="Cambria Math" w:hAnsi="Cambria Math" w:cs="Cambria Math"/>
                <w:sz w:val="24"/>
                <w:szCs w:val="24"/>
                <w:lang w:val="en-US"/>
              </w:rPr>
              <w:t>ș</w:t>
            </w:r>
            <w:r w:rsidRPr="00915FC3">
              <w:rPr>
                <w:rFonts w:ascii="Times New Roman" w:hAnsi="Times New Roman"/>
                <w:sz w:val="24"/>
                <w:szCs w:val="24"/>
                <w:lang w:val="en-US"/>
              </w:rPr>
              <w:t>i de evaluare a conformită</w:t>
            </w:r>
            <w:r w:rsidRPr="00915FC3">
              <w:rPr>
                <w:rFonts w:ascii="Cambria Math" w:hAnsi="Cambria Math" w:cs="Cambria Math"/>
                <w:sz w:val="24"/>
                <w:szCs w:val="24"/>
                <w:lang w:val="en-US"/>
              </w:rPr>
              <w:t>ț</w:t>
            </w:r>
            <w:r w:rsidRPr="00915FC3">
              <w:rPr>
                <w:rFonts w:ascii="Times New Roman" w:hAnsi="Times New Roman"/>
                <w:sz w:val="24"/>
                <w:szCs w:val="24"/>
                <w:lang w:val="en-US"/>
              </w:rPr>
              <w:t>ii, organismele de evaluare a conformită</w:t>
            </w:r>
            <w:r w:rsidRPr="00915FC3">
              <w:rPr>
                <w:rFonts w:ascii="Cambria Math" w:hAnsi="Cambria Math" w:cs="Cambria Math"/>
                <w:sz w:val="24"/>
                <w:szCs w:val="24"/>
                <w:lang w:val="en-US"/>
              </w:rPr>
              <w:t>ț</w:t>
            </w:r>
            <w:r w:rsidRPr="00915FC3">
              <w:rPr>
                <w:rFonts w:ascii="Times New Roman" w:hAnsi="Times New Roman"/>
                <w:sz w:val="24"/>
                <w:szCs w:val="24"/>
                <w:lang w:val="en-US"/>
              </w:rPr>
              <w:t>ii acreditate au obliga</w:t>
            </w:r>
            <w:r w:rsidRPr="00915FC3">
              <w:rPr>
                <w:rFonts w:ascii="Cambria Math" w:hAnsi="Cambria Math" w:cs="Cambria Math"/>
                <w:sz w:val="24"/>
                <w:szCs w:val="24"/>
                <w:lang w:val="en-US"/>
              </w:rPr>
              <w:t>ț</w:t>
            </w:r>
            <w:r w:rsidRPr="00915FC3">
              <w:rPr>
                <w:rFonts w:ascii="Times New Roman" w:hAnsi="Times New Roman"/>
                <w:sz w:val="24"/>
                <w:szCs w:val="24"/>
                <w:lang w:val="en-US"/>
              </w:rPr>
              <w:t xml:space="preserve">ia să încheie contracte de asigurare cu companiile de asigurare recunoscute legal pe teritoriul Republicii Moldova şi să deţină poliţe de </w:t>
            </w:r>
            <w:r w:rsidRPr="00915FC3">
              <w:rPr>
                <w:rFonts w:ascii="Times New Roman" w:hAnsi="Times New Roman"/>
                <w:sz w:val="24"/>
                <w:szCs w:val="24"/>
                <w:lang w:val="en-US"/>
              </w:rPr>
              <w:lastRenderedPageBreak/>
              <w:t>asigurare pentru a repara prejudiciul care poate fi cauzat terţelor părţi prin activitatea lor şi faţă de care poartă răspundere în conformitate cu legislaţia în vigoare cu privire la asigurări.</w:t>
            </w:r>
          </w:p>
        </w:tc>
        <w:tc>
          <w:tcPr>
            <w:tcW w:w="4819" w:type="dxa"/>
          </w:tcPr>
          <w:p w:rsidR="001F0F7E" w:rsidRPr="00915FC3" w:rsidRDefault="001F0F7E" w:rsidP="007F4737">
            <w:pPr>
              <w:spacing w:after="0" w:line="240" w:lineRule="auto"/>
              <w:jc w:val="center"/>
              <w:rPr>
                <w:rFonts w:ascii="Times New Roman" w:hAnsi="Times New Roman"/>
                <w:b/>
                <w:sz w:val="24"/>
                <w:szCs w:val="24"/>
                <w:lang w:val="ro-RO"/>
              </w:rPr>
            </w:pPr>
          </w:p>
          <w:p w:rsidR="001F0F7E" w:rsidRPr="00915FC3" w:rsidRDefault="001F0F7E" w:rsidP="007F4737">
            <w:pPr>
              <w:spacing w:after="0" w:line="240" w:lineRule="auto"/>
              <w:jc w:val="center"/>
              <w:rPr>
                <w:rFonts w:ascii="Times New Roman" w:hAnsi="Times New Roman"/>
                <w:b/>
                <w:sz w:val="24"/>
                <w:szCs w:val="24"/>
                <w:lang w:val="ro-RO"/>
              </w:rPr>
            </w:pPr>
          </w:p>
          <w:p w:rsidR="001F0F7E" w:rsidRPr="00915FC3" w:rsidRDefault="001F0F7E" w:rsidP="00414F3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Nu  se acceptă,</w:t>
            </w:r>
          </w:p>
          <w:p w:rsidR="001F0F7E" w:rsidRPr="00915FC3" w:rsidRDefault="001F0F7E" w:rsidP="00414F3E">
            <w:pPr>
              <w:spacing w:after="0" w:line="240" w:lineRule="auto"/>
              <w:jc w:val="both"/>
              <w:rPr>
                <w:rFonts w:ascii="Times New Roman" w:hAnsi="Times New Roman"/>
                <w:sz w:val="24"/>
                <w:szCs w:val="24"/>
                <w:lang w:val="ro-RO" w:eastAsia="ru-RU"/>
              </w:rPr>
            </w:pPr>
            <w:r w:rsidRPr="00915FC3">
              <w:rPr>
                <w:rFonts w:ascii="Times New Roman" w:hAnsi="Times New Roman"/>
                <w:sz w:val="24"/>
                <w:szCs w:val="24"/>
                <w:lang w:val="ro-RO" w:eastAsia="ru-RU"/>
              </w:rPr>
              <w:t xml:space="preserve">Legea nr. 235 din 01.12.2011 specifică concret care produse prezintă domeniul reglementat. Prevederea din Legea 420-XVI din 22 decembrie 2006 stabileşte prevedere invers, dacă în reglementare tehnică  conţine  proceduri de evaluare a conformităţii aceasta urmează a fi aprobată nu mai puţin de cît prin hotărîre a Guvernului sau lege, şi nu printr-un act departamental. </w:t>
            </w:r>
          </w:p>
          <w:p w:rsidR="001F0F7E" w:rsidRPr="00915FC3" w:rsidRDefault="001F0F7E" w:rsidP="00414F3E">
            <w:pPr>
              <w:spacing w:after="0" w:line="240" w:lineRule="auto"/>
              <w:jc w:val="both"/>
              <w:rPr>
                <w:rFonts w:ascii="Times New Roman" w:hAnsi="Times New Roman"/>
                <w:sz w:val="24"/>
                <w:szCs w:val="24"/>
                <w:lang w:val="ro-RO" w:eastAsia="ru-RU"/>
              </w:rPr>
            </w:pPr>
          </w:p>
          <w:p w:rsidR="001F0F7E" w:rsidRPr="00915FC3" w:rsidRDefault="001F0F7E" w:rsidP="007F4737">
            <w:pPr>
              <w:spacing w:after="0" w:line="240" w:lineRule="auto"/>
              <w:jc w:val="center"/>
              <w:rPr>
                <w:rFonts w:ascii="Times New Roman" w:hAnsi="Times New Roman"/>
                <w:sz w:val="24"/>
                <w:szCs w:val="24"/>
                <w:lang w:val="ro-RO" w:eastAsia="ru-RU"/>
              </w:rPr>
            </w:pPr>
          </w:p>
          <w:p w:rsidR="001F0F7E" w:rsidRPr="00915FC3" w:rsidRDefault="001F0F7E" w:rsidP="007F4737">
            <w:pPr>
              <w:spacing w:after="0" w:line="240" w:lineRule="auto"/>
              <w:jc w:val="center"/>
              <w:rPr>
                <w:rFonts w:ascii="Times New Roman" w:hAnsi="Times New Roman"/>
                <w:sz w:val="24"/>
                <w:szCs w:val="24"/>
                <w:lang w:val="ro-RO" w:eastAsia="ru-RU"/>
              </w:rPr>
            </w:pPr>
          </w:p>
          <w:p w:rsidR="001F0F7E" w:rsidRPr="00915FC3" w:rsidRDefault="001F0F7E" w:rsidP="007F4737">
            <w:pPr>
              <w:spacing w:after="0" w:line="240" w:lineRule="auto"/>
              <w:jc w:val="center"/>
              <w:rPr>
                <w:rFonts w:ascii="Times New Roman" w:hAnsi="Times New Roman"/>
                <w:sz w:val="24"/>
                <w:szCs w:val="24"/>
                <w:lang w:val="ro-RO" w:eastAsia="ru-RU"/>
              </w:rPr>
            </w:pPr>
          </w:p>
          <w:p w:rsidR="001F0F7E" w:rsidRPr="00915FC3" w:rsidRDefault="001F0F7E" w:rsidP="007F4737">
            <w:pPr>
              <w:spacing w:after="0" w:line="240" w:lineRule="auto"/>
              <w:jc w:val="center"/>
              <w:rPr>
                <w:rFonts w:ascii="Times New Roman" w:hAnsi="Times New Roman"/>
                <w:sz w:val="24"/>
                <w:szCs w:val="24"/>
                <w:lang w:val="ro-RO" w:eastAsia="ru-RU"/>
              </w:rPr>
            </w:pPr>
          </w:p>
          <w:p w:rsidR="001F0F7E" w:rsidRPr="00915FC3" w:rsidRDefault="001F0F7E" w:rsidP="007F4737">
            <w:pPr>
              <w:spacing w:after="0" w:line="240" w:lineRule="auto"/>
              <w:jc w:val="center"/>
              <w:rPr>
                <w:rFonts w:ascii="Times New Roman" w:hAnsi="Times New Roman"/>
                <w:sz w:val="24"/>
                <w:szCs w:val="24"/>
                <w:lang w:val="ro-RO" w:eastAsia="ru-RU"/>
              </w:rPr>
            </w:pPr>
          </w:p>
          <w:p w:rsidR="001F0F7E" w:rsidRPr="00915FC3" w:rsidRDefault="001F0F7E" w:rsidP="007F4737">
            <w:pPr>
              <w:spacing w:after="0" w:line="240" w:lineRule="auto"/>
              <w:jc w:val="center"/>
              <w:rPr>
                <w:rFonts w:ascii="Times New Roman" w:hAnsi="Times New Roman"/>
                <w:sz w:val="24"/>
                <w:szCs w:val="24"/>
                <w:lang w:val="ro-RO" w:eastAsia="ru-RU"/>
              </w:rPr>
            </w:pPr>
          </w:p>
          <w:p w:rsidR="00915FC3" w:rsidRPr="00915FC3" w:rsidRDefault="00915FC3" w:rsidP="007F4737">
            <w:pPr>
              <w:spacing w:after="0" w:line="240" w:lineRule="auto"/>
              <w:jc w:val="center"/>
              <w:rPr>
                <w:rFonts w:ascii="Times New Roman" w:hAnsi="Times New Roman"/>
                <w:sz w:val="24"/>
                <w:szCs w:val="24"/>
                <w:lang w:val="ro-RO" w:eastAsia="ru-RU"/>
              </w:rPr>
            </w:pPr>
          </w:p>
          <w:p w:rsidR="00915FC3" w:rsidRPr="00915FC3" w:rsidRDefault="00915FC3" w:rsidP="007F4737">
            <w:pPr>
              <w:spacing w:after="0" w:line="240" w:lineRule="auto"/>
              <w:jc w:val="center"/>
              <w:rPr>
                <w:rFonts w:ascii="Times New Roman" w:hAnsi="Times New Roman"/>
                <w:sz w:val="24"/>
                <w:szCs w:val="24"/>
                <w:lang w:val="ro-RO" w:eastAsia="ru-RU"/>
              </w:rPr>
            </w:pPr>
          </w:p>
          <w:p w:rsidR="00915FC3" w:rsidRDefault="00915FC3" w:rsidP="001742EE">
            <w:pPr>
              <w:spacing w:after="0" w:line="240" w:lineRule="auto"/>
              <w:jc w:val="center"/>
              <w:rPr>
                <w:rFonts w:ascii="Times New Roman" w:hAnsi="Times New Roman"/>
                <w:b/>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Se acceptă parţial, </w:t>
            </w:r>
          </w:p>
          <w:p w:rsidR="001F0F7E" w:rsidRPr="00915FC3" w:rsidRDefault="001F0F7E" w:rsidP="00016760">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Sintagma „plasare pe piaţă” nu este corectă avînd în vedere terminologia utilizată în proiectul respectiv.</w:t>
            </w: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Se acceptă parţial, </w:t>
            </w:r>
          </w:p>
          <w:p w:rsidR="001F0F7E" w:rsidRPr="00915FC3" w:rsidRDefault="001F0F7E" w:rsidP="00016760">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Avînd în vedere că prevederile de supraveghere a pieţei mijloacelor de măsurare trebuie să fie în strictă conformitate cu proiectul legii privind supravegherea pieţei, care actualmente este doar proiect a fost redactată referinţa respectivă</w:t>
            </w: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1F0F7E" w:rsidRPr="00915FC3" w:rsidRDefault="001F0F7E" w:rsidP="001742EE">
            <w:pPr>
              <w:spacing w:after="0" w:line="240" w:lineRule="auto"/>
              <w:jc w:val="center"/>
              <w:rPr>
                <w:rFonts w:ascii="Times New Roman" w:hAnsi="Times New Roman"/>
                <w:sz w:val="24"/>
                <w:szCs w:val="24"/>
                <w:lang w:val="ro-RO"/>
              </w:rPr>
            </w:pPr>
          </w:p>
          <w:p w:rsidR="00F5761F" w:rsidRPr="00915FC3" w:rsidRDefault="00F5761F" w:rsidP="001742EE">
            <w:pPr>
              <w:spacing w:after="0" w:line="240" w:lineRule="auto"/>
              <w:jc w:val="center"/>
              <w:rPr>
                <w:rFonts w:ascii="Times New Roman" w:hAnsi="Times New Roman"/>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Nu se acceptă, </w:t>
            </w:r>
          </w:p>
          <w:p w:rsidR="001F0F7E" w:rsidRPr="00915FC3" w:rsidRDefault="001F0F7E" w:rsidP="00016760">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Prevederea propusă este în conformitate cu prevederile Legii nr. 982-XIV din 11 mai 2000 privind accesul la informaţiile, şi anume informaţiile despre protecţia vieţii şi sănătăţii oamenilor şi protecţia mediului, în raport cu informaţiile din secret comercial şi domeniul afacerilor. Celelalte aspecte sunt de prisos, deoarece nu fac subiectul prezentei reglementări tehnice. </w:t>
            </w: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F5761F" w:rsidRPr="00915FC3" w:rsidRDefault="00F5761F" w:rsidP="001742EE">
            <w:pPr>
              <w:spacing w:after="0" w:line="240" w:lineRule="auto"/>
              <w:jc w:val="center"/>
              <w:rPr>
                <w:rFonts w:ascii="Times New Roman" w:hAnsi="Times New Roman"/>
                <w:b/>
                <w:sz w:val="24"/>
                <w:szCs w:val="24"/>
                <w:lang w:val="ro-RO"/>
              </w:rPr>
            </w:pPr>
          </w:p>
          <w:p w:rsidR="00F5761F" w:rsidRPr="00915FC3" w:rsidRDefault="00F5761F" w:rsidP="001742EE">
            <w:pPr>
              <w:spacing w:after="0" w:line="240" w:lineRule="auto"/>
              <w:jc w:val="center"/>
              <w:rPr>
                <w:rFonts w:ascii="Times New Roman" w:hAnsi="Times New Roman"/>
                <w:b/>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915FC3" w:rsidRDefault="00915FC3"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bookmarkStart w:id="0" w:name="_GoBack"/>
            <w:bookmarkEnd w:id="0"/>
            <w:r w:rsidRPr="00915FC3">
              <w:rPr>
                <w:rFonts w:ascii="Times New Roman" w:hAnsi="Times New Roman"/>
                <w:b/>
                <w:sz w:val="24"/>
                <w:szCs w:val="24"/>
                <w:lang w:val="ro-RO"/>
              </w:rPr>
              <w:t>Se acceptă</w:t>
            </w: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vMerge w:val="restart"/>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ro-RO"/>
              </w:rPr>
            </w:pPr>
          </w:p>
        </w:tc>
        <w:tc>
          <w:tcPr>
            <w:tcW w:w="1702" w:type="dxa"/>
            <w:vMerge w:val="restart"/>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Ministerul Transporturilor şi Infrastructurii Drumurilor</w:t>
            </w:r>
          </w:p>
        </w:tc>
        <w:tc>
          <w:tcPr>
            <w:tcW w:w="1276" w:type="dxa"/>
            <w:vMerge w:val="restart"/>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07-03/142 din 11.03.2014</w:t>
            </w: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În clauza de emitere a proiectului, autorii fac trimitere la poziţia 6 din Anexa nr. 3 la Legea nr. 235 din 01.12.2011 privind activităţile de acreditare şi de evaluare a conformităţii, care se referă la maşini industriale supuse reglementării, în acest context, trimiterea la poziţia 6 raportat la prevederile din Anexa nr. 8, 9, 12, considerăm că este inoportună, deoarece nu cuprinde toate raporturile juridice a căror reglementare s-a urmărit. În speţă, Anexa nr. 8, 9, 12 stabileşte criterii şi cerinţe specifice mijloacelor de măsurare. Recomandăm să fie substituită sintagma „şi poziţiei 6 din Anexa nr. 3" cu textul „art. 10 alin. (6) al Legii nr. 64 </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din 31.05.1990 cu privire la Guvern". Potrivit art. 52 alin. (1) al Legii nr. 317 din 18.07.2003, clauza de emitere stabileşte temeiul legal de emitere a actului normativ.</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c>
          <w:tcPr>
            <w:tcW w:w="708" w:type="dxa"/>
            <w:vMerge/>
          </w:tcPr>
          <w:p w:rsidR="001F0F7E" w:rsidRPr="00915FC3" w:rsidRDefault="001F0F7E" w:rsidP="001742EE">
            <w:pPr>
              <w:pStyle w:val="a4"/>
              <w:numPr>
                <w:ilvl w:val="0"/>
                <w:numId w:val="2"/>
              </w:numPr>
              <w:spacing w:after="0" w:line="240" w:lineRule="auto"/>
              <w:ind w:left="34" w:right="34" w:firstLine="0"/>
              <w:rPr>
                <w:rFonts w:ascii="Times New Roman" w:hAnsi="Times New Roman"/>
                <w:sz w:val="24"/>
                <w:szCs w:val="24"/>
                <w:lang w:val="en-US"/>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Conform art. 12 alin. (1) al Legii nr. 647 din 17.11.1995 cu privire la metrologie, se supun controlului metrologic legal mijloacele de măsurare destinate să realizeze măsurări în domeniile de interes public specificate la art. ll alin.(l) şi incluse pe Lista oficială a mijloacelor de măsurare supuse controlului metrologic legal, atît înaintea plasării lor pe piaţă, cît şi pe parcursul utilizării lor.</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Potrivit Legii nr. 235 din 01.12.2011 cu privire la activităţile de acreditare şi de evaluare a conformităţii, noţiunea de evaluare a conformităţii semnifică un proces prin care se evaluează demonstrarea îndeplinirii cerinţelor specificate pentru un produs, proces, serviciu, sistem, pentru o persoană sau un organism. Referitor la art. 18 alin. (1) din acelaşi act legislativ, evaluarea conformităţii cu titlu obligatoriu se realizează pentru produsele din domeniile prevăzute la anexa nr. 3, care este parte integrantă din prezenta lege, precum şi pentru produsele neincluse în domeniile din această anexă, pentru care există cerinţe esenţiale prevăzute în reglementările tehnice respective, în conformitate cu art. 4 alin. (6) din Legea nr. 420-XVI din 22 decembrie 2006 privind activitatea de reglementare tehnică.</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Prin prisma celor invocate, propunerea de la Anexa nr. 12 din proiect - Analizatoare pentru gazele de eşapament, considerăm că dublează prevederile Legii cu privire la metrologie nr. 647 din 17.11.1995. În acest context, recomandăm revizuirea prevederilor din Anexa nr. 12 al </w:t>
            </w:r>
            <w:r w:rsidRPr="00915FC3">
              <w:rPr>
                <w:rFonts w:ascii="Times New Roman" w:hAnsi="Times New Roman"/>
                <w:sz w:val="24"/>
                <w:szCs w:val="24"/>
                <w:lang w:val="ro-RO"/>
              </w:rPr>
              <w:lastRenderedPageBreak/>
              <w:t>proiectului.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lastRenderedPageBreak/>
              <w:t>Nu se acceptă,</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luînd în consideraţie faptul că mijloacele de măsurare (taximetrele), conform prezentei reglementări tehnice înainte de introducerea pe piaţă sau punerea la dispoziţie pe piaţă,  se supun procedurilor de evaluare a conformităţii corespunzătoare,  care includ şi proceduri de verificare iniţială. Astfel, în scopul evitării dublării procedurii de verificare iniţială, este inoportun efectuarea acesteia. Ulterior, indiferent de termenul expus în „Lista Oficială a mijloacelor de măsurare supuse controlului metrologic legal”, peste un an, aceste mijloace de măsurare fac subiectul Legii metrologiei nr. 647-XII din 17 noiembrie 1995 şi vor fi supuse în exploatare obligatoriu verificărilor metrologice.  </w:t>
            </w:r>
          </w:p>
        </w:tc>
      </w:tr>
      <w:tr w:rsidR="00915FC3" w:rsidRPr="00915FC3" w:rsidTr="00915FC3">
        <w:tc>
          <w:tcPr>
            <w:tcW w:w="708" w:type="dxa"/>
            <w:vMerge/>
          </w:tcPr>
          <w:p w:rsidR="001F0F7E" w:rsidRPr="00915FC3" w:rsidRDefault="001F0F7E" w:rsidP="001742EE">
            <w:pPr>
              <w:spacing w:after="0" w:line="240" w:lineRule="auto"/>
              <w:ind w:left="34" w:right="34"/>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Recomandăm ajustarea proiectului la prevederile art. 46 alin. (2) al Legii nr. 317 din 18.07.2003. Potrivit alineatului respectiv, conţinutul proiectului se expune în limbă simplă, clară şi concisă, pentru a se exclude orice echivoc, cu respectarea strictă a regulilor gramaticale şi de ortografie. Nu se admite folosirea arhaismelor şi regionalismelor. Textul punctelor trebuie să aibă un caracter dispozitiv, să prezinte norma instituita fără explicaţii sau justificări.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c>
          <w:tcPr>
            <w:tcW w:w="708" w:type="dxa"/>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r w:rsidRPr="00915FC3">
              <w:rPr>
                <w:rFonts w:ascii="Times New Roman" w:hAnsi="Times New Roman"/>
                <w:sz w:val="24"/>
                <w:szCs w:val="24"/>
                <w:lang w:val="ro-RO"/>
              </w:rPr>
              <w:t>8.</w:t>
            </w:r>
          </w:p>
        </w:tc>
        <w:tc>
          <w:tcPr>
            <w:tcW w:w="1702"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Asociaţia Patronală Profesională în domeniul Metrologiei şi Calităţii Produselor</w:t>
            </w:r>
          </w:p>
        </w:tc>
        <w:tc>
          <w:tcPr>
            <w:tcW w:w="1276"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09/14 din 27.10.2014</w:t>
            </w: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Mijloacele de măsurare legale (taximetrele electronice cu memorie fiscală) necesită efectuarea verificării metrologice iniţiale, periodice, după reparaţie în ansamblul cu autovehiculul TAXI, unde în urma efectuării verificărilor metrologice în partea verso a buletinului de verificare metrologică/buletinului de inutilizabilitate este necesar să fie indicate următoarele informaţii referitor la mijlocul de măsurare supus; verificării metrologice ca: nr. de înmatriculare a autovehiculul TAXI, caracteristicile roţilor motoare ale autovehiculului TAXI, constanta K a taximetrului (pentru fiecare autovehicul TAXI în parte în dependenţă de modelul autovehiculului, caracteristicile roţilor motoare, anul fabricării, cutia de viteză, etc.), sigiliul tip Super-Scut.</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Astfel din cele menţionate mai sus, proiectul Hotărîrii Guvernului cu privire la aprobarea Reglementării tehnice privind punerea la dispoziţie pe piaţă a mijloacelor de măsurare parţial nu se poate răspîndi pentru taximetrele electronice cu memorie fiscală.</w:t>
            </w:r>
          </w:p>
        </w:tc>
        <w:tc>
          <w:tcPr>
            <w:tcW w:w="4819" w:type="dxa"/>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b/>
                <w:sz w:val="24"/>
                <w:szCs w:val="24"/>
                <w:lang w:val="ro-RO"/>
              </w:rPr>
              <w:t>Nu se acceptă,</w:t>
            </w:r>
            <w:r w:rsidRPr="00915FC3">
              <w:rPr>
                <w:rFonts w:ascii="Times New Roman" w:hAnsi="Times New Roman"/>
                <w:sz w:val="24"/>
                <w:szCs w:val="24"/>
                <w:lang w:val="ro-RO"/>
              </w:rPr>
              <w:t xml:space="preserve"> </w:t>
            </w:r>
          </w:p>
          <w:p w:rsidR="001F0F7E" w:rsidRPr="00915FC3" w:rsidRDefault="001F0F7E" w:rsidP="001742EE">
            <w:pPr>
              <w:spacing w:after="0" w:line="240" w:lineRule="auto"/>
              <w:jc w:val="both"/>
              <w:rPr>
                <w:rFonts w:ascii="Times New Roman" w:hAnsi="Times New Roman"/>
                <w:b/>
                <w:sz w:val="24"/>
                <w:szCs w:val="24"/>
                <w:lang w:val="ro-RO"/>
              </w:rPr>
            </w:pPr>
            <w:r w:rsidRPr="00915FC3">
              <w:rPr>
                <w:rFonts w:ascii="Times New Roman" w:hAnsi="Times New Roman"/>
                <w:sz w:val="24"/>
                <w:szCs w:val="24"/>
                <w:lang w:val="ro-RO"/>
              </w:rPr>
              <w:t xml:space="preserve">luînd în considerare faptul că mijloacele de măsurare (taximetrele), conform prezentei reglementări tehnice înainte de introducerea sau punerea la dispoziţie pe piaţă,  se supun procedurilor de evaluare a conformităţii corespunzătoare, care includ şi proceduri de verificare iniţială. Astfel, în scopul evitării dublării procedurii de verificare iniţială, este inoportun efectuarea acesteia. Ulterior, indiferent de termenul expus în „Lista Oficială a mijloacelor de măsurare supuse controlului metrologic legal”, peste un an, aceste mijloace de măsurare fac subiectul Legii metrologiei nr. 647-XII din 17 noiembrie 1995 şi vor fi obligatoriu supuse verificării metrologice. Ca urmare, problema relatată referitoare la procedura tehnică de verificare </w:t>
            </w:r>
            <w:r w:rsidRPr="00915FC3">
              <w:rPr>
                <w:rFonts w:ascii="Cambria Math" w:hAnsi="Cambria Math" w:cs="Cambria Math"/>
                <w:sz w:val="24"/>
                <w:szCs w:val="24"/>
                <w:lang w:val="ro-RO"/>
              </w:rPr>
              <w:t>ț</w:t>
            </w:r>
            <w:r w:rsidRPr="00915FC3">
              <w:rPr>
                <w:rFonts w:ascii="Times New Roman" w:hAnsi="Times New Roman"/>
                <w:sz w:val="24"/>
                <w:szCs w:val="24"/>
                <w:lang w:val="ro-RO"/>
              </w:rPr>
              <w:t>ine de verificarea metrologică în exploatare.</w:t>
            </w:r>
          </w:p>
        </w:tc>
      </w:tr>
      <w:tr w:rsidR="00915FC3" w:rsidRPr="00915FC3" w:rsidTr="00915FC3">
        <w:tc>
          <w:tcPr>
            <w:tcW w:w="708" w:type="dxa"/>
            <w:vMerge w:val="restart"/>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r w:rsidRPr="00915FC3">
              <w:rPr>
                <w:rFonts w:ascii="Times New Roman" w:hAnsi="Times New Roman"/>
                <w:sz w:val="24"/>
                <w:szCs w:val="24"/>
                <w:lang w:val="ro-RO"/>
              </w:rPr>
              <w:t xml:space="preserve">9. </w:t>
            </w:r>
          </w:p>
        </w:tc>
        <w:tc>
          <w:tcPr>
            <w:tcW w:w="1702" w:type="dxa"/>
            <w:vMerge w:val="restart"/>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Institutul Naţional de Metrologie</w:t>
            </w:r>
          </w:p>
        </w:tc>
        <w:tc>
          <w:tcPr>
            <w:tcW w:w="1276" w:type="dxa"/>
            <w:vMerge w:val="restart"/>
          </w:tcPr>
          <w:p w:rsidR="001F0F7E" w:rsidRPr="00915FC3" w:rsidRDefault="001F0F7E" w:rsidP="001742EE">
            <w:pPr>
              <w:spacing w:after="0" w:line="240" w:lineRule="auto"/>
              <w:ind w:right="-75"/>
              <w:rPr>
                <w:rFonts w:ascii="Times New Roman" w:hAnsi="Times New Roman"/>
                <w:sz w:val="24"/>
                <w:szCs w:val="24"/>
                <w:lang w:val="ro-RO"/>
              </w:rPr>
            </w:pPr>
            <w:r w:rsidRPr="00915FC3">
              <w:rPr>
                <w:rFonts w:ascii="Times New Roman" w:hAnsi="Times New Roman"/>
                <w:sz w:val="24"/>
                <w:szCs w:val="24"/>
                <w:lang w:val="ro-RO"/>
              </w:rPr>
              <w:t>Nr. 10-2/552 din 2014</w:t>
            </w: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I.</w:t>
            </w:r>
            <w:r w:rsidRPr="00915FC3">
              <w:rPr>
                <w:rFonts w:ascii="Times New Roman" w:hAnsi="Times New Roman"/>
                <w:sz w:val="24"/>
                <w:szCs w:val="24"/>
                <w:lang w:val="ro-RO"/>
              </w:rPr>
              <w:tab/>
              <w:t xml:space="preserve">La proiectul Hotărîrii </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Pentru o perioadă limitată de timp (3-4 ani) propunem ca agenţii economici să poată efectua atît evaluarea conformităţii, cît şi aprobări de model a mijloacelor de măsurare la alegere. Aprobările de model vor fi necesare pentru recunoaşterea ulterioară a rezultatelor încercărilor conform acordurilor existente cu ţările CSI. De asemenea pe anumite domenii posibil să nu existe Organisme de evaluare a conformităţii. Din aceste considerente credem necesară, următoarea formulare a Art. 3 al Hotărîrii:</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La cererea solicitanţilor, se admite punerea la dispoziţie pe piaţă a mijloacelor de măsurare care îndeplinesc prevederile reglementarilor de metrologie legala aplicabile acestora, şi după intrarea în vigoare a prezentei </w:t>
            </w:r>
            <w:r w:rsidRPr="00915FC3">
              <w:rPr>
                <w:rFonts w:ascii="Times New Roman" w:hAnsi="Times New Roman"/>
                <w:sz w:val="24"/>
                <w:szCs w:val="24"/>
                <w:lang w:val="ro-RO"/>
              </w:rPr>
              <w:lastRenderedPageBreak/>
              <w:t>Hotărîri, pînă ia data aderării Republicii Moldova la UE.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lastRenderedPageBreak/>
              <w:t xml:space="preserve">Nu se acceptă, </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Conform angajamentelor asumate prin </w:t>
            </w:r>
            <w:r w:rsidRPr="00915FC3">
              <w:rPr>
                <w:rFonts w:ascii="Times New Roman" w:hAnsi="Times New Roman"/>
                <w:b/>
                <w:sz w:val="24"/>
                <w:szCs w:val="24"/>
                <w:lang w:val="ro-RO"/>
              </w:rPr>
              <w:t>Acordul privind bariere tehnice în calea comerţului</w:t>
            </w:r>
            <w:r w:rsidRPr="00915FC3">
              <w:rPr>
                <w:rFonts w:ascii="Times New Roman" w:hAnsi="Times New Roman"/>
                <w:sz w:val="24"/>
                <w:szCs w:val="24"/>
                <w:lang w:val="ro-RO"/>
              </w:rPr>
              <w:t xml:space="preserve"> (OMC) la care Republica Moldova este parte „Membrii vor asigura, în ceea ce priveşte reglementările tehnice, ca produselor importate din teritoriul oricărui Membru, să le fie acordate un tratament nu mai puţin favorabil decât acela acordat produselor similare de origine naţională şi produselor similare din oricare altă ţară.” Astfel, mijloacelor de </w:t>
            </w:r>
            <w:r w:rsidRPr="00915FC3">
              <w:rPr>
                <w:rFonts w:ascii="Times New Roman" w:hAnsi="Times New Roman"/>
                <w:sz w:val="24"/>
                <w:szCs w:val="24"/>
                <w:lang w:val="ro-RO"/>
              </w:rPr>
              <w:lastRenderedPageBreak/>
              <w:t>măsurare ce fac subiectul prezentei reglementări tehnice, indiferent din ce ţară provin acestea, trebuie aplicate aceleaşi proceduri de evaluare a conformităţii, dar nu proceduri de aprobare de model.</w:t>
            </w: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ind w:right="-75"/>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II.</w:t>
            </w:r>
            <w:r w:rsidRPr="00915FC3">
              <w:rPr>
                <w:rFonts w:ascii="Times New Roman" w:hAnsi="Times New Roman"/>
                <w:sz w:val="24"/>
                <w:szCs w:val="24"/>
                <w:lang w:val="ro-RO"/>
              </w:rPr>
              <w:tab/>
              <w:t>La proiectul Reglementării.</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1.</w:t>
            </w:r>
            <w:r w:rsidRPr="00915FC3">
              <w:rPr>
                <w:rFonts w:ascii="Times New Roman" w:hAnsi="Times New Roman"/>
                <w:sz w:val="24"/>
                <w:szCs w:val="24"/>
                <w:lang w:val="ro-RO"/>
              </w:rPr>
              <w:tab/>
              <w:t>La Capit. I, Art. 2: ... importate dintr-o ţară terţă. Nu este clară noţiunea de "ţară terţii": este o ţară din UE sau din afara UE?.</w:t>
            </w:r>
            <w:r w:rsidRPr="00915FC3">
              <w:rPr>
                <w:rFonts w:ascii="Times New Roman" w:hAnsi="Times New Roman"/>
                <w:sz w:val="24"/>
                <w:szCs w:val="24"/>
                <w:lang w:val="ro-RO"/>
              </w:rPr>
              <w:tab/>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Se acceptă </w:t>
            </w:r>
          </w:p>
          <w:p w:rsidR="001F0F7E" w:rsidRPr="00915FC3" w:rsidRDefault="001F0F7E" w:rsidP="001742EE">
            <w:pPr>
              <w:spacing w:after="0" w:line="240" w:lineRule="auto"/>
              <w:jc w:val="center"/>
              <w:rPr>
                <w:rFonts w:ascii="Times New Roman" w:hAnsi="Times New Roman"/>
                <w:b/>
                <w:sz w:val="24"/>
                <w:szCs w:val="24"/>
                <w:lang w:val="ro-RO"/>
              </w:rPr>
            </w:pP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ind w:right="-75"/>
              <w:rPr>
                <w:rFonts w:ascii="Times New Roman" w:hAnsi="Times New Roman"/>
                <w:sz w:val="24"/>
                <w:szCs w:val="24"/>
                <w:lang w:val="ro-RO"/>
              </w:rPr>
            </w:pPr>
          </w:p>
        </w:tc>
        <w:tc>
          <w:tcPr>
            <w:tcW w:w="7513" w:type="dxa"/>
          </w:tcPr>
          <w:p w:rsidR="001F0F7E" w:rsidRPr="00915FC3" w:rsidRDefault="001F0F7E" w:rsidP="001742EE">
            <w:pPr>
              <w:pStyle w:val="a4"/>
              <w:numPr>
                <w:ilvl w:val="0"/>
                <w:numId w:val="2"/>
              </w:numPr>
              <w:spacing w:after="0" w:line="240" w:lineRule="auto"/>
              <w:ind w:left="143" w:hanging="142"/>
              <w:jc w:val="both"/>
              <w:rPr>
                <w:rFonts w:ascii="Times New Roman" w:hAnsi="Times New Roman"/>
                <w:sz w:val="24"/>
                <w:szCs w:val="24"/>
                <w:lang w:val="ro-RO"/>
              </w:rPr>
            </w:pPr>
            <w:r w:rsidRPr="00915FC3">
              <w:rPr>
                <w:rFonts w:ascii="Times New Roman" w:hAnsi="Times New Roman"/>
                <w:sz w:val="24"/>
                <w:szCs w:val="24"/>
                <w:lang w:val="ro-RO"/>
              </w:rPr>
              <w:t>La Capit. I, Art. 5. Propunem de înlocuit noţiune „compatibilitate" cu „imunitate" (ca şi în Art. 31).</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Nu se acceptă,</w:t>
            </w:r>
          </w:p>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 xml:space="preserve"> în limbajul tehnic se utilizează termenul „compatibilitate” </w:t>
            </w: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ind w:right="-75"/>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3.</w:t>
            </w:r>
            <w:r w:rsidRPr="00915FC3">
              <w:rPr>
                <w:rFonts w:ascii="Times New Roman" w:hAnsi="Times New Roman"/>
                <w:sz w:val="24"/>
                <w:szCs w:val="24"/>
                <w:lang w:val="ro-RO"/>
              </w:rPr>
              <w:tab/>
              <w:t>La Capit. II, Art. 32: Din noţiunea „verificare metrologică legală" de exclus cuvîntul "legală".</w:t>
            </w:r>
            <w:r w:rsidRPr="00915FC3">
              <w:rPr>
                <w:rFonts w:ascii="Times New Roman" w:hAnsi="Times New Roman"/>
                <w:sz w:val="24"/>
                <w:szCs w:val="24"/>
                <w:lang w:val="ro-RO"/>
              </w:rPr>
              <w:tab/>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rPr>
          <w:trHeight w:val="2199"/>
        </w:trPr>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ind w:left="-141" w:right="-75"/>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4. Propunem ca pe parcursul documentului „Ministerul Economiei" să fie înlocuit cu Autoritatea centrală de metrologie".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Nu se acceptă,</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deoarece conform reglementării tehnice Ministerul Economiei execută funcţiile autorităţii de reglementare în conformitate cu prevederile Legii nr. 235 din 01. 12 2011, dar nu a autorităţii centrale de metrologie, prevăzute de Legea metrologiei nr. 647 – XIII din 17.11.1995.</w:t>
            </w:r>
          </w:p>
        </w:tc>
      </w:tr>
      <w:tr w:rsidR="00915FC3" w:rsidRPr="00915FC3" w:rsidTr="00915FC3">
        <w:tc>
          <w:tcPr>
            <w:tcW w:w="708" w:type="dxa"/>
            <w:vMerge w:val="restart"/>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r w:rsidRPr="00915FC3">
              <w:rPr>
                <w:rFonts w:ascii="Times New Roman" w:hAnsi="Times New Roman"/>
                <w:sz w:val="24"/>
                <w:szCs w:val="24"/>
                <w:lang w:val="ro-RO"/>
              </w:rPr>
              <w:t xml:space="preserve">10. </w:t>
            </w:r>
          </w:p>
        </w:tc>
        <w:tc>
          <w:tcPr>
            <w:tcW w:w="1702" w:type="dxa"/>
            <w:vMerge w:val="restart"/>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Centrul Naţional de Acreditare</w:t>
            </w:r>
          </w:p>
        </w:tc>
        <w:tc>
          <w:tcPr>
            <w:tcW w:w="1276" w:type="dxa"/>
            <w:vMerge w:val="restart"/>
          </w:tcPr>
          <w:p w:rsidR="001F0F7E" w:rsidRPr="00915FC3" w:rsidRDefault="001F0F7E" w:rsidP="001742EE">
            <w:pPr>
              <w:spacing w:after="0" w:line="240" w:lineRule="auto"/>
              <w:jc w:val="center"/>
              <w:rPr>
                <w:rFonts w:ascii="Times New Roman" w:hAnsi="Times New Roman"/>
                <w:sz w:val="24"/>
                <w:szCs w:val="24"/>
                <w:lang w:val="ro-RO"/>
              </w:rPr>
            </w:pPr>
            <w:r w:rsidRPr="00915FC3">
              <w:rPr>
                <w:rFonts w:ascii="Times New Roman" w:hAnsi="Times New Roman"/>
                <w:sz w:val="24"/>
                <w:szCs w:val="24"/>
                <w:lang w:val="ro-RO"/>
              </w:rPr>
              <w:t>Nr. 24/949-DE-2 din 28.10.14</w:t>
            </w: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Nu toate articolele din directivă sunt transpuse integral (ex. art. 27, art. 30) ca rezultat se pierde esenţa cerinţei şi logica expunerii. Astfel, nu este un articol separat referitor la OEC interne acreditate şi se confundă cerinţele referitoare la organismele notificate.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Înainte de p.75 de completat cu un punct nou în următoare redacţie: :" Evaluarea conformităţii mijloacelor de măsurare se realizează numai de organismele de evaluare a conformităţii acreditate în condiţiile Legii nr. 235 din 01 decembrie 2011 privind activităţile de acreditare şi evaluare a conformităţii şi recunoscute de Ministerul Economie.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p w:rsidR="001F0F7E" w:rsidRPr="00915FC3" w:rsidRDefault="001F0F7E" w:rsidP="001742EE">
            <w:pPr>
              <w:spacing w:after="0" w:line="240" w:lineRule="auto"/>
              <w:jc w:val="center"/>
              <w:rPr>
                <w:rFonts w:ascii="Times New Roman" w:hAnsi="Times New Roman"/>
                <w:sz w:val="24"/>
                <w:szCs w:val="24"/>
                <w:lang w:val="ro-RO"/>
              </w:rPr>
            </w:pP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La p.77, de exclus cuvintele "sau în limba oficială a statului membru al UE în care îşi are sediul organismul notificat ce efectuează procedurile de evaluare a conformităţii”.</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Capitolul XV contravine cerinţelor Legii Nr. 235, care nu prevede marcaj metrologic.</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 xml:space="preserve">Nu se acceptă, </w:t>
            </w:r>
          </w:p>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marcajul metrologic este un simbol care indică că mijlocul de măsurare a fost supus uneia din procedurile de evaluare a conformită</w:t>
            </w:r>
            <w:r w:rsidRPr="00915FC3">
              <w:rPr>
                <w:rFonts w:ascii="Cambria Math" w:hAnsi="Cambria Math" w:cs="Cambria Math"/>
                <w:sz w:val="24"/>
                <w:szCs w:val="24"/>
                <w:lang w:val="ro-RO"/>
              </w:rPr>
              <w:t>ț</w:t>
            </w:r>
            <w:r w:rsidRPr="00915FC3">
              <w:rPr>
                <w:rFonts w:ascii="Times New Roman" w:hAnsi="Times New Roman"/>
                <w:sz w:val="24"/>
                <w:szCs w:val="24"/>
                <w:lang w:val="ro-RO"/>
              </w:rPr>
              <w:t xml:space="preserve">ii în baza modulului ales de producător. Legea nr. 235 </w:t>
            </w:r>
            <w:r w:rsidRPr="00915FC3">
              <w:rPr>
                <w:rFonts w:ascii="Times New Roman" w:hAnsi="Times New Roman"/>
                <w:sz w:val="24"/>
                <w:szCs w:val="24"/>
                <w:lang w:val="ro-RO"/>
              </w:rPr>
              <w:lastRenderedPageBreak/>
              <w:t>din 01.12.2011 este act juridic orizontal în domeniul respectiv, care nu stabileşte prevederi specifice pentru produse concrete. Aceste prevederi se stabilesc în reglementări tehnice aplicabile produselor concrete.</w:t>
            </w: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La cap. XIX sunt cerinţe faţă de ME pentru a recunoaşte OEC, dar nu sunt cerinţe clare pentru OEC de a fi recunoscute (să fie acreditate şi alte cerinţe suplimentare).</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p w:rsidR="001F0F7E" w:rsidRPr="00915FC3" w:rsidRDefault="001F0F7E" w:rsidP="001742EE">
            <w:pPr>
              <w:spacing w:after="0" w:line="240" w:lineRule="auto"/>
              <w:jc w:val="center"/>
              <w:rPr>
                <w:rFonts w:ascii="Times New Roman" w:hAnsi="Times New Roman"/>
                <w:sz w:val="24"/>
                <w:szCs w:val="24"/>
                <w:lang w:val="ro-RO"/>
              </w:rPr>
            </w:pPr>
          </w:p>
        </w:tc>
      </w:tr>
      <w:tr w:rsidR="00915FC3" w:rsidRPr="00915FC3" w:rsidTr="00915FC3">
        <w:tc>
          <w:tcPr>
            <w:tcW w:w="708" w:type="dxa"/>
            <w:vMerge/>
          </w:tcPr>
          <w:p w:rsidR="001F0F7E" w:rsidRPr="00915FC3" w:rsidRDefault="001F0F7E" w:rsidP="001742EE">
            <w:pPr>
              <w:pStyle w:val="a4"/>
              <w:tabs>
                <w:tab w:val="left" w:pos="34"/>
              </w:tabs>
              <w:spacing w:after="0" w:line="240" w:lineRule="auto"/>
              <w:ind w:left="34" w:right="-108"/>
              <w:rPr>
                <w:rFonts w:ascii="Times New Roman" w:hAnsi="Times New Roman"/>
                <w:sz w:val="24"/>
                <w:szCs w:val="24"/>
                <w:lang w:val="ro-RO"/>
              </w:rPr>
            </w:pPr>
          </w:p>
        </w:tc>
        <w:tc>
          <w:tcPr>
            <w:tcW w:w="1702"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1276" w:type="dxa"/>
            <w:vMerge/>
          </w:tcPr>
          <w:p w:rsidR="001F0F7E" w:rsidRPr="00915FC3" w:rsidRDefault="001F0F7E" w:rsidP="001742EE">
            <w:pPr>
              <w:spacing w:after="0" w:line="240" w:lineRule="auto"/>
              <w:jc w:val="center"/>
              <w:rPr>
                <w:rFonts w:ascii="Times New Roman" w:hAnsi="Times New Roman"/>
                <w:sz w:val="24"/>
                <w:szCs w:val="24"/>
                <w:lang w:val="ro-RO"/>
              </w:rPr>
            </w:pPr>
          </w:p>
        </w:tc>
        <w:tc>
          <w:tcPr>
            <w:tcW w:w="7513" w:type="dxa"/>
          </w:tcPr>
          <w:p w:rsidR="001F0F7E" w:rsidRPr="00915FC3" w:rsidRDefault="001F0F7E" w:rsidP="001742EE">
            <w:pPr>
              <w:spacing w:after="0" w:line="240" w:lineRule="auto"/>
              <w:jc w:val="both"/>
              <w:rPr>
                <w:rFonts w:ascii="Times New Roman" w:hAnsi="Times New Roman"/>
                <w:sz w:val="24"/>
                <w:szCs w:val="24"/>
                <w:lang w:val="ro-RO"/>
              </w:rPr>
            </w:pPr>
            <w:r w:rsidRPr="00915FC3">
              <w:rPr>
                <w:rFonts w:ascii="Times New Roman" w:hAnsi="Times New Roman"/>
                <w:sz w:val="24"/>
                <w:szCs w:val="24"/>
                <w:lang w:val="ro-RO"/>
              </w:rPr>
              <w:t xml:space="preserve">     Se întâlnesc cazuri cînd se fac referinţe la articole, dar nu se precizează din ce documente (ex. în Anexa 9, EVALUARFA CONFORMITĂŢII se tace referinţă ia. articolul 17, dar nu se menţionează documentul).</w:t>
            </w:r>
          </w:p>
        </w:tc>
        <w:tc>
          <w:tcPr>
            <w:tcW w:w="4819" w:type="dxa"/>
          </w:tcPr>
          <w:p w:rsidR="001F0F7E" w:rsidRPr="00915FC3" w:rsidRDefault="001F0F7E" w:rsidP="001742EE">
            <w:pPr>
              <w:spacing w:after="0" w:line="240" w:lineRule="auto"/>
              <w:jc w:val="center"/>
              <w:rPr>
                <w:rFonts w:ascii="Times New Roman" w:hAnsi="Times New Roman"/>
                <w:b/>
                <w:sz w:val="24"/>
                <w:szCs w:val="24"/>
                <w:lang w:val="ro-RO"/>
              </w:rPr>
            </w:pPr>
            <w:r w:rsidRPr="00915FC3">
              <w:rPr>
                <w:rFonts w:ascii="Times New Roman" w:hAnsi="Times New Roman"/>
                <w:b/>
                <w:sz w:val="24"/>
                <w:szCs w:val="24"/>
                <w:lang w:val="ro-RO"/>
              </w:rPr>
              <w:t>Se acceptă</w:t>
            </w:r>
          </w:p>
        </w:tc>
      </w:tr>
    </w:tbl>
    <w:p w:rsidR="001F0F7E" w:rsidRPr="00915FC3" w:rsidRDefault="001F0F7E" w:rsidP="00C02294">
      <w:pPr>
        <w:spacing w:after="0" w:line="240" w:lineRule="auto"/>
        <w:jc w:val="center"/>
        <w:rPr>
          <w:rFonts w:ascii="Times New Roman" w:hAnsi="Times New Roman"/>
          <w:b/>
          <w:sz w:val="24"/>
          <w:szCs w:val="24"/>
          <w:lang w:val="ro-RO"/>
        </w:rPr>
      </w:pPr>
    </w:p>
    <w:sectPr w:rsidR="001F0F7E" w:rsidRPr="00915FC3" w:rsidSect="00CD282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C8834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7F681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24AC0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CD079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629F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7AA5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4671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D6F7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A046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E12B670"/>
    <w:lvl w:ilvl="0">
      <w:start w:val="1"/>
      <w:numFmt w:val="bullet"/>
      <w:lvlText w:val=""/>
      <w:lvlJc w:val="left"/>
      <w:pPr>
        <w:tabs>
          <w:tab w:val="num" w:pos="360"/>
        </w:tabs>
        <w:ind w:left="360" w:hanging="360"/>
      </w:pPr>
      <w:rPr>
        <w:rFonts w:ascii="Symbol" w:hAnsi="Symbol" w:hint="default"/>
      </w:rPr>
    </w:lvl>
  </w:abstractNum>
  <w:abstractNum w:abstractNumId="10">
    <w:nsid w:val="16E202A7"/>
    <w:multiLevelType w:val="hybridMultilevel"/>
    <w:tmpl w:val="366EA414"/>
    <w:lvl w:ilvl="0" w:tplc="0419000F">
      <w:start w:val="1"/>
      <w:numFmt w:val="decimal"/>
      <w:lvlText w:val="%1."/>
      <w:lvlJc w:val="left"/>
      <w:pPr>
        <w:ind w:left="752" w:hanging="360"/>
      </w:pPr>
      <w:rPr>
        <w:rFonts w:cs="Times New Roman" w:hint="default"/>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11">
    <w:nsid w:val="5B7E37D1"/>
    <w:multiLevelType w:val="hybridMultilevel"/>
    <w:tmpl w:val="F752B3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563E22"/>
    <w:multiLevelType w:val="hybridMultilevel"/>
    <w:tmpl w:val="3AE24720"/>
    <w:lvl w:ilvl="0" w:tplc="FA203D9E">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276"/>
    <w:rsid w:val="00001533"/>
    <w:rsid w:val="00004328"/>
    <w:rsid w:val="00006B74"/>
    <w:rsid w:val="00016760"/>
    <w:rsid w:val="000240B9"/>
    <w:rsid w:val="000307E0"/>
    <w:rsid w:val="00031083"/>
    <w:rsid w:val="000440D8"/>
    <w:rsid w:val="000530C9"/>
    <w:rsid w:val="00062D30"/>
    <w:rsid w:val="00070553"/>
    <w:rsid w:val="000C36A4"/>
    <w:rsid w:val="000D72C7"/>
    <w:rsid w:val="000D7CF0"/>
    <w:rsid w:val="00161741"/>
    <w:rsid w:val="001742EE"/>
    <w:rsid w:val="001B0644"/>
    <w:rsid w:val="001C5524"/>
    <w:rsid w:val="001C71AF"/>
    <w:rsid w:val="001E2EB4"/>
    <w:rsid w:val="001E79A2"/>
    <w:rsid w:val="001F0F7E"/>
    <w:rsid w:val="00202FF5"/>
    <w:rsid w:val="00223D5B"/>
    <w:rsid w:val="00230862"/>
    <w:rsid w:val="00234E58"/>
    <w:rsid w:val="00234F26"/>
    <w:rsid w:val="00245F85"/>
    <w:rsid w:val="00261326"/>
    <w:rsid w:val="00294FF4"/>
    <w:rsid w:val="00296E5D"/>
    <w:rsid w:val="002B2B16"/>
    <w:rsid w:val="002C247A"/>
    <w:rsid w:val="002E7AA7"/>
    <w:rsid w:val="002F5594"/>
    <w:rsid w:val="00300276"/>
    <w:rsid w:val="00304A8D"/>
    <w:rsid w:val="00307822"/>
    <w:rsid w:val="003103DB"/>
    <w:rsid w:val="00333D25"/>
    <w:rsid w:val="00342E3F"/>
    <w:rsid w:val="00343A6E"/>
    <w:rsid w:val="0036010B"/>
    <w:rsid w:val="003751E8"/>
    <w:rsid w:val="003962E2"/>
    <w:rsid w:val="003B2B90"/>
    <w:rsid w:val="003F7DC7"/>
    <w:rsid w:val="00400A52"/>
    <w:rsid w:val="004050F9"/>
    <w:rsid w:val="00412555"/>
    <w:rsid w:val="00414F3E"/>
    <w:rsid w:val="0042148A"/>
    <w:rsid w:val="00430B62"/>
    <w:rsid w:val="0046158E"/>
    <w:rsid w:val="0048348F"/>
    <w:rsid w:val="004841DC"/>
    <w:rsid w:val="004B2F5B"/>
    <w:rsid w:val="004C41EE"/>
    <w:rsid w:val="004D2800"/>
    <w:rsid w:val="004E5B15"/>
    <w:rsid w:val="004F171B"/>
    <w:rsid w:val="00511116"/>
    <w:rsid w:val="00545EE7"/>
    <w:rsid w:val="00584A04"/>
    <w:rsid w:val="00584EAD"/>
    <w:rsid w:val="0058696B"/>
    <w:rsid w:val="005A3215"/>
    <w:rsid w:val="005D7D1E"/>
    <w:rsid w:val="005E1A7C"/>
    <w:rsid w:val="005E6E4A"/>
    <w:rsid w:val="005F696D"/>
    <w:rsid w:val="00634268"/>
    <w:rsid w:val="00637097"/>
    <w:rsid w:val="00671938"/>
    <w:rsid w:val="006E18C2"/>
    <w:rsid w:val="006F6B6F"/>
    <w:rsid w:val="00704D3D"/>
    <w:rsid w:val="00720A42"/>
    <w:rsid w:val="00735E80"/>
    <w:rsid w:val="00742595"/>
    <w:rsid w:val="007433B4"/>
    <w:rsid w:val="00762C21"/>
    <w:rsid w:val="00781820"/>
    <w:rsid w:val="0078663D"/>
    <w:rsid w:val="007A3D12"/>
    <w:rsid w:val="007B5C9D"/>
    <w:rsid w:val="007D60D1"/>
    <w:rsid w:val="007F4737"/>
    <w:rsid w:val="00826018"/>
    <w:rsid w:val="008C4DA1"/>
    <w:rsid w:val="008D50F4"/>
    <w:rsid w:val="008E0279"/>
    <w:rsid w:val="008E34A1"/>
    <w:rsid w:val="009127E7"/>
    <w:rsid w:val="00915FC3"/>
    <w:rsid w:val="00943954"/>
    <w:rsid w:val="009449DD"/>
    <w:rsid w:val="009546FC"/>
    <w:rsid w:val="009647B8"/>
    <w:rsid w:val="00973803"/>
    <w:rsid w:val="0098633F"/>
    <w:rsid w:val="00990AD3"/>
    <w:rsid w:val="009C4366"/>
    <w:rsid w:val="009F0C6C"/>
    <w:rsid w:val="00A02C21"/>
    <w:rsid w:val="00A242C2"/>
    <w:rsid w:val="00A30E5B"/>
    <w:rsid w:val="00A6378D"/>
    <w:rsid w:val="00A65C71"/>
    <w:rsid w:val="00A81C90"/>
    <w:rsid w:val="00A83825"/>
    <w:rsid w:val="00A913EF"/>
    <w:rsid w:val="00AC5818"/>
    <w:rsid w:val="00B17806"/>
    <w:rsid w:val="00B222AB"/>
    <w:rsid w:val="00B44C70"/>
    <w:rsid w:val="00B473BA"/>
    <w:rsid w:val="00B54958"/>
    <w:rsid w:val="00B85210"/>
    <w:rsid w:val="00BA1955"/>
    <w:rsid w:val="00BA299A"/>
    <w:rsid w:val="00BC6D92"/>
    <w:rsid w:val="00BF26E3"/>
    <w:rsid w:val="00C02294"/>
    <w:rsid w:val="00C265A5"/>
    <w:rsid w:val="00C47AAF"/>
    <w:rsid w:val="00C8092C"/>
    <w:rsid w:val="00C827CE"/>
    <w:rsid w:val="00C82F8F"/>
    <w:rsid w:val="00CC7CC4"/>
    <w:rsid w:val="00CD2825"/>
    <w:rsid w:val="00CD4F05"/>
    <w:rsid w:val="00CE057D"/>
    <w:rsid w:val="00CE58FB"/>
    <w:rsid w:val="00CE762D"/>
    <w:rsid w:val="00CF31FB"/>
    <w:rsid w:val="00CF405C"/>
    <w:rsid w:val="00D0116E"/>
    <w:rsid w:val="00D03DA8"/>
    <w:rsid w:val="00D422BC"/>
    <w:rsid w:val="00D433A5"/>
    <w:rsid w:val="00D43670"/>
    <w:rsid w:val="00D50061"/>
    <w:rsid w:val="00D724EB"/>
    <w:rsid w:val="00D94177"/>
    <w:rsid w:val="00E500C8"/>
    <w:rsid w:val="00E53F45"/>
    <w:rsid w:val="00E7637E"/>
    <w:rsid w:val="00E87109"/>
    <w:rsid w:val="00EA2D8D"/>
    <w:rsid w:val="00EC14DD"/>
    <w:rsid w:val="00F47699"/>
    <w:rsid w:val="00F5761F"/>
    <w:rsid w:val="00F83551"/>
    <w:rsid w:val="00FA178F"/>
    <w:rsid w:val="00FD7788"/>
    <w:rsid w:val="00FE78FB"/>
    <w:rsid w:val="00FE7B00"/>
    <w:rsid w:val="00FF2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DA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02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02294"/>
    <w:pPr>
      <w:ind w:left="720"/>
      <w:contextualSpacing/>
    </w:pPr>
  </w:style>
  <w:style w:type="paragraph" w:styleId="a5">
    <w:name w:val="Normal (Web)"/>
    <w:basedOn w:val="a"/>
    <w:uiPriority w:val="99"/>
    <w:semiHidden/>
    <w:rsid w:val="00230862"/>
    <w:rPr>
      <w:rFonts w:ascii="Times New Roman" w:hAnsi="Times New Roman"/>
      <w:sz w:val="24"/>
      <w:szCs w:val="24"/>
    </w:rPr>
  </w:style>
  <w:style w:type="character" w:styleId="a6">
    <w:name w:val="annotation reference"/>
    <w:uiPriority w:val="99"/>
    <w:semiHidden/>
    <w:rsid w:val="0078663D"/>
    <w:rPr>
      <w:rFonts w:cs="Times New Roman"/>
      <w:sz w:val="16"/>
      <w:szCs w:val="16"/>
    </w:rPr>
  </w:style>
  <w:style w:type="paragraph" w:styleId="a7">
    <w:name w:val="annotation text"/>
    <w:basedOn w:val="a"/>
    <w:link w:val="a8"/>
    <w:uiPriority w:val="99"/>
    <w:semiHidden/>
    <w:rsid w:val="0078663D"/>
    <w:pPr>
      <w:spacing w:line="240" w:lineRule="auto"/>
    </w:pPr>
    <w:rPr>
      <w:sz w:val="20"/>
      <w:szCs w:val="20"/>
    </w:rPr>
  </w:style>
  <w:style w:type="character" w:customStyle="1" w:styleId="a8">
    <w:name w:val="Текст примечания Знак"/>
    <w:link w:val="a7"/>
    <w:uiPriority w:val="99"/>
    <w:semiHidden/>
    <w:locked/>
    <w:rsid w:val="0078663D"/>
    <w:rPr>
      <w:rFonts w:cs="Times New Roman"/>
      <w:sz w:val="20"/>
      <w:szCs w:val="20"/>
    </w:rPr>
  </w:style>
  <w:style w:type="paragraph" w:styleId="a9">
    <w:name w:val="annotation subject"/>
    <w:basedOn w:val="a7"/>
    <w:next w:val="a7"/>
    <w:link w:val="aa"/>
    <w:uiPriority w:val="99"/>
    <w:semiHidden/>
    <w:rsid w:val="0078663D"/>
    <w:rPr>
      <w:b/>
      <w:bCs/>
    </w:rPr>
  </w:style>
  <w:style w:type="character" w:customStyle="1" w:styleId="aa">
    <w:name w:val="Тема примечания Знак"/>
    <w:link w:val="a9"/>
    <w:uiPriority w:val="99"/>
    <w:semiHidden/>
    <w:locked/>
    <w:rsid w:val="0078663D"/>
    <w:rPr>
      <w:rFonts w:cs="Times New Roman"/>
      <w:b/>
      <w:bCs/>
      <w:sz w:val="20"/>
      <w:szCs w:val="20"/>
    </w:rPr>
  </w:style>
  <w:style w:type="paragraph" w:styleId="ab">
    <w:name w:val="Balloon Text"/>
    <w:basedOn w:val="a"/>
    <w:link w:val="ac"/>
    <w:uiPriority w:val="99"/>
    <w:semiHidden/>
    <w:rsid w:val="0078663D"/>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78663D"/>
    <w:rPr>
      <w:rFonts w:ascii="Tahoma" w:hAnsi="Tahoma" w:cs="Tahoma"/>
      <w:sz w:val="16"/>
      <w:szCs w:val="16"/>
    </w:rPr>
  </w:style>
  <w:style w:type="paragraph" w:styleId="ad">
    <w:name w:val="No Spacing"/>
    <w:uiPriority w:val="99"/>
    <w:qFormat/>
    <w:rsid w:val="000440D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08733">
      <w:marLeft w:val="0"/>
      <w:marRight w:val="0"/>
      <w:marTop w:val="0"/>
      <w:marBottom w:val="0"/>
      <w:divBdr>
        <w:top w:val="none" w:sz="0" w:space="0" w:color="auto"/>
        <w:left w:val="none" w:sz="0" w:space="0" w:color="auto"/>
        <w:bottom w:val="none" w:sz="0" w:space="0" w:color="auto"/>
        <w:right w:val="none" w:sz="0" w:space="0" w:color="auto"/>
      </w:divBdr>
    </w:div>
    <w:div w:id="1683508734">
      <w:marLeft w:val="0"/>
      <w:marRight w:val="0"/>
      <w:marTop w:val="0"/>
      <w:marBottom w:val="0"/>
      <w:divBdr>
        <w:top w:val="none" w:sz="0" w:space="0" w:color="auto"/>
        <w:left w:val="none" w:sz="0" w:space="0" w:color="auto"/>
        <w:bottom w:val="none" w:sz="0" w:space="0" w:color="auto"/>
        <w:right w:val="none" w:sz="0" w:space="0" w:color="auto"/>
      </w:divBdr>
    </w:div>
    <w:div w:id="1683508735">
      <w:marLeft w:val="0"/>
      <w:marRight w:val="0"/>
      <w:marTop w:val="0"/>
      <w:marBottom w:val="0"/>
      <w:divBdr>
        <w:top w:val="none" w:sz="0" w:space="0" w:color="auto"/>
        <w:left w:val="none" w:sz="0" w:space="0" w:color="auto"/>
        <w:bottom w:val="none" w:sz="0" w:space="0" w:color="auto"/>
        <w:right w:val="none" w:sz="0" w:space="0" w:color="auto"/>
      </w:divBdr>
    </w:div>
    <w:div w:id="1683508736">
      <w:marLeft w:val="0"/>
      <w:marRight w:val="0"/>
      <w:marTop w:val="0"/>
      <w:marBottom w:val="0"/>
      <w:divBdr>
        <w:top w:val="none" w:sz="0" w:space="0" w:color="auto"/>
        <w:left w:val="none" w:sz="0" w:space="0" w:color="auto"/>
        <w:bottom w:val="none" w:sz="0" w:space="0" w:color="auto"/>
        <w:right w:val="none" w:sz="0" w:space="0" w:color="auto"/>
      </w:divBdr>
    </w:div>
    <w:div w:id="1683508737">
      <w:marLeft w:val="0"/>
      <w:marRight w:val="0"/>
      <w:marTop w:val="0"/>
      <w:marBottom w:val="0"/>
      <w:divBdr>
        <w:top w:val="none" w:sz="0" w:space="0" w:color="auto"/>
        <w:left w:val="none" w:sz="0" w:space="0" w:color="auto"/>
        <w:bottom w:val="none" w:sz="0" w:space="0" w:color="auto"/>
        <w:right w:val="none" w:sz="0" w:space="0" w:color="auto"/>
      </w:divBdr>
    </w:div>
    <w:div w:id="1683508738">
      <w:marLeft w:val="0"/>
      <w:marRight w:val="0"/>
      <w:marTop w:val="0"/>
      <w:marBottom w:val="0"/>
      <w:divBdr>
        <w:top w:val="none" w:sz="0" w:space="0" w:color="auto"/>
        <w:left w:val="none" w:sz="0" w:space="0" w:color="auto"/>
        <w:bottom w:val="none" w:sz="0" w:space="0" w:color="auto"/>
        <w:right w:val="none" w:sz="0" w:space="0" w:color="auto"/>
      </w:divBdr>
    </w:div>
    <w:div w:id="1683508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3699</Words>
  <Characters>21089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Tabelul divergenţilorla proiectul Hotărîrii de Guvern cu privire la aprobarea Reglementării tehnice privind punerea la dispoziţie pe piaţă a mijloacelor de măsurare</vt:lpstr>
    </vt:vector>
  </TitlesOfParts>
  <Company>ME-305-Jitari</Company>
  <LinksUpToDate>false</LinksUpToDate>
  <CharactersWithSpaces>24739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divergenţilorla proiectul Hotărîrii de Guvern cu privire la aprobarea Reglementării tehnice privind punerea la dispoziţie pe piaţă a mijloacelor de măsurare</dc:title>
  <dc:subject/>
  <dc:creator>ME-305-Jitari</dc:creator>
  <cp:keywords/>
  <dc:description/>
  <cp:lastModifiedBy>ME-305-Jitari</cp:lastModifiedBy>
  <cp:revision>4</cp:revision>
  <cp:lastPrinted>2014-12-18T15:08:00Z</cp:lastPrinted>
  <dcterms:created xsi:type="dcterms:W3CDTF">2015-03-22T13:15:00Z</dcterms:created>
  <dcterms:modified xsi:type="dcterms:W3CDTF">2015-03-23T07:39:00Z</dcterms:modified>
</cp:coreProperties>
</file>