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B3" w:rsidRDefault="00CB34B3" w:rsidP="00CB34B3">
      <w:pPr>
        <w:pStyle w:val="Heading1"/>
        <w:ind w:firstLine="567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Proiect</w:t>
      </w:r>
    </w:p>
    <w:p w:rsidR="00CB34B3" w:rsidRDefault="00CB34B3" w:rsidP="00CB34B3">
      <w:pPr>
        <w:pStyle w:val="Heading1"/>
      </w:pPr>
    </w:p>
    <w:p w:rsidR="00CB34B3" w:rsidRDefault="00CB34B3" w:rsidP="00CB34B3">
      <w:pPr>
        <w:pStyle w:val="Heading1"/>
        <w:ind w:firstLine="567"/>
      </w:pPr>
      <w:r>
        <w:t>Guvernul Republicii Moldova</w:t>
      </w:r>
    </w:p>
    <w:p w:rsidR="00CB34B3" w:rsidRDefault="00CB34B3" w:rsidP="00CB34B3">
      <w:pPr>
        <w:ind w:firstLine="567"/>
        <w:rPr>
          <w:lang w:val="ro-RO"/>
        </w:rPr>
      </w:pPr>
    </w:p>
    <w:p w:rsidR="00CB34B3" w:rsidRDefault="00CB34B3" w:rsidP="00CB34B3">
      <w:pPr>
        <w:ind w:firstLine="567"/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>HOTĂRÎRE</w:t>
      </w:r>
    </w:p>
    <w:p w:rsidR="00CB34B3" w:rsidRDefault="00CB34B3" w:rsidP="00CB34B3">
      <w:pPr>
        <w:ind w:firstLine="567"/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>nr. _____</w:t>
      </w:r>
    </w:p>
    <w:p w:rsidR="00CB34B3" w:rsidRDefault="00CB34B3" w:rsidP="00CB34B3">
      <w:pPr>
        <w:ind w:firstLine="567"/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>din “___”_________2015</w:t>
      </w:r>
    </w:p>
    <w:p w:rsidR="00CB34B3" w:rsidRDefault="00CB34B3" w:rsidP="00CB34B3">
      <w:pPr>
        <w:ind w:firstLine="567"/>
        <w:rPr>
          <w:b/>
          <w:sz w:val="28"/>
          <w:lang w:val="ro-RO"/>
        </w:rPr>
      </w:pPr>
    </w:p>
    <w:p w:rsidR="00CB34B3" w:rsidRDefault="00CB34B3" w:rsidP="00CB34B3">
      <w:pPr>
        <w:ind w:firstLine="567"/>
        <w:jc w:val="center"/>
        <w:rPr>
          <w:b/>
          <w:bCs/>
          <w:sz w:val="28"/>
          <w:szCs w:val="28"/>
          <w:lang w:val="ro-RO"/>
        </w:rPr>
      </w:pPr>
      <w:r>
        <w:rPr>
          <w:b/>
          <w:sz w:val="28"/>
          <w:lang w:val="ro-RO"/>
        </w:rPr>
        <w:t xml:space="preserve"> cu privire la modificarea </w:t>
      </w:r>
      <w:r w:rsidR="00EA096E">
        <w:rPr>
          <w:b/>
          <w:sz w:val="28"/>
          <w:lang w:val="ro-RO"/>
        </w:rPr>
        <w:t xml:space="preserve">și completarea </w:t>
      </w:r>
      <w:r>
        <w:rPr>
          <w:b/>
          <w:bCs/>
          <w:sz w:val="28"/>
          <w:szCs w:val="28"/>
          <w:lang w:val="ro-RO"/>
        </w:rPr>
        <w:t xml:space="preserve">Regulamentului </w:t>
      </w:r>
    </w:p>
    <w:p w:rsidR="00CB34B3" w:rsidRDefault="00CB34B3" w:rsidP="00CB34B3">
      <w:pPr>
        <w:ind w:firstLine="56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privind achizițiile publice de lucrări</w:t>
      </w:r>
    </w:p>
    <w:p w:rsidR="00CB34B3" w:rsidRDefault="00CB34B3" w:rsidP="00CB34B3">
      <w:pPr>
        <w:ind w:firstLine="567"/>
        <w:rPr>
          <w:b/>
          <w:sz w:val="28"/>
          <w:lang w:val="ro-RO"/>
        </w:rPr>
      </w:pPr>
    </w:p>
    <w:p w:rsidR="00CB34B3" w:rsidRDefault="00CB34B3" w:rsidP="00CB34B3">
      <w:pPr>
        <w:ind w:firstLine="567"/>
        <w:rPr>
          <w:b/>
          <w:sz w:val="28"/>
          <w:lang w:val="ro-RO"/>
        </w:rPr>
      </w:pPr>
    </w:p>
    <w:p w:rsidR="00CB34B3" w:rsidRDefault="00CB34B3" w:rsidP="00CB34B3">
      <w:pPr>
        <w:ind w:firstLine="567"/>
        <w:jc w:val="both"/>
        <w:rPr>
          <w:sz w:val="28"/>
          <w:lang w:val="ro-RO"/>
        </w:rPr>
      </w:pPr>
      <w:r>
        <w:rPr>
          <w:sz w:val="28"/>
          <w:szCs w:val="28"/>
          <w:lang w:val="ro-RO"/>
        </w:rPr>
        <w:t>În scopul asigurării executării Legii nr. 96-XVI din 13 aprilie 2007 privind achizițiile publice (Monitorul Oficial, 2012, nr. 149-154, art. 490)</w:t>
      </w:r>
      <w:r>
        <w:rPr>
          <w:i/>
          <w:iCs/>
          <w:sz w:val="28"/>
          <w:szCs w:val="28"/>
          <w:lang w:val="ro-RO"/>
        </w:rPr>
        <w:t xml:space="preserve">, </w:t>
      </w:r>
      <w:r>
        <w:rPr>
          <w:sz w:val="28"/>
          <w:lang w:val="ro-RO"/>
        </w:rPr>
        <w:t xml:space="preserve">Guvernul </w:t>
      </w:r>
    </w:p>
    <w:p w:rsidR="00CB34B3" w:rsidRDefault="00CB34B3" w:rsidP="00CB34B3">
      <w:pPr>
        <w:ind w:firstLine="567"/>
        <w:jc w:val="both"/>
        <w:rPr>
          <w:i/>
          <w:iCs/>
          <w:sz w:val="28"/>
          <w:szCs w:val="28"/>
          <w:lang w:val="ro-RO"/>
        </w:rPr>
      </w:pPr>
    </w:p>
    <w:p w:rsidR="00CB34B3" w:rsidRDefault="00CB34B3" w:rsidP="00CB34B3">
      <w:pPr>
        <w:ind w:left="3540" w:firstLine="567"/>
        <w:jc w:val="both"/>
        <w:rPr>
          <w:sz w:val="28"/>
          <w:lang w:val="ro-RO"/>
        </w:rPr>
      </w:pPr>
      <w:r>
        <w:rPr>
          <w:b/>
          <w:sz w:val="28"/>
          <w:lang w:val="ro-RO"/>
        </w:rPr>
        <w:t>Hotărăşte</w:t>
      </w:r>
      <w:r>
        <w:rPr>
          <w:sz w:val="28"/>
          <w:lang w:val="ro-RO"/>
        </w:rPr>
        <w:t>:</w:t>
      </w:r>
    </w:p>
    <w:p w:rsidR="00CB34B3" w:rsidRDefault="00CB34B3" w:rsidP="00CB34B3">
      <w:pPr>
        <w:ind w:firstLine="567"/>
        <w:jc w:val="both"/>
        <w:rPr>
          <w:sz w:val="28"/>
          <w:szCs w:val="28"/>
          <w:lang w:val="ro-RO"/>
        </w:rPr>
      </w:pPr>
    </w:p>
    <w:p w:rsidR="00CB34B3" w:rsidRDefault="00CB34B3" w:rsidP="00262659">
      <w:pPr>
        <w:pStyle w:val="tt"/>
        <w:tabs>
          <w:tab w:val="left" w:pos="851"/>
        </w:tabs>
        <w:spacing w:line="276" w:lineRule="auto"/>
        <w:ind w:firstLine="567"/>
        <w:jc w:val="both"/>
        <w:rPr>
          <w:b w:val="0"/>
          <w:bCs w:val="0"/>
          <w:sz w:val="28"/>
          <w:szCs w:val="28"/>
          <w:lang w:val="ro-RO"/>
        </w:rPr>
      </w:pPr>
      <w:r>
        <w:rPr>
          <w:b w:val="0"/>
          <w:bCs w:val="0"/>
          <w:sz w:val="28"/>
          <w:szCs w:val="28"/>
          <w:lang w:val="ro-RO"/>
        </w:rPr>
        <w:t xml:space="preserve">Regulamentul privind achizițiile publice de lucrări, aprobat prin </w:t>
      </w:r>
      <w:proofErr w:type="spellStart"/>
      <w:r>
        <w:rPr>
          <w:b w:val="0"/>
          <w:bCs w:val="0"/>
          <w:sz w:val="28"/>
          <w:szCs w:val="28"/>
          <w:lang w:val="ro-RO"/>
        </w:rPr>
        <w:t>Hotărîrea</w:t>
      </w:r>
      <w:proofErr w:type="spellEnd"/>
      <w:r>
        <w:rPr>
          <w:b w:val="0"/>
          <w:bCs w:val="0"/>
          <w:sz w:val="28"/>
          <w:szCs w:val="28"/>
          <w:lang w:val="ro-RO"/>
        </w:rPr>
        <w:t xml:space="preserve"> Guvernului nr. 8</w:t>
      </w:r>
      <w:r w:rsidR="00FA35F3">
        <w:rPr>
          <w:b w:val="0"/>
          <w:bCs w:val="0"/>
          <w:sz w:val="28"/>
          <w:szCs w:val="28"/>
          <w:lang w:val="ro-RO"/>
        </w:rPr>
        <w:t>34</w:t>
      </w:r>
      <w:r>
        <w:rPr>
          <w:b w:val="0"/>
          <w:bCs w:val="0"/>
          <w:sz w:val="28"/>
          <w:szCs w:val="28"/>
          <w:lang w:val="ro-RO"/>
        </w:rPr>
        <w:t xml:space="preserve"> </w:t>
      </w:r>
      <w:r>
        <w:rPr>
          <w:b w:val="0"/>
          <w:sz w:val="28"/>
          <w:lang w:val="ro-RO"/>
        </w:rPr>
        <w:t xml:space="preserve">din 13.09.2010 cu modificările și completările ulterioare </w:t>
      </w:r>
      <w:r>
        <w:rPr>
          <w:b w:val="0"/>
          <w:bCs w:val="0"/>
          <w:sz w:val="28"/>
          <w:szCs w:val="28"/>
          <w:lang w:val="ro-RO"/>
        </w:rPr>
        <w:t xml:space="preserve">(Monitorul Oficial, 2010, nr. 169-171, art. 923), se modifică după cum urmează: </w:t>
      </w:r>
    </w:p>
    <w:p w:rsidR="00CB34B3" w:rsidRDefault="00CB34B3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Pct.</w:t>
      </w:r>
      <w:r w:rsidR="0001442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56, 57, </w:t>
      </w:r>
      <w:r w:rsidR="007E3A6B">
        <w:rPr>
          <w:sz w:val="28"/>
          <w:szCs w:val="28"/>
          <w:lang w:val="ro-RO"/>
        </w:rPr>
        <w:t xml:space="preserve">130, </w:t>
      </w:r>
      <w:r>
        <w:rPr>
          <w:sz w:val="28"/>
          <w:szCs w:val="28"/>
          <w:lang w:val="ro-RO"/>
        </w:rPr>
        <w:t>169, 172, 190, 192, 193, Anexa se abrogă;</w:t>
      </w:r>
    </w:p>
    <w:p w:rsidR="00410740" w:rsidRDefault="00262659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pct. 1 sintagma „documentele de licitație” se înlocuiește cu sintagma </w:t>
      </w:r>
      <w:r w:rsidRPr="00262659">
        <w:rPr>
          <w:sz w:val="28"/>
          <w:szCs w:val="28"/>
          <w:lang w:val="ro-RO"/>
        </w:rPr>
        <w:t>„documentele de atribuire” și are următoarea definiție „documentaţie care cuprinde toate informaţiile legate de obiectul contractului de achiziţii publice şi de procedura de atribuire a acestuia, inclusiv caietul de sarcini sau, după caz, documentaţia descriptivă”;</w:t>
      </w:r>
    </w:p>
    <w:p w:rsidR="0013216C" w:rsidRDefault="0013216C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tot textul Regulamentului, sintagma „documentele de licitație” se înlocuiește cu sintagma „documentele de atribuire”, la cazul și forma gramaticală potrivită;</w:t>
      </w:r>
    </w:p>
    <w:p w:rsidR="00262659" w:rsidRDefault="00262659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pct. 1 </w:t>
      </w:r>
      <w:proofErr w:type="spellStart"/>
      <w:r>
        <w:rPr>
          <w:sz w:val="28"/>
          <w:szCs w:val="28"/>
          <w:lang w:val="ro-RO"/>
        </w:rPr>
        <w:t>cuvîntul</w:t>
      </w:r>
      <w:proofErr w:type="spellEnd"/>
      <w:r>
        <w:rPr>
          <w:sz w:val="28"/>
          <w:szCs w:val="28"/>
          <w:lang w:val="ro-RO"/>
        </w:rPr>
        <w:t xml:space="preserve"> „încape” din definiția sintagmei „perioadă de valabilitate a ofertei” se înlocuiește cu </w:t>
      </w:r>
      <w:proofErr w:type="spellStart"/>
      <w:r>
        <w:rPr>
          <w:sz w:val="28"/>
          <w:szCs w:val="28"/>
          <w:lang w:val="ro-RO"/>
        </w:rPr>
        <w:t>cuvîntul</w:t>
      </w:r>
      <w:proofErr w:type="spellEnd"/>
      <w:r>
        <w:rPr>
          <w:sz w:val="28"/>
          <w:szCs w:val="28"/>
          <w:lang w:val="ro-RO"/>
        </w:rPr>
        <w:t xml:space="preserve"> „începe”;</w:t>
      </w:r>
    </w:p>
    <w:p w:rsidR="002A7EFB" w:rsidRPr="00262659" w:rsidRDefault="002A7EFB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 2 sintagma „anexa la prezentul regulament” se substituie cu sintagma „Vocabularul comun al achizițiilor publice (CPV);</w:t>
      </w:r>
    </w:p>
    <w:p w:rsidR="00CB34B3" w:rsidRDefault="00CB34B3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 12 sintagma „Licitația deschisă are loc dacă la ea au fost calificați cel puțin trei ofertanți” se exclude;</w:t>
      </w:r>
    </w:p>
    <w:p w:rsidR="00CB34B3" w:rsidRDefault="00CB34B3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pct. 25 </w:t>
      </w:r>
      <w:proofErr w:type="spellStart"/>
      <w:r w:rsidR="00262659">
        <w:rPr>
          <w:sz w:val="28"/>
          <w:szCs w:val="28"/>
          <w:lang w:val="ro-RO"/>
        </w:rPr>
        <w:t>cuvîntul</w:t>
      </w:r>
      <w:proofErr w:type="spellEnd"/>
      <w:r w:rsidR="00262659">
        <w:rPr>
          <w:sz w:val="28"/>
          <w:szCs w:val="28"/>
          <w:lang w:val="ro-RO"/>
        </w:rPr>
        <w:t xml:space="preserve"> „unicul” se exclude și se completează cu sintagma „sau oferta cea mai avantajoasă din punct de vedere tehnico-economic”</w:t>
      </w:r>
      <w:r w:rsidR="0067706C">
        <w:rPr>
          <w:sz w:val="28"/>
          <w:szCs w:val="28"/>
          <w:lang w:val="ro-RO"/>
        </w:rPr>
        <w:t>, după sintagma „cel mai mic preț”</w:t>
      </w:r>
      <w:r w:rsidR="00262659">
        <w:rPr>
          <w:sz w:val="28"/>
          <w:szCs w:val="28"/>
          <w:lang w:val="ro-RO"/>
        </w:rPr>
        <w:t>;</w:t>
      </w:r>
    </w:p>
    <w:p w:rsidR="00262659" w:rsidRDefault="00262659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Pct. 31 lit. a) se completează cu sintagma „cu excepția procedurilor repetate”;</w:t>
      </w:r>
    </w:p>
    <w:p w:rsidR="00262659" w:rsidRDefault="00262659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Pct. 31 se completează cu lit. f) și are următorul conținut „ofertanții clasați pe locul </w:t>
      </w:r>
      <w:r w:rsidR="008B1DC4">
        <w:rPr>
          <w:sz w:val="28"/>
          <w:szCs w:val="28"/>
          <w:lang w:val="ro-RO"/>
        </w:rPr>
        <w:t>unu și doi</w:t>
      </w:r>
      <w:r>
        <w:rPr>
          <w:sz w:val="28"/>
          <w:szCs w:val="28"/>
          <w:lang w:val="ro-RO"/>
        </w:rPr>
        <w:t xml:space="preserve"> refuză încheierea contractului”;</w:t>
      </w:r>
    </w:p>
    <w:p w:rsidR="00262659" w:rsidRDefault="009011F3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Titlul Capitolului</w:t>
      </w:r>
      <w:r w:rsidR="00262659">
        <w:rPr>
          <w:sz w:val="28"/>
          <w:szCs w:val="28"/>
          <w:lang w:val="ro-RO"/>
        </w:rPr>
        <w:t xml:space="preserve"> III ,,Procedura de licitație” se modifică și </w:t>
      </w:r>
      <w:r w:rsidR="00C811D8">
        <w:rPr>
          <w:sz w:val="28"/>
          <w:szCs w:val="28"/>
          <w:lang w:val="ro-RO"/>
        </w:rPr>
        <w:t>are</w:t>
      </w:r>
      <w:r w:rsidR="00262659">
        <w:rPr>
          <w:sz w:val="28"/>
          <w:szCs w:val="28"/>
          <w:lang w:val="ro-RO"/>
        </w:rPr>
        <w:t xml:space="preserve"> următorul conținut „Cerințe generale privind inițierea și desfășurarea procedurilor de achiziție publică”;</w:t>
      </w:r>
    </w:p>
    <w:p w:rsidR="00262659" w:rsidRPr="0013216C" w:rsidRDefault="008B1DC4" w:rsidP="0013216C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 35 sintagma „</w:t>
      </w:r>
      <w:r w:rsidR="0067706C">
        <w:rPr>
          <w:sz w:val="28"/>
          <w:szCs w:val="28"/>
          <w:lang w:val="ro-RO"/>
        </w:rPr>
        <w:t>forma și conținutul stabilit în Documentația standard pentru realizarea achizițiilor publice de lucrări” se înlocuiește cu sintagma „legislația în vigoare”;</w:t>
      </w:r>
    </w:p>
    <w:p w:rsidR="0033432A" w:rsidRDefault="0033432A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 39 sintagma „în conformitate cu forma și conținutul stabilit în Documentația standard pentru realizarea achizițiilor publice de lucrări” se exclude;</w:t>
      </w:r>
    </w:p>
    <w:p w:rsidR="0033432A" w:rsidRDefault="0033432A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 60 sintagma „format din cel puțin 5 membri</w:t>
      </w:r>
      <w:r w:rsidR="004F6927">
        <w:rPr>
          <w:sz w:val="28"/>
          <w:szCs w:val="28"/>
          <w:lang w:val="ro-RO"/>
        </w:rPr>
        <w:t xml:space="preserve"> care </w:t>
      </w:r>
      <w:proofErr w:type="spellStart"/>
      <w:r w:rsidR="004F6927">
        <w:rPr>
          <w:sz w:val="28"/>
          <w:szCs w:val="28"/>
          <w:lang w:val="ro-RO"/>
        </w:rPr>
        <w:t>sînt</w:t>
      </w:r>
      <w:proofErr w:type="spellEnd"/>
      <w:r>
        <w:rPr>
          <w:sz w:val="28"/>
          <w:szCs w:val="28"/>
          <w:lang w:val="ro-RO"/>
        </w:rPr>
        <w:t>” se exclude;</w:t>
      </w:r>
    </w:p>
    <w:p w:rsidR="0033432A" w:rsidRDefault="00456F51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 64 lit. d) „elementele principale ale propunerilor financiare, inclusiv prețul” se modifică în „prețul ofertei și documentele ce atestă calificarea”;</w:t>
      </w:r>
    </w:p>
    <w:p w:rsidR="00456F51" w:rsidRDefault="00456F51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Pct. 65 se completează cu sintagma „care se returnează nedeschise”;</w:t>
      </w:r>
    </w:p>
    <w:p w:rsidR="00456F51" w:rsidRDefault="00C811D8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="00456F51">
        <w:rPr>
          <w:sz w:val="28"/>
          <w:szCs w:val="28"/>
          <w:lang w:val="ro-RO"/>
        </w:rPr>
        <w:t xml:space="preserve">ct. 66 </w:t>
      </w:r>
      <w:r>
        <w:rPr>
          <w:sz w:val="28"/>
          <w:szCs w:val="28"/>
          <w:lang w:val="ro-RO"/>
        </w:rPr>
        <w:t xml:space="preserve">se modifică și are următorul conținut „Grupul de lucru va întocmi un proces-verbal de deschidere, care cuprinde informația de la pct. 64 și care urmează a fi semnat </w:t>
      </w:r>
      <w:proofErr w:type="spellStart"/>
      <w:r>
        <w:rPr>
          <w:sz w:val="28"/>
          <w:szCs w:val="28"/>
          <w:lang w:val="ro-RO"/>
        </w:rPr>
        <w:t>atît</w:t>
      </w:r>
      <w:proofErr w:type="spellEnd"/>
      <w:r>
        <w:rPr>
          <w:sz w:val="28"/>
          <w:szCs w:val="28"/>
          <w:lang w:val="ro-RO"/>
        </w:rPr>
        <w:t xml:space="preserve"> de membrii </w:t>
      </w:r>
      <w:r w:rsidR="009F28CA">
        <w:rPr>
          <w:sz w:val="28"/>
          <w:szCs w:val="28"/>
          <w:lang w:val="ro-RO"/>
        </w:rPr>
        <w:t xml:space="preserve">grupului de lucru, </w:t>
      </w:r>
      <w:proofErr w:type="spellStart"/>
      <w:r w:rsidR="009F28CA">
        <w:rPr>
          <w:sz w:val="28"/>
          <w:szCs w:val="28"/>
          <w:lang w:val="ro-RO"/>
        </w:rPr>
        <w:t>cît</w:t>
      </w:r>
      <w:proofErr w:type="spellEnd"/>
      <w:r w:rsidR="009F28CA">
        <w:rPr>
          <w:sz w:val="28"/>
          <w:szCs w:val="28"/>
          <w:lang w:val="ro-RO"/>
        </w:rPr>
        <w:t xml:space="preserve"> și de reprezentanții ofertanților prezenți la deschiderea ofertelor, la solicitarea acestora, după caz, pe fiecare filă a procesului-verbal”;</w:t>
      </w:r>
    </w:p>
    <w:p w:rsidR="009F28CA" w:rsidRDefault="009F28CA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pct. 68 sintagma „autoritatea contractantă va prezenta Agenției spre </w:t>
      </w:r>
      <w:r w:rsidR="004F6927">
        <w:rPr>
          <w:sz w:val="28"/>
          <w:szCs w:val="28"/>
          <w:lang w:val="ro-RO"/>
        </w:rPr>
        <w:t>înregistrare darea de seamă</w:t>
      </w:r>
      <w:r>
        <w:rPr>
          <w:sz w:val="28"/>
          <w:szCs w:val="28"/>
          <w:lang w:val="ro-RO"/>
        </w:rPr>
        <w:t>”</w:t>
      </w:r>
      <w:r w:rsidR="004F6927">
        <w:rPr>
          <w:sz w:val="28"/>
          <w:szCs w:val="28"/>
          <w:lang w:val="ro-RO"/>
        </w:rPr>
        <w:t xml:space="preserve"> se completează cu sintagma „după caz”, iar sintagma „însoțită de </w:t>
      </w:r>
      <w:proofErr w:type="spellStart"/>
      <w:r w:rsidR="004F6927">
        <w:rPr>
          <w:sz w:val="28"/>
          <w:szCs w:val="28"/>
          <w:lang w:val="ro-RO"/>
        </w:rPr>
        <w:t>hotărîrea</w:t>
      </w:r>
      <w:proofErr w:type="spellEnd"/>
      <w:r w:rsidR="004F6927">
        <w:rPr>
          <w:sz w:val="28"/>
          <w:szCs w:val="28"/>
          <w:lang w:val="ro-RO"/>
        </w:rPr>
        <w:t xml:space="preserve"> grupului de lucru privind rezultatele examinării, evaluării și comparării ofertelor” se exclude</w:t>
      </w:r>
      <w:r>
        <w:rPr>
          <w:sz w:val="28"/>
          <w:szCs w:val="28"/>
          <w:lang w:val="ro-RO"/>
        </w:rPr>
        <w:t>;</w:t>
      </w:r>
    </w:p>
    <w:p w:rsidR="008D371C" w:rsidRDefault="008D371C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Pct. 89 se modifică și are următorul conținut „Dacă autoritatea contractantă intenționează să permită depunerea de oferte alternative, este obligatoriu ca aceasta să precizeze acest fapt în anunțul public de participare”;</w:t>
      </w:r>
    </w:p>
    <w:p w:rsidR="008D371C" w:rsidRDefault="008D371C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 92 sintagma „În cazul în care documentele de licitație nu prevăd altceva” se exclude;</w:t>
      </w:r>
    </w:p>
    <w:p w:rsidR="002F0BC4" w:rsidRDefault="002F0BC4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pct. 93 </w:t>
      </w:r>
      <w:proofErr w:type="spellStart"/>
      <w:r>
        <w:rPr>
          <w:sz w:val="28"/>
          <w:szCs w:val="28"/>
          <w:lang w:val="ro-RO"/>
        </w:rPr>
        <w:t>cuvîntul</w:t>
      </w:r>
      <w:proofErr w:type="spellEnd"/>
      <w:r>
        <w:rPr>
          <w:sz w:val="28"/>
          <w:szCs w:val="28"/>
          <w:lang w:val="ro-RO"/>
        </w:rPr>
        <w:t xml:space="preserve"> „prevederi” se înlocuiește cu </w:t>
      </w:r>
      <w:proofErr w:type="spellStart"/>
      <w:r>
        <w:rPr>
          <w:sz w:val="28"/>
          <w:szCs w:val="28"/>
          <w:lang w:val="ro-RO"/>
        </w:rPr>
        <w:t>cuvîntul</w:t>
      </w:r>
      <w:proofErr w:type="spellEnd"/>
      <w:r>
        <w:rPr>
          <w:sz w:val="28"/>
          <w:szCs w:val="28"/>
          <w:lang w:val="ro-RO"/>
        </w:rPr>
        <w:t xml:space="preserve"> „cerințe</w:t>
      </w:r>
      <w:r w:rsidR="00FA35F3">
        <w:rPr>
          <w:sz w:val="28"/>
          <w:szCs w:val="28"/>
          <w:lang w:val="ro-RO"/>
        </w:rPr>
        <w:t>le</w:t>
      </w:r>
      <w:r>
        <w:rPr>
          <w:sz w:val="28"/>
          <w:szCs w:val="28"/>
          <w:lang w:val="ro-RO"/>
        </w:rPr>
        <w:t>”;</w:t>
      </w:r>
    </w:p>
    <w:p w:rsidR="009F28CA" w:rsidRDefault="009F28CA" w:rsidP="00262659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Pct. 94 se modifică și are următorul conținut „Ofertantul are obligația de a menține oferta valabilă pe toată perioada stabilită de autoritatea contractantă în documentele de atribuire”;</w:t>
      </w:r>
    </w:p>
    <w:p w:rsidR="002F0BC4" w:rsidRDefault="002F0BC4" w:rsidP="009F28CA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 101 după sintagma „criteriile minime de calificare” se adaugă sintagma „și volumele de lucrări”. După sintagma „de către asociați” se adaugă sintagma „în conformitate cu documentele de atribuire”;</w:t>
      </w:r>
    </w:p>
    <w:p w:rsidR="009F28CA" w:rsidRDefault="009F28CA" w:rsidP="009F28CA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 109 sintagma „caietul de sarcini” se înlocuiește cu sintagma „documentele de atribuire”;</w:t>
      </w:r>
    </w:p>
    <w:p w:rsidR="009F28CA" w:rsidRDefault="00C96A9E" w:rsidP="009F28CA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pct. 115 lit. b) se modifică și are următorul conținut „în cazul </w:t>
      </w:r>
      <w:r w:rsidR="00980359">
        <w:rPr>
          <w:sz w:val="28"/>
          <w:szCs w:val="28"/>
          <w:lang w:val="ro-RO"/>
        </w:rPr>
        <w:t>ofertanților descalificați</w:t>
      </w:r>
      <w:r w:rsidR="009F7FD9">
        <w:rPr>
          <w:sz w:val="28"/>
          <w:szCs w:val="28"/>
          <w:lang w:val="ro-RO"/>
        </w:rPr>
        <w:t>, ofertanților</w:t>
      </w:r>
      <w:r w:rsidR="00980359">
        <w:rPr>
          <w:sz w:val="28"/>
          <w:szCs w:val="28"/>
          <w:lang w:val="ro-RO"/>
        </w:rPr>
        <w:t xml:space="preserve"> a căror ofert</w:t>
      </w:r>
      <w:r w:rsidR="009F7FD9">
        <w:rPr>
          <w:sz w:val="28"/>
          <w:szCs w:val="28"/>
          <w:lang w:val="ro-RO"/>
        </w:rPr>
        <w:t>ă</w:t>
      </w:r>
      <w:r w:rsidR="00980359">
        <w:rPr>
          <w:sz w:val="28"/>
          <w:szCs w:val="28"/>
          <w:lang w:val="ro-RO"/>
        </w:rPr>
        <w:t xml:space="preserve"> a fost respins</w:t>
      </w:r>
      <w:r w:rsidR="009F7FD9">
        <w:rPr>
          <w:sz w:val="28"/>
          <w:szCs w:val="28"/>
          <w:lang w:val="ro-RO"/>
        </w:rPr>
        <w:t xml:space="preserve">ă ori nu a fost declarată </w:t>
      </w:r>
      <w:proofErr w:type="spellStart"/>
      <w:r w:rsidR="009F7FD9">
        <w:rPr>
          <w:sz w:val="28"/>
          <w:szCs w:val="28"/>
          <w:lang w:val="ro-RO"/>
        </w:rPr>
        <w:t>cîștigătoare</w:t>
      </w:r>
      <w:proofErr w:type="spellEnd"/>
      <w:r w:rsidR="00980359">
        <w:rPr>
          <w:sz w:val="28"/>
          <w:szCs w:val="28"/>
          <w:lang w:val="ro-RO"/>
        </w:rPr>
        <w:t xml:space="preserve">, comunicarea trebuie să precizeze motivele descalificării sau </w:t>
      </w:r>
      <w:r w:rsidR="00980359">
        <w:rPr>
          <w:sz w:val="28"/>
          <w:szCs w:val="28"/>
          <w:lang w:val="ro-RO"/>
        </w:rPr>
        <w:lastRenderedPageBreak/>
        <w:t xml:space="preserve">respingerii ofertei/ofertelor, numele ofertantului </w:t>
      </w:r>
      <w:proofErr w:type="spellStart"/>
      <w:r w:rsidR="00980359">
        <w:rPr>
          <w:sz w:val="28"/>
          <w:szCs w:val="28"/>
          <w:lang w:val="ro-RO"/>
        </w:rPr>
        <w:t>cîștigător</w:t>
      </w:r>
      <w:proofErr w:type="spellEnd"/>
      <w:r w:rsidR="00980359">
        <w:rPr>
          <w:sz w:val="28"/>
          <w:szCs w:val="28"/>
          <w:lang w:val="ro-RO"/>
        </w:rPr>
        <w:t xml:space="preserve">, precum și avantajele relative ale ofertei </w:t>
      </w:r>
      <w:proofErr w:type="spellStart"/>
      <w:r w:rsidR="007E3A6B">
        <w:rPr>
          <w:sz w:val="28"/>
          <w:szCs w:val="28"/>
          <w:lang w:val="ro-RO"/>
        </w:rPr>
        <w:t>cîștigătoare</w:t>
      </w:r>
      <w:proofErr w:type="spellEnd"/>
      <w:r w:rsidR="007E3A6B">
        <w:rPr>
          <w:sz w:val="28"/>
          <w:szCs w:val="28"/>
          <w:lang w:val="ro-RO"/>
        </w:rPr>
        <w:t xml:space="preserve"> față de oferta respectivului ofertant </w:t>
      </w:r>
      <w:proofErr w:type="spellStart"/>
      <w:r w:rsidR="007E3A6B">
        <w:rPr>
          <w:sz w:val="28"/>
          <w:szCs w:val="28"/>
          <w:lang w:val="ro-RO"/>
        </w:rPr>
        <w:t>necîștigător</w:t>
      </w:r>
      <w:proofErr w:type="spellEnd"/>
      <w:r w:rsidR="007E3A6B">
        <w:rPr>
          <w:sz w:val="28"/>
          <w:szCs w:val="28"/>
          <w:lang w:val="ro-RO"/>
        </w:rPr>
        <w:t>;</w:t>
      </w:r>
    </w:p>
    <w:p w:rsidR="007E3A6B" w:rsidRDefault="007E3A6B" w:rsidP="009F28CA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 118 lit. a) sintagma „numai în cazul în care sunt calificate cel puțin trei oferte” se exclude;</w:t>
      </w:r>
    </w:p>
    <w:p w:rsidR="00FA35F3" w:rsidRDefault="007E3A6B" w:rsidP="002F0BC4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pct. 119 lit. d) </w:t>
      </w:r>
      <w:proofErr w:type="spellStart"/>
      <w:r>
        <w:rPr>
          <w:sz w:val="28"/>
          <w:szCs w:val="28"/>
          <w:lang w:val="ro-RO"/>
        </w:rPr>
        <w:t>cuvîntul</w:t>
      </w:r>
      <w:proofErr w:type="spellEnd"/>
      <w:r>
        <w:rPr>
          <w:sz w:val="28"/>
          <w:szCs w:val="28"/>
          <w:lang w:val="ro-RO"/>
        </w:rPr>
        <w:t xml:space="preserve"> „repetat” se exclude</w:t>
      </w:r>
      <w:r w:rsidR="00FA35F3">
        <w:rPr>
          <w:sz w:val="28"/>
          <w:szCs w:val="28"/>
          <w:lang w:val="ro-RO"/>
        </w:rPr>
        <w:t>;</w:t>
      </w:r>
      <w:r w:rsidR="002F0BC4">
        <w:rPr>
          <w:sz w:val="28"/>
          <w:szCs w:val="28"/>
          <w:lang w:val="ro-RO"/>
        </w:rPr>
        <w:t xml:space="preserve"> </w:t>
      </w:r>
    </w:p>
    <w:p w:rsidR="002F0BC4" w:rsidRPr="002F0BC4" w:rsidRDefault="00FA35F3" w:rsidP="002F0BC4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 119 lit. g) după s</w:t>
      </w:r>
      <w:r w:rsidR="002F0BC4">
        <w:rPr>
          <w:sz w:val="28"/>
          <w:szCs w:val="28"/>
          <w:lang w:val="ro-RO"/>
        </w:rPr>
        <w:t>intagma „</w:t>
      </w:r>
      <w:r>
        <w:rPr>
          <w:sz w:val="28"/>
          <w:szCs w:val="28"/>
          <w:lang w:val="ro-RO"/>
        </w:rPr>
        <w:t>propunerea financiară</w:t>
      </w:r>
      <w:r w:rsidR="002F0BC4">
        <w:rPr>
          <w:sz w:val="28"/>
          <w:szCs w:val="28"/>
          <w:lang w:val="ro-RO"/>
        </w:rPr>
        <w:t xml:space="preserve">” se </w:t>
      </w:r>
      <w:r>
        <w:rPr>
          <w:sz w:val="28"/>
          <w:szCs w:val="28"/>
          <w:lang w:val="ro-RO"/>
        </w:rPr>
        <w:t>completează cu sintagma</w:t>
      </w:r>
      <w:r w:rsidR="002F0BC4">
        <w:rPr>
          <w:sz w:val="28"/>
          <w:szCs w:val="28"/>
          <w:lang w:val="ro-RO"/>
        </w:rPr>
        <w:t xml:space="preserve"> „prețuri distincte pentru </w:t>
      </w:r>
      <w:r w:rsidR="002F0BC4" w:rsidRPr="002F0BC4">
        <w:rPr>
          <w:color w:val="000000"/>
          <w:sz w:val="28"/>
          <w:szCs w:val="28"/>
          <w:lang w:val="ro-RO" w:eastAsia="ro-RO"/>
        </w:rPr>
        <w:t>același obiect ofertat, sau</w:t>
      </w:r>
      <w:r w:rsidR="002F0BC4">
        <w:rPr>
          <w:color w:val="000000"/>
          <w:sz w:val="28"/>
          <w:szCs w:val="28"/>
          <w:lang w:val="ro-RO" w:eastAsia="ro-RO"/>
        </w:rPr>
        <w:t>”</w:t>
      </w:r>
      <w:r w:rsidR="002F0BC4">
        <w:rPr>
          <w:sz w:val="28"/>
          <w:szCs w:val="28"/>
          <w:lang w:val="ro-RO"/>
        </w:rPr>
        <w:t>;</w:t>
      </w:r>
    </w:p>
    <w:p w:rsidR="000E4DA4" w:rsidRDefault="000E4DA4" w:rsidP="009F28CA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completează cu pct. 133</w:t>
      </w:r>
      <w:r w:rsidR="002F0BC4">
        <w:rPr>
          <w:sz w:val="28"/>
          <w:szCs w:val="28"/>
          <w:vertAlign w:val="superscript"/>
          <w:lang w:val="ro-RO"/>
        </w:rPr>
        <w:t>1</w:t>
      </w:r>
      <w:r w:rsidR="002F0BC4">
        <w:rPr>
          <w:sz w:val="28"/>
          <w:szCs w:val="28"/>
          <w:lang w:val="ro-RO"/>
        </w:rPr>
        <w:t>,</w:t>
      </w:r>
      <w:r>
        <w:rPr>
          <w:sz w:val="28"/>
          <w:szCs w:val="28"/>
          <w:vertAlign w:val="superscript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care are următorul conținut </w:t>
      </w:r>
      <w:r w:rsidRPr="000E4DA4">
        <w:rPr>
          <w:sz w:val="28"/>
          <w:szCs w:val="28"/>
          <w:lang w:val="ro-RO"/>
        </w:rPr>
        <w:t>„</w:t>
      </w:r>
      <w:r w:rsidRPr="000E4DA4">
        <w:rPr>
          <w:sz w:val="28"/>
          <w:szCs w:val="28"/>
          <w:lang w:val="ro-RO" w:eastAsia="ro-RO"/>
        </w:rPr>
        <w:t>În cazul în care la procedura organizată în mod repetat se constată existența unui număr mai mic de 3 operatori economici calificați, autoritatea contractantă este în drept să atribuie contractul conform criteriilor inițial stabilite, fie să</w:t>
      </w:r>
      <w:r>
        <w:rPr>
          <w:sz w:val="28"/>
          <w:szCs w:val="28"/>
          <w:lang w:val="ro-RO" w:eastAsia="ro-RO"/>
        </w:rPr>
        <w:t xml:space="preserve"> anuleze procedura de achiziție”;</w:t>
      </w:r>
    </w:p>
    <w:p w:rsidR="007E3A6B" w:rsidRDefault="007E3A6B" w:rsidP="009F28CA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 140 sintagma „Autoritatea contractantă are obligația să încheie contractul de achiziție publică în perioada de valabilitate a ofertelor”</w:t>
      </w:r>
      <w:r w:rsidR="00537358">
        <w:rPr>
          <w:sz w:val="28"/>
          <w:szCs w:val="28"/>
          <w:lang w:val="ro-RO"/>
        </w:rPr>
        <w:t xml:space="preserve"> se exclude</w:t>
      </w:r>
      <w:r>
        <w:rPr>
          <w:sz w:val="28"/>
          <w:szCs w:val="28"/>
          <w:lang w:val="ro-RO"/>
        </w:rPr>
        <w:t>;</w:t>
      </w:r>
    </w:p>
    <w:p w:rsidR="007E3A6B" w:rsidRDefault="007E3A6B" w:rsidP="007E3A6B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 151 lit. b) sintagma „Pentru lucrările a căror perioadă de realizare este mai mare de un an, cuantumul garanției pentru ofertă nu va depăși 3 la sută din limitele alocațiilor anuale prevăzute în acest scop în bugetul autorității contractante” se exclude;</w:t>
      </w:r>
    </w:p>
    <w:p w:rsidR="007E3A6B" w:rsidRDefault="007E3A6B" w:rsidP="007E3A6B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pct. 152 lit. d) </w:t>
      </w:r>
      <w:r w:rsidR="00840B29">
        <w:rPr>
          <w:sz w:val="28"/>
          <w:szCs w:val="28"/>
          <w:lang w:val="ro-RO"/>
        </w:rPr>
        <w:t>va avea următorul conținut</w:t>
      </w:r>
      <w:r>
        <w:rPr>
          <w:sz w:val="28"/>
          <w:szCs w:val="28"/>
          <w:lang w:val="ro-RO"/>
        </w:rPr>
        <w:t xml:space="preserve"> „alte forme care nu contravin legii”;</w:t>
      </w:r>
    </w:p>
    <w:p w:rsidR="002F0BC4" w:rsidRDefault="002F0BC4" w:rsidP="007E3A6B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 155 lit. b) sintagma „în perioada de valabilitate a ofertei” se înlocuiește cu sintagma „după acceptarea ofertei”;</w:t>
      </w:r>
    </w:p>
    <w:p w:rsidR="002F0BC4" w:rsidRDefault="002F0BC4" w:rsidP="007E3A6B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 155 lit. c) sintagma „în perioada de valabilitate a ofertei” se exclude;</w:t>
      </w:r>
    </w:p>
    <w:p w:rsidR="002F0BC4" w:rsidRDefault="002F0BC4" w:rsidP="007E3A6B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 157 lit. c) sintagma „de către autoritatea contractantă</w:t>
      </w:r>
      <w:r w:rsidR="00840B29">
        <w:rPr>
          <w:sz w:val="28"/>
          <w:szCs w:val="28"/>
          <w:lang w:val="ro-RO"/>
        </w:rPr>
        <w:t xml:space="preserve"> a</w:t>
      </w:r>
      <w:r>
        <w:rPr>
          <w:sz w:val="28"/>
          <w:szCs w:val="28"/>
          <w:lang w:val="ro-RO"/>
        </w:rPr>
        <w:t xml:space="preserve">” se exclude; </w:t>
      </w:r>
    </w:p>
    <w:p w:rsidR="009011F3" w:rsidRDefault="009011F3" w:rsidP="007E3A6B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 164 sintagma „în limitele prejudiciului creat” se exclude;</w:t>
      </w:r>
    </w:p>
    <w:p w:rsidR="007E3A6B" w:rsidRDefault="007E3A6B" w:rsidP="007E3A6B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 w:rsidRPr="009011F3">
        <w:rPr>
          <w:sz w:val="28"/>
          <w:szCs w:val="28"/>
          <w:lang w:val="ro-RO"/>
        </w:rPr>
        <w:t xml:space="preserve">Titlul </w:t>
      </w:r>
      <w:r w:rsidR="009011F3" w:rsidRPr="009011F3">
        <w:rPr>
          <w:sz w:val="28"/>
          <w:szCs w:val="28"/>
          <w:lang w:val="ro-RO"/>
        </w:rPr>
        <w:t xml:space="preserve">Capitolului </w:t>
      </w:r>
      <w:r w:rsidRPr="009011F3">
        <w:rPr>
          <w:sz w:val="28"/>
          <w:szCs w:val="28"/>
          <w:lang w:val="ro-RO"/>
        </w:rPr>
        <w:t>IV</w:t>
      </w:r>
      <w:r>
        <w:rPr>
          <w:sz w:val="28"/>
          <w:szCs w:val="28"/>
          <w:lang w:val="ro-RO"/>
        </w:rPr>
        <w:t xml:space="preserve"> ,,Procedura cererii ofertelor de prețuri” se modifică și are următorul conținut „Particularitățile procedurii cererii ofertelor de prețuri”;</w:t>
      </w:r>
    </w:p>
    <w:p w:rsidR="007E3A6B" w:rsidRDefault="005D5E2A" w:rsidP="007E3A6B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 174 sintagma „și caietul de sarcini” se exclude;</w:t>
      </w:r>
    </w:p>
    <w:p w:rsidR="005D5E2A" w:rsidRDefault="009011F3" w:rsidP="007E3A6B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Pct. 177 se modifică și are următorul conținut </w:t>
      </w:r>
      <w:r w:rsidR="006251CF">
        <w:rPr>
          <w:sz w:val="28"/>
          <w:szCs w:val="28"/>
          <w:lang w:val="ro-RO"/>
        </w:rPr>
        <w:t>„</w:t>
      </w:r>
      <w:r>
        <w:rPr>
          <w:sz w:val="28"/>
          <w:szCs w:val="28"/>
          <w:lang w:val="ro-RO"/>
        </w:rPr>
        <w:t xml:space="preserve">Invitația de participare și caietul de sarcini se vor transmite prin poștă, fax </w:t>
      </w:r>
      <w:r w:rsidR="006251CF">
        <w:rPr>
          <w:sz w:val="28"/>
          <w:szCs w:val="28"/>
          <w:lang w:val="ro-RO"/>
        </w:rPr>
        <w:t>sau mijloace electronice</w:t>
      </w:r>
      <w:r>
        <w:rPr>
          <w:sz w:val="28"/>
          <w:szCs w:val="28"/>
          <w:lang w:val="ro-RO"/>
        </w:rPr>
        <w:t xml:space="preserve"> sau </w:t>
      </w:r>
      <w:r w:rsidR="006251CF">
        <w:rPr>
          <w:sz w:val="28"/>
          <w:szCs w:val="28"/>
          <w:lang w:val="ro-RO"/>
        </w:rPr>
        <w:t xml:space="preserve"> ridicate direct de către </w:t>
      </w:r>
      <w:r w:rsidR="006251CF" w:rsidRPr="00E54A8D">
        <w:rPr>
          <w:sz w:val="28"/>
          <w:szCs w:val="28"/>
          <w:lang w:val="ro-RO"/>
        </w:rPr>
        <w:t xml:space="preserve">operatorul economic </w:t>
      </w:r>
      <w:r w:rsidR="00E54A8D" w:rsidRPr="00E54A8D">
        <w:rPr>
          <w:color w:val="000000"/>
          <w:sz w:val="28"/>
          <w:szCs w:val="28"/>
          <w:lang w:val="ro-RO" w:eastAsia="ro-RO"/>
        </w:rPr>
        <w:t>în urma invitării acestuia, în ambele cazuri acest fapt fiind înregistrat</w:t>
      </w:r>
      <w:r w:rsidR="006251CF" w:rsidRPr="00E54A8D">
        <w:rPr>
          <w:sz w:val="28"/>
          <w:szCs w:val="28"/>
          <w:lang w:val="ro-RO"/>
        </w:rPr>
        <w:t>”;</w:t>
      </w:r>
    </w:p>
    <w:p w:rsidR="006251CF" w:rsidRDefault="006251CF" w:rsidP="007E3A6B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pct. 191 sintagma „cel mai mic preț” se înlocuiește cu sintagma „stabilit în invitația de participare”;</w:t>
      </w:r>
    </w:p>
    <w:p w:rsidR="006251CF" w:rsidRDefault="006251CF" w:rsidP="007E3A6B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La pct. 196 sintagma „întocmit conform modelului stabilit în Documentația standard pentru realizarea achizițiilor publice de lucrări” se înlocuiește cu sintagma „semnat de către toți membrii grupului de lucru”;</w:t>
      </w:r>
    </w:p>
    <w:p w:rsidR="00C811D8" w:rsidRPr="006251CF" w:rsidRDefault="006251CF" w:rsidP="006251CF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pct. 201 sintagma „pentru fiecare contract atribuit” se completează cu sintagma „inclusiv în cazul anulării procedurii”. </w:t>
      </w:r>
    </w:p>
    <w:p w:rsidR="00CB34B3" w:rsidRDefault="00CB34B3" w:rsidP="00262659">
      <w:pPr>
        <w:spacing w:line="276" w:lineRule="auto"/>
        <w:ind w:firstLine="567"/>
        <w:rPr>
          <w:b/>
          <w:bCs/>
          <w:sz w:val="28"/>
          <w:szCs w:val="28"/>
          <w:lang w:val="ro-RO"/>
        </w:rPr>
      </w:pPr>
    </w:p>
    <w:p w:rsidR="00CB34B3" w:rsidRDefault="00CB34B3" w:rsidP="00262659">
      <w:pPr>
        <w:pStyle w:val="tt"/>
        <w:spacing w:line="276" w:lineRule="auto"/>
        <w:ind w:firstLine="567"/>
        <w:jc w:val="left"/>
        <w:rPr>
          <w:sz w:val="28"/>
          <w:szCs w:val="28"/>
          <w:lang w:val="ro-RO"/>
        </w:rPr>
      </w:pPr>
    </w:p>
    <w:p w:rsidR="00CB34B3" w:rsidRDefault="00CB34B3" w:rsidP="00CB34B3">
      <w:pPr>
        <w:ind w:firstLine="567"/>
        <w:jc w:val="both"/>
        <w:rPr>
          <w:sz w:val="28"/>
          <w:szCs w:val="28"/>
          <w:lang w:val="ro-RO"/>
        </w:rPr>
      </w:pPr>
    </w:p>
    <w:tbl>
      <w:tblPr>
        <w:tblW w:w="7500" w:type="dxa"/>
        <w:tblCellSpacing w:w="15" w:type="dxa"/>
        <w:tblInd w:w="1290" w:type="dxa"/>
        <w:tblLook w:val="0000"/>
      </w:tblPr>
      <w:tblGrid>
        <w:gridCol w:w="3894"/>
        <w:gridCol w:w="3606"/>
      </w:tblGrid>
      <w:tr w:rsidR="00DB72CA" w:rsidRPr="00953287" w:rsidTr="006A2CB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72CA" w:rsidRPr="00953287" w:rsidRDefault="00DB72CA" w:rsidP="006A2CB4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  <w:r w:rsidRPr="00953287">
              <w:rPr>
                <w:b/>
                <w:bCs/>
                <w:sz w:val="28"/>
                <w:szCs w:val="28"/>
                <w:lang w:val="en-US"/>
              </w:rPr>
              <w:t>PRIM-MINISTRU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72CA" w:rsidRPr="00953287" w:rsidRDefault="00DB72CA" w:rsidP="006A2CB4">
            <w:pPr>
              <w:spacing w:line="276" w:lineRule="auto"/>
              <w:rPr>
                <w:b/>
                <w:bCs/>
                <w:sz w:val="28"/>
                <w:szCs w:val="28"/>
                <w:lang w:val="ro-RO"/>
              </w:rPr>
            </w:pPr>
            <w:r w:rsidRPr="00953287">
              <w:rPr>
                <w:b/>
                <w:bCs/>
                <w:sz w:val="28"/>
                <w:szCs w:val="28"/>
                <w:lang w:val="ro-RO"/>
              </w:rPr>
              <w:t>Chiril GABURICI</w:t>
            </w:r>
          </w:p>
        </w:tc>
      </w:tr>
      <w:tr w:rsidR="00DB72CA" w:rsidRPr="00953287" w:rsidTr="006A2CB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72CA" w:rsidRPr="00953287" w:rsidRDefault="00DB72CA" w:rsidP="006A2CB4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  <w:r w:rsidRPr="00953287">
              <w:rPr>
                <w:b/>
                <w:bCs/>
                <w:sz w:val="28"/>
                <w:szCs w:val="28"/>
                <w:lang w:val="en-US"/>
              </w:rPr>
              <w:br/>
            </w:r>
            <w:proofErr w:type="spellStart"/>
            <w:r w:rsidRPr="00953287">
              <w:rPr>
                <w:b/>
                <w:bCs/>
                <w:sz w:val="28"/>
                <w:szCs w:val="28"/>
                <w:lang w:val="en-US"/>
              </w:rPr>
              <w:t>Contrasemnează</w:t>
            </w:r>
            <w:proofErr w:type="spellEnd"/>
            <w:r w:rsidRPr="00953287">
              <w:rPr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72CA" w:rsidRPr="00953287" w:rsidRDefault="00DB72CA" w:rsidP="006A2CB4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  <w:tr w:rsidR="00DB72CA" w:rsidRPr="00953287" w:rsidTr="006A2CB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72CA" w:rsidRPr="00953287" w:rsidRDefault="00DB72CA" w:rsidP="006A2CB4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53287">
              <w:rPr>
                <w:b/>
                <w:bCs/>
                <w:sz w:val="28"/>
                <w:szCs w:val="28"/>
                <w:lang w:val="en-US"/>
              </w:rPr>
              <w:t>Viceprim-ministru</w:t>
            </w:r>
            <w:proofErr w:type="spellEnd"/>
            <w:r w:rsidRPr="00953287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</w:p>
          <w:p w:rsidR="00DB72CA" w:rsidRPr="00953287" w:rsidRDefault="00DB72CA" w:rsidP="006A2CB4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  <w:r w:rsidRPr="00953287">
              <w:rPr>
                <w:b/>
                <w:bCs/>
                <w:sz w:val="28"/>
                <w:szCs w:val="28"/>
                <w:lang w:val="en-US"/>
              </w:rPr>
              <w:t xml:space="preserve">Ministrul </w:t>
            </w:r>
            <w:proofErr w:type="spellStart"/>
            <w:r w:rsidRPr="00953287">
              <w:rPr>
                <w:b/>
                <w:bCs/>
                <w:sz w:val="28"/>
                <w:szCs w:val="28"/>
                <w:lang w:val="en-US"/>
              </w:rPr>
              <w:t>economiei</w:t>
            </w:r>
            <w:proofErr w:type="spellEnd"/>
            <w:r w:rsidRPr="00953287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DB72CA" w:rsidRPr="00953287" w:rsidRDefault="00DB72CA" w:rsidP="006A2CB4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72CA" w:rsidRPr="00953287" w:rsidRDefault="00DB72CA" w:rsidP="006A2CB4">
            <w:pPr>
              <w:spacing w:line="276" w:lineRule="auto"/>
              <w:rPr>
                <w:b/>
                <w:bCs/>
                <w:sz w:val="28"/>
                <w:szCs w:val="28"/>
                <w:lang w:val="ro-RO"/>
              </w:rPr>
            </w:pPr>
            <w:proofErr w:type="spellStart"/>
            <w:r w:rsidRPr="00953287">
              <w:rPr>
                <w:b/>
                <w:bCs/>
                <w:sz w:val="28"/>
                <w:szCs w:val="28"/>
                <w:lang w:val="ro-RO"/>
              </w:rPr>
              <w:t>Stephane</w:t>
            </w:r>
            <w:proofErr w:type="spellEnd"/>
            <w:r w:rsidRPr="00953287">
              <w:rPr>
                <w:b/>
                <w:bCs/>
                <w:sz w:val="28"/>
                <w:szCs w:val="28"/>
                <w:lang w:val="ro-RO"/>
              </w:rPr>
              <w:t xml:space="preserve"> Bride</w:t>
            </w:r>
          </w:p>
        </w:tc>
      </w:tr>
      <w:tr w:rsidR="00DB72CA" w:rsidRPr="00953287" w:rsidTr="006A2CB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72CA" w:rsidRPr="00953287" w:rsidRDefault="00DB72CA" w:rsidP="006A2CB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953287">
              <w:rPr>
                <w:b/>
                <w:bCs/>
                <w:sz w:val="28"/>
                <w:szCs w:val="28"/>
                <w:lang w:val="en-US"/>
              </w:rPr>
              <w:t xml:space="preserve">Ministrul </w:t>
            </w:r>
            <w:proofErr w:type="spellStart"/>
            <w:r w:rsidRPr="00953287">
              <w:rPr>
                <w:b/>
                <w:bCs/>
                <w:sz w:val="28"/>
                <w:szCs w:val="28"/>
                <w:lang w:val="en-US"/>
              </w:rPr>
              <w:t>fi</w:t>
            </w:r>
            <w:r w:rsidRPr="00953287">
              <w:rPr>
                <w:b/>
                <w:bCs/>
                <w:sz w:val="28"/>
                <w:szCs w:val="28"/>
              </w:rPr>
              <w:t>nanţelor</w:t>
            </w:r>
            <w:proofErr w:type="spellEnd"/>
            <w:r w:rsidRPr="0095328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72CA" w:rsidRPr="00953287" w:rsidRDefault="00DB72CA" w:rsidP="006A2CB4">
            <w:pPr>
              <w:spacing w:line="276" w:lineRule="auto"/>
              <w:rPr>
                <w:b/>
                <w:bCs/>
                <w:sz w:val="28"/>
                <w:szCs w:val="28"/>
                <w:lang w:val="ro-RO"/>
              </w:rPr>
            </w:pPr>
            <w:r w:rsidRPr="00953287">
              <w:rPr>
                <w:b/>
                <w:bCs/>
                <w:sz w:val="28"/>
                <w:szCs w:val="28"/>
                <w:lang w:val="ro-RO"/>
              </w:rPr>
              <w:t>Anatol Arapu</w:t>
            </w:r>
          </w:p>
        </w:tc>
      </w:tr>
      <w:tr w:rsidR="00DB72CA" w:rsidRPr="00953287" w:rsidTr="006A2CB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72CA" w:rsidRPr="00953287" w:rsidRDefault="00DB72CA" w:rsidP="006A2CB4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72CA" w:rsidRPr="00953287" w:rsidRDefault="00DB72CA" w:rsidP="006A2CB4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CB34B3" w:rsidRDefault="00CB34B3" w:rsidP="00CB34B3">
      <w:pPr>
        <w:ind w:firstLine="567"/>
        <w:rPr>
          <w:b/>
          <w:bCs/>
          <w:sz w:val="26"/>
          <w:szCs w:val="26"/>
          <w:lang w:val="ro-RO"/>
        </w:rPr>
      </w:pPr>
    </w:p>
    <w:p w:rsidR="00CB34B3" w:rsidRDefault="00CB34B3" w:rsidP="00CB34B3">
      <w:pPr>
        <w:ind w:firstLine="567"/>
        <w:rPr>
          <w:lang w:val="ro-RO"/>
        </w:rPr>
      </w:pPr>
    </w:p>
    <w:p w:rsidR="006251CF" w:rsidRPr="00CB34B3" w:rsidRDefault="006251CF">
      <w:pPr>
        <w:rPr>
          <w:lang w:val="fr-CA"/>
        </w:rPr>
      </w:pPr>
    </w:p>
    <w:sectPr w:rsidR="006251CF" w:rsidRPr="00CB34B3" w:rsidSect="00BF11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613A7"/>
    <w:multiLevelType w:val="hybridMultilevel"/>
    <w:tmpl w:val="A4E681B2"/>
    <w:lvl w:ilvl="0" w:tplc="904056B4">
      <w:start w:val="1"/>
      <w:numFmt w:val="decimal"/>
      <w:lvlText w:val="%1."/>
      <w:lvlJc w:val="left"/>
      <w:pPr>
        <w:ind w:left="1068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B34B3"/>
    <w:rsid w:val="00014422"/>
    <w:rsid w:val="00032DF8"/>
    <w:rsid w:val="00091225"/>
    <w:rsid w:val="000D6681"/>
    <w:rsid w:val="000E4DA4"/>
    <w:rsid w:val="0013216C"/>
    <w:rsid w:val="001A5300"/>
    <w:rsid w:val="001A5CF9"/>
    <w:rsid w:val="001B0C4F"/>
    <w:rsid w:val="00262659"/>
    <w:rsid w:val="00263942"/>
    <w:rsid w:val="002A7EFB"/>
    <w:rsid w:val="002E1CD8"/>
    <w:rsid w:val="002F0BC4"/>
    <w:rsid w:val="0033432A"/>
    <w:rsid w:val="003F7173"/>
    <w:rsid w:val="00410740"/>
    <w:rsid w:val="00456F51"/>
    <w:rsid w:val="004F6927"/>
    <w:rsid w:val="00537358"/>
    <w:rsid w:val="005A5D25"/>
    <w:rsid w:val="005D5E2A"/>
    <w:rsid w:val="005D6B55"/>
    <w:rsid w:val="005E2EC4"/>
    <w:rsid w:val="005F49A7"/>
    <w:rsid w:val="006251CF"/>
    <w:rsid w:val="0067706C"/>
    <w:rsid w:val="00680AE4"/>
    <w:rsid w:val="006A2CB4"/>
    <w:rsid w:val="00760C8F"/>
    <w:rsid w:val="00793D98"/>
    <w:rsid w:val="007C2BA0"/>
    <w:rsid w:val="007E3A6B"/>
    <w:rsid w:val="007F32A4"/>
    <w:rsid w:val="00840B29"/>
    <w:rsid w:val="00845A49"/>
    <w:rsid w:val="00871D5E"/>
    <w:rsid w:val="00884A3C"/>
    <w:rsid w:val="00896543"/>
    <w:rsid w:val="008B1DC4"/>
    <w:rsid w:val="008D371C"/>
    <w:rsid w:val="009011F3"/>
    <w:rsid w:val="00980359"/>
    <w:rsid w:val="009F28CA"/>
    <w:rsid w:val="009F4007"/>
    <w:rsid w:val="009F5E7D"/>
    <w:rsid w:val="009F7FD9"/>
    <w:rsid w:val="00A836F4"/>
    <w:rsid w:val="00B17B12"/>
    <w:rsid w:val="00B4798D"/>
    <w:rsid w:val="00BE696D"/>
    <w:rsid w:val="00BF11E5"/>
    <w:rsid w:val="00BF4BF0"/>
    <w:rsid w:val="00C049ED"/>
    <w:rsid w:val="00C811D8"/>
    <w:rsid w:val="00C96A9E"/>
    <w:rsid w:val="00CA2077"/>
    <w:rsid w:val="00CA6522"/>
    <w:rsid w:val="00CB34B3"/>
    <w:rsid w:val="00D33792"/>
    <w:rsid w:val="00D915F7"/>
    <w:rsid w:val="00DB72CA"/>
    <w:rsid w:val="00E54A8D"/>
    <w:rsid w:val="00E66BF7"/>
    <w:rsid w:val="00EA096E"/>
    <w:rsid w:val="00EE5C6C"/>
    <w:rsid w:val="00F363BD"/>
    <w:rsid w:val="00F7331A"/>
    <w:rsid w:val="00F86960"/>
    <w:rsid w:val="00FA21AB"/>
    <w:rsid w:val="00FA35F3"/>
    <w:rsid w:val="00FB2F44"/>
    <w:rsid w:val="00FD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B3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CB34B3"/>
    <w:pPr>
      <w:keepNext/>
      <w:jc w:val="center"/>
      <w:outlineLvl w:val="0"/>
    </w:pPr>
    <w:rPr>
      <w:b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34B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t">
    <w:name w:val="tt"/>
    <w:basedOn w:val="Normal"/>
    <w:rsid w:val="00CB34B3"/>
    <w:pPr>
      <w:jc w:val="center"/>
    </w:pPr>
    <w:rPr>
      <w:rFonts w:eastAsia="SimSun"/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1075</Words>
  <Characters>6131</Characters>
  <Application>Microsoft Office Word</Application>
  <DocSecurity>0</DocSecurity>
  <Lines>51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5" baseType="lpstr">
      <vt:lpstr/>
      <vt:lpstr/>
      <vt:lpstr>Proiect</vt:lpstr>
      <vt:lpstr/>
      <vt:lpstr>Guvernul Republicii Moldova</vt:lpstr>
    </vt:vector>
  </TitlesOfParts>
  <Company>Home</Company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vifortuna</cp:lastModifiedBy>
  <cp:revision>7</cp:revision>
  <cp:lastPrinted>2015-05-05T08:13:00Z</cp:lastPrinted>
  <dcterms:created xsi:type="dcterms:W3CDTF">2015-02-16T05:46:00Z</dcterms:created>
  <dcterms:modified xsi:type="dcterms:W3CDTF">2015-05-05T08:14:00Z</dcterms:modified>
</cp:coreProperties>
</file>