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79B2" w:rsidRPr="00806776" w:rsidRDefault="00B82C0A" w:rsidP="001E297B">
      <w:pPr>
        <w:ind w:left="426" w:right="621"/>
        <w:jc w:val="center"/>
        <w:rPr>
          <w:b/>
          <w:sz w:val="28"/>
          <w:szCs w:val="28"/>
        </w:rPr>
      </w:pPr>
      <w:r w:rsidRPr="00806776">
        <w:rPr>
          <w:b/>
          <w:sz w:val="28"/>
          <w:szCs w:val="28"/>
        </w:rPr>
        <w:t>Tabelul divergenţelor</w:t>
      </w:r>
    </w:p>
    <w:p w:rsidR="00D825C8" w:rsidRPr="00806776" w:rsidRDefault="00503C18" w:rsidP="003C7C15">
      <w:pPr>
        <w:ind w:left="426" w:right="621"/>
        <w:jc w:val="center"/>
        <w:rPr>
          <w:b/>
          <w:sz w:val="28"/>
          <w:szCs w:val="28"/>
        </w:rPr>
      </w:pPr>
      <w:r w:rsidRPr="00806776">
        <w:rPr>
          <w:b/>
          <w:sz w:val="28"/>
          <w:szCs w:val="28"/>
        </w:rPr>
        <w:t xml:space="preserve">la proiectul de </w:t>
      </w:r>
      <w:proofErr w:type="spellStart"/>
      <w:r w:rsidRPr="00806776">
        <w:rPr>
          <w:b/>
          <w:sz w:val="28"/>
          <w:szCs w:val="28"/>
        </w:rPr>
        <w:t>hotărîre</w:t>
      </w:r>
      <w:proofErr w:type="spellEnd"/>
      <w:r w:rsidRPr="00806776">
        <w:rPr>
          <w:b/>
          <w:sz w:val="28"/>
          <w:szCs w:val="28"/>
        </w:rPr>
        <w:t xml:space="preserve"> a Guvernului „Cu privire la aprobarea Metodologiei de estimare a costurilor administrative prin aplicarea Modelului Costului Standard”</w:t>
      </w:r>
    </w:p>
    <w:p w:rsidR="003A137D" w:rsidRPr="00806776" w:rsidRDefault="003A137D" w:rsidP="0054136A">
      <w:pPr>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2"/>
        <w:gridCol w:w="7796"/>
        <w:gridCol w:w="6541"/>
      </w:tblGrid>
      <w:tr w:rsidR="003C7C15" w:rsidRPr="00806776" w:rsidTr="00A5702C">
        <w:trPr>
          <w:trHeight w:val="20"/>
        </w:trPr>
        <w:tc>
          <w:tcPr>
            <w:tcW w:w="392" w:type="dxa"/>
          </w:tcPr>
          <w:p w:rsidR="00013DBD" w:rsidRPr="00806776" w:rsidRDefault="00013DBD" w:rsidP="0054136A"/>
        </w:tc>
        <w:tc>
          <w:tcPr>
            <w:tcW w:w="7796" w:type="dxa"/>
          </w:tcPr>
          <w:p w:rsidR="00013DBD" w:rsidRPr="00806776" w:rsidRDefault="00013DBD" w:rsidP="00897BB0">
            <w:pPr>
              <w:pStyle w:val="a9"/>
              <w:jc w:val="center"/>
              <w:rPr>
                <w:b/>
                <w:sz w:val="28"/>
                <w:szCs w:val="28"/>
              </w:rPr>
            </w:pPr>
            <w:r w:rsidRPr="00806776">
              <w:rPr>
                <w:b/>
                <w:sz w:val="28"/>
                <w:szCs w:val="28"/>
              </w:rPr>
              <w:t>Obiecţii</w:t>
            </w:r>
          </w:p>
        </w:tc>
        <w:tc>
          <w:tcPr>
            <w:tcW w:w="6541" w:type="dxa"/>
          </w:tcPr>
          <w:p w:rsidR="00013DBD" w:rsidRPr="00806776" w:rsidRDefault="00013DBD" w:rsidP="00897BB0">
            <w:pPr>
              <w:pStyle w:val="a9"/>
              <w:jc w:val="center"/>
              <w:rPr>
                <w:b/>
                <w:sz w:val="28"/>
                <w:szCs w:val="28"/>
              </w:rPr>
            </w:pPr>
            <w:r w:rsidRPr="00806776">
              <w:rPr>
                <w:b/>
                <w:sz w:val="28"/>
                <w:szCs w:val="28"/>
              </w:rPr>
              <w:t>Comentarii</w:t>
            </w:r>
          </w:p>
        </w:tc>
      </w:tr>
      <w:tr w:rsidR="003C1179" w:rsidRPr="00806776" w:rsidTr="00A5702C">
        <w:trPr>
          <w:trHeight w:val="20"/>
        </w:trPr>
        <w:tc>
          <w:tcPr>
            <w:tcW w:w="392" w:type="dxa"/>
          </w:tcPr>
          <w:p w:rsidR="003C1179" w:rsidRPr="00806776" w:rsidRDefault="003C1179" w:rsidP="00D47860">
            <w:pPr>
              <w:pStyle w:val="a8"/>
              <w:numPr>
                <w:ilvl w:val="0"/>
                <w:numId w:val="8"/>
              </w:numPr>
              <w:spacing w:after="0" w:line="240" w:lineRule="auto"/>
              <w:ind w:left="0" w:firstLine="0"/>
            </w:pPr>
          </w:p>
        </w:tc>
        <w:tc>
          <w:tcPr>
            <w:tcW w:w="7796" w:type="dxa"/>
          </w:tcPr>
          <w:p w:rsidR="003C1179" w:rsidRDefault="003C1179" w:rsidP="00D47860">
            <w:pPr>
              <w:autoSpaceDE w:val="0"/>
              <w:autoSpaceDN w:val="0"/>
              <w:adjustRightInd w:val="0"/>
              <w:rPr>
                <w:rFonts w:eastAsia="Arial-BoldMT"/>
                <w:b/>
                <w:bCs/>
              </w:rPr>
            </w:pPr>
            <w:r>
              <w:rPr>
                <w:rFonts w:eastAsia="Arial-BoldMT"/>
                <w:b/>
                <w:bCs/>
              </w:rPr>
              <w:t>Ministerul Justiţiei</w:t>
            </w:r>
          </w:p>
          <w:p w:rsidR="003C1179" w:rsidRPr="003C1179" w:rsidRDefault="003C1179" w:rsidP="00D47860">
            <w:pPr>
              <w:autoSpaceDE w:val="0"/>
              <w:autoSpaceDN w:val="0"/>
              <w:adjustRightInd w:val="0"/>
              <w:rPr>
                <w:rFonts w:eastAsia="Arial-BoldMT"/>
                <w:bCs/>
              </w:rPr>
            </w:pPr>
            <w:r w:rsidRPr="003C1179">
              <w:rPr>
                <w:rFonts w:eastAsia="Arial-BoldMT"/>
                <w:bCs/>
              </w:rPr>
              <w:t>(nr.03/11963 din 17.12.2014)</w:t>
            </w:r>
          </w:p>
        </w:tc>
        <w:tc>
          <w:tcPr>
            <w:tcW w:w="6541" w:type="dxa"/>
          </w:tcPr>
          <w:p w:rsidR="003C1179" w:rsidRPr="008D2EE9" w:rsidRDefault="003C1179" w:rsidP="00D47860">
            <w:pPr>
              <w:pStyle w:val="a9"/>
              <w:jc w:val="both"/>
              <w:rPr>
                <w:b/>
              </w:rPr>
            </w:pPr>
          </w:p>
        </w:tc>
      </w:tr>
      <w:tr w:rsidR="003C1179" w:rsidRPr="00806776" w:rsidTr="00A5702C">
        <w:trPr>
          <w:trHeight w:val="20"/>
        </w:trPr>
        <w:tc>
          <w:tcPr>
            <w:tcW w:w="392" w:type="dxa"/>
          </w:tcPr>
          <w:p w:rsidR="003C1179" w:rsidRPr="00806776" w:rsidRDefault="003C1179" w:rsidP="00D47860">
            <w:pPr>
              <w:pStyle w:val="a8"/>
              <w:numPr>
                <w:ilvl w:val="0"/>
                <w:numId w:val="8"/>
              </w:numPr>
              <w:spacing w:after="0" w:line="240" w:lineRule="auto"/>
              <w:ind w:left="0" w:firstLine="0"/>
            </w:pPr>
          </w:p>
        </w:tc>
        <w:tc>
          <w:tcPr>
            <w:tcW w:w="7796" w:type="dxa"/>
          </w:tcPr>
          <w:p w:rsidR="00DC4D14" w:rsidRPr="002E75A3" w:rsidRDefault="00DC4D14" w:rsidP="00DC4D14">
            <w:pPr>
              <w:tabs>
                <w:tab w:val="left" w:pos="567"/>
              </w:tabs>
              <w:jc w:val="both"/>
              <w:rPr>
                <w:i/>
              </w:rPr>
            </w:pPr>
            <w:r>
              <w:rPr>
                <w:i/>
              </w:rPr>
              <w:tab/>
            </w:r>
            <w:r w:rsidRPr="002E75A3">
              <w:rPr>
                <w:i/>
              </w:rPr>
              <w:t>La proiectul Hotărîrii de Guvern</w:t>
            </w:r>
          </w:p>
          <w:p w:rsidR="003C1179" w:rsidRPr="00DC4D14" w:rsidRDefault="00DC4D14" w:rsidP="00DC4D14">
            <w:pPr>
              <w:tabs>
                <w:tab w:val="left" w:pos="567"/>
              </w:tabs>
              <w:jc w:val="both"/>
              <w:rPr>
                <w:color w:val="000000"/>
              </w:rPr>
            </w:pPr>
            <w:r>
              <w:rPr>
                <w:color w:val="000000"/>
              </w:rPr>
              <w:tab/>
            </w:r>
            <w:r w:rsidRPr="002E75A3">
              <w:rPr>
                <w:color w:val="000000"/>
              </w:rPr>
              <w:t xml:space="preserve">Dispoziția </w:t>
            </w:r>
            <w:r w:rsidRPr="002E75A3">
              <w:rPr>
                <w:b/>
                <w:color w:val="000000"/>
              </w:rPr>
              <w:t>pct. 2</w:t>
            </w:r>
            <w:r w:rsidRPr="002E75A3">
              <w:rPr>
                <w:color w:val="000000"/>
              </w:rPr>
              <w:t xml:space="preserve"> necesită a fi ajustată la reglementările art. 2 din Legea nr. 98 din 4 mai 2012 privind administraţia publică centrală de specialitate, dar și art. 107 din Constituția Republicii Moldova. Reieșind din normele invocate, </w:t>
            </w:r>
            <w:r w:rsidRPr="002E75A3">
              <w:rPr>
                <w:rStyle w:val="apple-converted-space"/>
                <w:color w:val="000000"/>
              </w:rPr>
              <w:t> </w:t>
            </w:r>
            <w:r w:rsidRPr="002E75A3">
              <w:rPr>
                <w:color w:val="000000"/>
              </w:rPr>
              <w:t xml:space="preserve">organele centrale de specialitate ale statului </w:t>
            </w:r>
            <w:proofErr w:type="spellStart"/>
            <w:r w:rsidRPr="002E75A3">
              <w:rPr>
                <w:color w:val="000000"/>
              </w:rPr>
              <w:t>sînt</w:t>
            </w:r>
            <w:proofErr w:type="spellEnd"/>
            <w:r w:rsidRPr="002E75A3">
              <w:rPr>
                <w:color w:val="000000"/>
              </w:rPr>
              <w:t xml:space="preserve"> ministerele, alte autorităţi administrative centrale subordonate Guvernului și autorităţilor administrative autonome faţă de Guvern. </w:t>
            </w:r>
          </w:p>
        </w:tc>
        <w:tc>
          <w:tcPr>
            <w:tcW w:w="6541" w:type="dxa"/>
          </w:tcPr>
          <w:p w:rsidR="003C1179" w:rsidRDefault="00FA4574" w:rsidP="00D47860">
            <w:pPr>
              <w:pStyle w:val="a9"/>
              <w:jc w:val="both"/>
              <w:rPr>
                <w:b/>
              </w:rPr>
            </w:pPr>
            <w:r>
              <w:rPr>
                <w:b/>
              </w:rPr>
              <w:t>Se acceptă.</w:t>
            </w:r>
          </w:p>
          <w:p w:rsidR="000F70D2" w:rsidRPr="000F70D2" w:rsidRDefault="000F70D2" w:rsidP="000F70D2">
            <w:pPr>
              <w:pStyle w:val="a9"/>
              <w:jc w:val="both"/>
            </w:pPr>
            <w:r>
              <w:t>În pct.2 a fost prevăzută sintagma „</w:t>
            </w:r>
            <w:r w:rsidRPr="000F70D2">
              <w:t>Ministerele, alte autorităţi administrative centrale subordonate Guvernului și autorităţile administrative autonome faţă de Guvern</w:t>
            </w:r>
            <w:r>
              <w:t>”.</w:t>
            </w:r>
          </w:p>
        </w:tc>
      </w:tr>
      <w:tr w:rsidR="003C1179" w:rsidRPr="00806776" w:rsidTr="00A5702C">
        <w:trPr>
          <w:trHeight w:val="20"/>
        </w:trPr>
        <w:tc>
          <w:tcPr>
            <w:tcW w:w="392" w:type="dxa"/>
          </w:tcPr>
          <w:p w:rsidR="003C1179" w:rsidRPr="00806776" w:rsidRDefault="003C1179" w:rsidP="00D47860">
            <w:pPr>
              <w:pStyle w:val="a8"/>
              <w:numPr>
                <w:ilvl w:val="0"/>
                <w:numId w:val="8"/>
              </w:numPr>
              <w:spacing w:after="0" w:line="240" w:lineRule="auto"/>
              <w:ind w:left="0" w:firstLine="0"/>
            </w:pPr>
          </w:p>
        </w:tc>
        <w:tc>
          <w:tcPr>
            <w:tcW w:w="7796" w:type="dxa"/>
          </w:tcPr>
          <w:p w:rsidR="003C1179" w:rsidRPr="00DC4D14" w:rsidRDefault="00DC4D14" w:rsidP="00DC4D14">
            <w:pPr>
              <w:tabs>
                <w:tab w:val="left" w:pos="567"/>
              </w:tabs>
              <w:jc w:val="both"/>
            </w:pPr>
            <w:r>
              <w:rPr>
                <w:rStyle w:val="docbody"/>
              </w:rPr>
              <w:tab/>
            </w:r>
            <w:r w:rsidRPr="002E75A3">
              <w:rPr>
                <w:rStyle w:val="docbody"/>
              </w:rPr>
              <w:t xml:space="preserve">Pentru interpretare corectă şi aplicare comodă, diviziunile punctelor 2 și 3 se vor numerota  conform prevederilor art. 56 alin. (6) </w:t>
            </w:r>
            <w:r w:rsidRPr="002E75A3">
              <w:rPr>
                <w:color w:val="000000"/>
              </w:rPr>
              <w:t>din Legea nr. 317-XV din 18 iulie 2003.</w:t>
            </w:r>
            <w:r w:rsidRPr="002E75A3">
              <w:t xml:space="preserve"> </w:t>
            </w:r>
          </w:p>
        </w:tc>
        <w:tc>
          <w:tcPr>
            <w:tcW w:w="6541" w:type="dxa"/>
          </w:tcPr>
          <w:p w:rsidR="003C1179" w:rsidRDefault="00585E15" w:rsidP="00D47860">
            <w:pPr>
              <w:pStyle w:val="a9"/>
              <w:jc w:val="both"/>
              <w:rPr>
                <w:b/>
              </w:rPr>
            </w:pPr>
            <w:r>
              <w:rPr>
                <w:b/>
              </w:rPr>
              <w:t>Se acceptă.</w:t>
            </w:r>
          </w:p>
          <w:p w:rsidR="00585E15" w:rsidRPr="00585E15" w:rsidRDefault="00585E15" w:rsidP="00585E15">
            <w:pPr>
              <w:pStyle w:val="a9"/>
              <w:jc w:val="both"/>
            </w:pPr>
            <w:r>
              <w:t xml:space="preserve">Diviziunile punctelor 2 şi 3 au fost numerotate cu cifre arabe şi o paranteză </w:t>
            </w:r>
            <w:r w:rsidRPr="002E75A3">
              <w:rPr>
                <w:rStyle w:val="docbody"/>
              </w:rPr>
              <w:t xml:space="preserve">conform prevederilor art. 56 alin. (6) </w:t>
            </w:r>
            <w:r w:rsidRPr="002E75A3">
              <w:rPr>
                <w:color w:val="000000"/>
              </w:rPr>
              <w:t>din Legea nr.317-XV din 18 iulie 2003.</w:t>
            </w:r>
          </w:p>
        </w:tc>
      </w:tr>
      <w:tr w:rsidR="004D4DF5" w:rsidRPr="00806776" w:rsidTr="00A5702C">
        <w:trPr>
          <w:trHeight w:val="20"/>
        </w:trPr>
        <w:tc>
          <w:tcPr>
            <w:tcW w:w="392" w:type="dxa"/>
          </w:tcPr>
          <w:p w:rsidR="004D4DF5" w:rsidRPr="00806776" w:rsidRDefault="004D4DF5" w:rsidP="00D47860">
            <w:pPr>
              <w:pStyle w:val="a8"/>
              <w:numPr>
                <w:ilvl w:val="0"/>
                <w:numId w:val="8"/>
              </w:numPr>
              <w:spacing w:after="0" w:line="240" w:lineRule="auto"/>
              <w:ind w:left="0" w:firstLine="0"/>
            </w:pPr>
          </w:p>
        </w:tc>
        <w:tc>
          <w:tcPr>
            <w:tcW w:w="7796" w:type="dxa"/>
          </w:tcPr>
          <w:p w:rsidR="00DC4D14" w:rsidRPr="002E75A3" w:rsidRDefault="00DC4D14" w:rsidP="00DC4D14">
            <w:pPr>
              <w:tabs>
                <w:tab w:val="left" w:pos="567"/>
              </w:tabs>
              <w:jc w:val="both"/>
              <w:rPr>
                <w:i/>
              </w:rPr>
            </w:pPr>
            <w:r>
              <w:rPr>
                <w:i/>
              </w:rPr>
              <w:tab/>
            </w:r>
            <w:r w:rsidRPr="002E75A3">
              <w:rPr>
                <w:i/>
              </w:rPr>
              <w:t>La Metodologia de estimare a costurilor administrative prin aplicarea MCS</w:t>
            </w:r>
          </w:p>
          <w:p w:rsidR="004D4DF5" w:rsidRPr="00DC4D14" w:rsidRDefault="00DC4D14" w:rsidP="00DC4D14">
            <w:pPr>
              <w:tabs>
                <w:tab w:val="left" w:pos="567"/>
              </w:tabs>
              <w:jc w:val="both"/>
              <w:rPr>
                <w:lang w:eastAsia="ru-RU"/>
              </w:rPr>
            </w:pPr>
            <w:r>
              <w:rPr>
                <w:lang w:eastAsia="ru-RU"/>
              </w:rPr>
              <w:tab/>
            </w:r>
            <w:r w:rsidRPr="002E75A3">
              <w:rPr>
                <w:lang w:eastAsia="ru-RU"/>
              </w:rPr>
              <w:t xml:space="preserve">Potrivit art. 46 alin.(8) al Legii nr.317-XV din 18 iulie 2003, exprimarea prin abrevieri a unor denumiri sau termeni se poate face numai după explicarea lor în text, </w:t>
            </w:r>
            <w:r w:rsidRPr="002E75A3">
              <w:rPr>
                <w:i/>
                <w:lang w:eastAsia="ru-RU"/>
              </w:rPr>
              <w:t>la prima folosire</w:t>
            </w:r>
            <w:r w:rsidRPr="002E75A3">
              <w:rPr>
                <w:lang w:eastAsia="ru-RU"/>
              </w:rPr>
              <w:t>. Astfel, se propune ca abrevierea „MCS” să fie explicată în conținutul pct. 2, care definește noțiunea „Modelul Costului Standard”, deoarece din prevederile pct. 3 ar rezulta, că abrevierea dată exprimă obiectivele Modelul Costului Standard.</w:t>
            </w:r>
          </w:p>
        </w:tc>
        <w:tc>
          <w:tcPr>
            <w:tcW w:w="6541" w:type="dxa"/>
          </w:tcPr>
          <w:p w:rsidR="004D4DF5" w:rsidRDefault="00615FEB" w:rsidP="00D47860">
            <w:pPr>
              <w:pStyle w:val="a9"/>
              <w:jc w:val="both"/>
              <w:rPr>
                <w:b/>
              </w:rPr>
            </w:pPr>
            <w:r>
              <w:rPr>
                <w:b/>
              </w:rPr>
              <w:t>Se acceptă.</w:t>
            </w:r>
          </w:p>
          <w:p w:rsidR="00615FEB" w:rsidRPr="00615FEB" w:rsidRDefault="00615FEB" w:rsidP="00D47860">
            <w:pPr>
              <w:pStyle w:val="a9"/>
              <w:jc w:val="both"/>
            </w:pPr>
            <w:r>
              <w:t>Abrevierea a fost stabilită în pct.2.</w:t>
            </w:r>
          </w:p>
        </w:tc>
      </w:tr>
      <w:tr w:rsidR="004D4DF5" w:rsidRPr="00806776" w:rsidTr="00A5702C">
        <w:trPr>
          <w:trHeight w:val="20"/>
        </w:trPr>
        <w:tc>
          <w:tcPr>
            <w:tcW w:w="392" w:type="dxa"/>
          </w:tcPr>
          <w:p w:rsidR="004D4DF5" w:rsidRPr="00806776" w:rsidRDefault="004D4DF5" w:rsidP="00D47860">
            <w:pPr>
              <w:pStyle w:val="a8"/>
              <w:numPr>
                <w:ilvl w:val="0"/>
                <w:numId w:val="8"/>
              </w:numPr>
              <w:spacing w:after="0" w:line="240" w:lineRule="auto"/>
              <w:ind w:left="0" w:firstLine="0"/>
            </w:pPr>
          </w:p>
        </w:tc>
        <w:tc>
          <w:tcPr>
            <w:tcW w:w="7796" w:type="dxa"/>
          </w:tcPr>
          <w:p w:rsidR="004D4DF5" w:rsidRPr="007618D1" w:rsidRDefault="007618D1" w:rsidP="007618D1">
            <w:pPr>
              <w:tabs>
                <w:tab w:val="left" w:pos="567"/>
              </w:tabs>
              <w:jc w:val="both"/>
              <w:rPr>
                <w:lang w:eastAsia="ru-RU"/>
              </w:rPr>
            </w:pPr>
            <w:r>
              <w:rPr>
                <w:lang w:eastAsia="ru-RU"/>
              </w:rPr>
              <w:tab/>
            </w:r>
            <w:r w:rsidRPr="002E75A3">
              <w:rPr>
                <w:lang w:eastAsia="ru-RU"/>
              </w:rPr>
              <w:t xml:space="preserve">Noțiunea „Reglementare” definită la </w:t>
            </w:r>
            <w:r w:rsidRPr="002E75A3">
              <w:rPr>
                <w:b/>
                <w:lang w:eastAsia="ru-RU"/>
              </w:rPr>
              <w:t>pct. 2</w:t>
            </w:r>
            <w:r w:rsidRPr="002E75A3">
              <w:rPr>
                <w:lang w:eastAsia="ru-RU"/>
              </w:rPr>
              <w:t xml:space="preserve"> urmează a fi analizată prin prisma </w:t>
            </w:r>
            <w:r w:rsidRPr="002E75A3">
              <w:rPr>
                <w:color w:val="000000"/>
              </w:rPr>
              <w:t>Legii nr. 780-XV din 27 decembrie 2001 privind actele legislative</w:t>
            </w:r>
            <w:r w:rsidRPr="002E75A3">
              <w:rPr>
                <w:lang w:eastAsia="ru-RU"/>
              </w:rPr>
              <w:t xml:space="preserve"> și Legii nr.317-XV din 18 iulie 2003</w:t>
            </w:r>
            <w:r w:rsidRPr="002E75A3">
              <w:t xml:space="preserve"> privind actele normative ale Guvernului şi ale altor autorităţi ale administraţiei publice centrale şi locale. Totodată, se va ține cont de obiecțiile invocate la pct. 2 din proiectul Hotărîrii de Guvern.</w:t>
            </w:r>
          </w:p>
        </w:tc>
        <w:tc>
          <w:tcPr>
            <w:tcW w:w="6541" w:type="dxa"/>
          </w:tcPr>
          <w:p w:rsidR="004D4DF5" w:rsidRDefault="003A0276" w:rsidP="00D47860">
            <w:pPr>
              <w:pStyle w:val="a9"/>
              <w:jc w:val="both"/>
              <w:rPr>
                <w:b/>
              </w:rPr>
            </w:pPr>
            <w:r>
              <w:rPr>
                <w:b/>
              </w:rPr>
              <w:t>Se acceptă.</w:t>
            </w:r>
          </w:p>
          <w:p w:rsidR="003A0276" w:rsidRPr="003A0276" w:rsidRDefault="003A0276" w:rsidP="00D47860">
            <w:pPr>
              <w:pStyle w:val="a9"/>
              <w:jc w:val="both"/>
            </w:pPr>
            <w:r w:rsidRPr="003A0276">
              <w:t>Noţiunea a fost expusă în redacţia:</w:t>
            </w:r>
          </w:p>
          <w:p w:rsidR="003A0276" w:rsidRPr="008D2EE9" w:rsidRDefault="003A0276" w:rsidP="00D47860">
            <w:pPr>
              <w:pStyle w:val="a9"/>
              <w:jc w:val="both"/>
              <w:rPr>
                <w:b/>
              </w:rPr>
            </w:pPr>
            <w:r>
              <w:t>„</w:t>
            </w:r>
            <w:r w:rsidRPr="003A0276">
              <w:t>Reglementare – actele legislative, actele normative ale Guvernului şi ale altor autorităţi ale administraţiei publice centrale prin care se efectuează reglementarea activităţii de întreprinzător.</w:t>
            </w:r>
            <w:r>
              <w:t>”</w:t>
            </w:r>
          </w:p>
        </w:tc>
      </w:tr>
      <w:tr w:rsidR="004D4DF5" w:rsidRPr="00806776" w:rsidTr="00A5702C">
        <w:trPr>
          <w:trHeight w:val="20"/>
        </w:trPr>
        <w:tc>
          <w:tcPr>
            <w:tcW w:w="392" w:type="dxa"/>
          </w:tcPr>
          <w:p w:rsidR="004D4DF5" w:rsidRPr="00806776" w:rsidRDefault="004D4DF5" w:rsidP="00D47860">
            <w:pPr>
              <w:pStyle w:val="a8"/>
              <w:numPr>
                <w:ilvl w:val="0"/>
                <w:numId w:val="8"/>
              </w:numPr>
              <w:spacing w:after="0" w:line="240" w:lineRule="auto"/>
              <w:ind w:left="0" w:firstLine="0"/>
            </w:pPr>
          </w:p>
        </w:tc>
        <w:tc>
          <w:tcPr>
            <w:tcW w:w="7796" w:type="dxa"/>
          </w:tcPr>
          <w:p w:rsidR="004D4DF5" w:rsidRPr="00ED5CF6" w:rsidRDefault="00ED5CF6" w:rsidP="00ED5CF6">
            <w:pPr>
              <w:tabs>
                <w:tab w:val="left" w:pos="567"/>
              </w:tabs>
              <w:jc w:val="both"/>
              <w:rPr>
                <w:lang w:eastAsia="ru-RU"/>
              </w:rPr>
            </w:pPr>
            <w:r>
              <w:rPr>
                <w:lang w:eastAsia="ru-RU"/>
              </w:rPr>
              <w:tab/>
            </w:r>
            <w:r w:rsidRPr="002E75A3">
              <w:rPr>
                <w:lang w:eastAsia="ru-RU"/>
              </w:rPr>
              <w:t xml:space="preserve">La </w:t>
            </w:r>
            <w:r w:rsidRPr="002E75A3">
              <w:rPr>
                <w:b/>
                <w:lang w:eastAsia="ru-RU"/>
              </w:rPr>
              <w:t>pct. 6</w:t>
            </w:r>
            <w:r w:rsidRPr="002E75A3">
              <w:rPr>
                <w:lang w:eastAsia="ru-RU"/>
              </w:rPr>
              <w:t xml:space="preserve"> după sintagma „în anexa nr. 1” se va completa cu sintagma „la prezenta Metodologie”. În acest sens, se va revizui și conținutul pct. 8.</w:t>
            </w:r>
          </w:p>
        </w:tc>
        <w:tc>
          <w:tcPr>
            <w:tcW w:w="6541" w:type="dxa"/>
          </w:tcPr>
          <w:p w:rsidR="004D4DF5" w:rsidRDefault="007030B5" w:rsidP="00D47860">
            <w:pPr>
              <w:pStyle w:val="a9"/>
              <w:jc w:val="both"/>
              <w:rPr>
                <w:b/>
              </w:rPr>
            </w:pPr>
            <w:r>
              <w:rPr>
                <w:b/>
              </w:rPr>
              <w:t>Se acceptă.</w:t>
            </w:r>
          </w:p>
          <w:p w:rsidR="007030B5" w:rsidRPr="007030B5" w:rsidRDefault="007030B5" w:rsidP="00D47860">
            <w:pPr>
              <w:pStyle w:val="a9"/>
              <w:jc w:val="both"/>
            </w:pPr>
            <w:r w:rsidRPr="007030B5">
              <w:t>Punctele 6 şi 8 au fost completate cu sintagma „la prezenta Metodologie”.</w:t>
            </w:r>
          </w:p>
        </w:tc>
      </w:tr>
      <w:tr w:rsidR="004D4DF5" w:rsidRPr="00806776" w:rsidTr="00A5702C">
        <w:trPr>
          <w:trHeight w:val="20"/>
        </w:trPr>
        <w:tc>
          <w:tcPr>
            <w:tcW w:w="392" w:type="dxa"/>
          </w:tcPr>
          <w:p w:rsidR="004D4DF5" w:rsidRPr="00806776" w:rsidRDefault="004D4DF5" w:rsidP="00D47860">
            <w:pPr>
              <w:pStyle w:val="a8"/>
              <w:numPr>
                <w:ilvl w:val="0"/>
                <w:numId w:val="8"/>
              </w:numPr>
              <w:spacing w:after="0" w:line="240" w:lineRule="auto"/>
              <w:ind w:left="0" w:firstLine="0"/>
            </w:pPr>
          </w:p>
        </w:tc>
        <w:tc>
          <w:tcPr>
            <w:tcW w:w="7796" w:type="dxa"/>
          </w:tcPr>
          <w:p w:rsidR="004D4DF5" w:rsidRDefault="00ED5CF6" w:rsidP="00ED5CF6">
            <w:pPr>
              <w:tabs>
                <w:tab w:val="left" w:pos="567"/>
                <w:tab w:val="right" w:pos="9720"/>
              </w:tabs>
              <w:jc w:val="both"/>
              <w:rPr>
                <w:color w:val="000000"/>
              </w:rPr>
            </w:pPr>
            <w:r>
              <w:tab/>
            </w:r>
            <w:r w:rsidRPr="002E75A3">
              <w:t xml:space="preserve">De asemenea, conţinutul </w:t>
            </w:r>
            <w:r w:rsidRPr="002E75A3">
              <w:rPr>
                <w:b/>
              </w:rPr>
              <w:t>pct. 7, 13, 15, 16</w:t>
            </w:r>
            <w:r w:rsidRPr="002E75A3">
              <w:t xml:space="preserve"> </w:t>
            </w:r>
            <w:r w:rsidRPr="002E75A3">
              <w:rPr>
                <w:color w:val="000000"/>
              </w:rPr>
              <w:t xml:space="preserve">se va revedea prin stabilirea unor reglementări concrete sau excluderea acestor exemplificări, care lasă loc </w:t>
            </w:r>
            <w:r w:rsidRPr="002E75A3">
              <w:rPr>
                <w:color w:val="000000"/>
              </w:rPr>
              <w:lastRenderedPageBreak/>
              <w:t>pentru discreție. Or, potrivit art. 46 alin. (2) din Legea nr. 317-XV din 18 iulie 2003</w:t>
            </w:r>
            <w:r w:rsidRPr="002E75A3">
              <w:t>,</w:t>
            </w:r>
            <w:r w:rsidRPr="002E75A3">
              <w:rPr>
                <w:color w:val="000000"/>
              </w:rPr>
              <w:t xml:space="preserve"> textul punctelor trebuie să aibă un caracter dispozitiv şi să prezinte norma instituită fără explicaţii.</w:t>
            </w:r>
          </w:p>
          <w:p w:rsidR="00EC3F9E" w:rsidRPr="00ED5CF6" w:rsidRDefault="00EC3F9E" w:rsidP="00ED5CF6">
            <w:pPr>
              <w:tabs>
                <w:tab w:val="left" w:pos="567"/>
                <w:tab w:val="right" w:pos="9720"/>
              </w:tabs>
              <w:jc w:val="both"/>
              <w:rPr>
                <w:color w:val="000000"/>
              </w:rPr>
            </w:pPr>
            <w:r>
              <w:tab/>
            </w:r>
            <w:r w:rsidRPr="002E75A3">
              <w:t xml:space="preserve">Prin prisma celor enunțate se vor rectifica și reglementările din Anexa nr. 1 la </w:t>
            </w:r>
            <w:r w:rsidRPr="002E75A3">
              <w:rPr>
                <w:color w:val="000000"/>
              </w:rPr>
              <w:t>Metodologia de estimare a costurilor administrative prin aplicarea Modelului Costului Standard.</w:t>
            </w:r>
          </w:p>
        </w:tc>
        <w:tc>
          <w:tcPr>
            <w:tcW w:w="6541" w:type="dxa"/>
          </w:tcPr>
          <w:p w:rsidR="004D4DF5" w:rsidRDefault="00EC3F9E" w:rsidP="00D47860">
            <w:pPr>
              <w:pStyle w:val="a9"/>
              <w:jc w:val="both"/>
              <w:rPr>
                <w:b/>
              </w:rPr>
            </w:pPr>
            <w:r>
              <w:rPr>
                <w:b/>
              </w:rPr>
              <w:lastRenderedPageBreak/>
              <w:t>Nu se acceptă.</w:t>
            </w:r>
          </w:p>
          <w:p w:rsidR="00EC3F9E" w:rsidRPr="00982A95" w:rsidRDefault="00EC3F9E" w:rsidP="00D47860">
            <w:pPr>
              <w:pStyle w:val="a9"/>
              <w:jc w:val="both"/>
            </w:pPr>
            <w:r w:rsidRPr="00982A95">
              <w:t xml:space="preserve">Este </w:t>
            </w:r>
            <w:r w:rsidR="001E336A">
              <w:t>oportun</w:t>
            </w:r>
            <w:bookmarkStart w:id="0" w:name="_GoBack"/>
            <w:bookmarkEnd w:id="0"/>
            <w:r w:rsidRPr="00982A95">
              <w:t xml:space="preserve"> şi există precedente de clarificare a anumitor </w:t>
            </w:r>
            <w:r w:rsidRPr="00982A95">
              <w:lastRenderedPageBreak/>
              <w:t>prevederi în baza includerii unor exemple:</w:t>
            </w:r>
          </w:p>
          <w:p w:rsidR="00982A95" w:rsidRPr="00DE44E9" w:rsidRDefault="00982A95" w:rsidP="00982A95">
            <w:pPr>
              <w:pStyle w:val="a9"/>
              <w:jc w:val="both"/>
            </w:pPr>
            <w:proofErr w:type="spellStart"/>
            <w:r w:rsidRPr="00DE44E9">
              <w:t>Hotărîrea</w:t>
            </w:r>
            <w:proofErr w:type="spellEnd"/>
            <w:r w:rsidRPr="00DE44E9">
              <w:t xml:space="preserve"> Guvernului „Privind angajarea răspunderii asupra proiectului legii pentru modificarea şi completarea unor acte legislative” nr. 155 din 08.04.2015.</w:t>
            </w:r>
          </w:p>
          <w:p w:rsidR="00EC3F9E" w:rsidRPr="008D2EE9" w:rsidRDefault="00982A95" w:rsidP="00982A95">
            <w:pPr>
              <w:pStyle w:val="a9"/>
              <w:jc w:val="both"/>
              <w:rPr>
                <w:b/>
              </w:rPr>
            </w:pPr>
            <w:proofErr w:type="spellStart"/>
            <w:r w:rsidRPr="00DE44E9">
              <w:t>Hotărîrea</w:t>
            </w:r>
            <w:proofErr w:type="spellEnd"/>
            <w:r w:rsidRPr="00DE44E9">
              <w:t xml:space="preserve"> Guvernului „Pentru implementarea Legii nr.325 din 23 decembrie 2013 privind testarea integrităţii profesionale” nr. 767 din 19.09.2014, etc.</w:t>
            </w:r>
          </w:p>
        </w:tc>
      </w:tr>
      <w:tr w:rsidR="004D4DF5" w:rsidRPr="00806776" w:rsidTr="00A5702C">
        <w:trPr>
          <w:trHeight w:val="20"/>
        </w:trPr>
        <w:tc>
          <w:tcPr>
            <w:tcW w:w="392" w:type="dxa"/>
          </w:tcPr>
          <w:p w:rsidR="004D4DF5" w:rsidRPr="00806776" w:rsidRDefault="004D4DF5" w:rsidP="00D47860">
            <w:pPr>
              <w:pStyle w:val="a8"/>
              <w:numPr>
                <w:ilvl w:val="0"/>
                <w:numId w:val="8"/>
              </w:numPr>
              <w:spacing w:after="0" w:line="240" w:lineRule="auto"/>
              <w:ind w:left="0" w:firstLine="0"/>
            </w:pPr>
          </w:p>
        </w:tc>
        <w:tc>
          <w:tcPr>
            <w:tcW w:w="7796" w:type="dxa"/>
          </w:tcPr>
          <w:p w:rsidR="004D4DF5" w:rsidRPr="00ED5CF6" w:rsidRDefault="00ED5CF6" w:rsidP="00BE6209">
            <w:pPr>
              <w:tabs>
                <w:tab w:val="left" w:pos="567"/>
              </w:tabs>
              <w:jc w:val="both"/>
              <w:rPr>
                <w:color w:val="000000"/>
              </w:rPr>
            </w:pPr>
            <w:r>
              <w:rPr>
                <w:color w:val="000000"/>
              </w:rPr>
              <w:tab/>
            </w:r>
            <w:r w:rsidRPr="002E75A3">
              <w:rPr>
                <w:color w:val="000000"/>
              </w:rPr>
              <w:t xml:space="preserve">Redacția </w:t>
            </w:r>
            <w:r w:rsidRPr="002E75A3">
              <w:rPr>
                <w:b/>
                <w:color w:val="000000"/>
              </w:rPr>
              <w:t>pct. 10</w:t>
            </w:r>
            <w:r w:rsidRPr="002E75A3">
              <w:t xml:space="preserve"> (cu referire la expresia </w:t>
            </w:r>
            <w:r w:rsidR="00BE6209">
              <w:t>c</w:t>
            </w:r>
            <w:r w:rsidRPr="002E75A3">
              <w:t xml:space="preserve">) </w:t>
            </w:r>
            <w:r w:rsidRPr="002E75A3">
              <w:rPr>
                <w:color w:val="000000"/>
              </w:rPr>
              <w:t>nu reprezintă</w:t>
            </w:r>
            <w:r w:rsidRPr="002E75A3">
              <w:t xml:space="preserve"> o normă cu caracter juridic, aceasta fiind doar o constatare, pasibilă de a fi expusă, eventual, în Nota informativă a proiectului dat. Astfel, se propune revizuirea normei cu pricina.</w:t>
            </w:r>
          </w:p>
        </w:tc>
        <w:tc>
          <w:tcPr>
            <w:tcW w:w="6541" w:type="dxa"/>
          </w:tcPr>
          <w:p w:rsidR="004D4DF5" w:rsidRDefault="00BE6209" w:rsidP="00D47860">
            <w:pPr>
              <w:pStyle w:val="a9"/>
              <w:jc w:val="both"/>
              <w:rPr>
                <w:b/>
              </w:rPr>
            </w:pPr>
            <w:r>
              <w:rPr>
                <w:b/>
              </w:rPr>
              <w:t>Se acceptă.</w:t>
            </w:r>
          </w:p>
          <w:p w:rsidR="00BE6209" w:rsidRPr="00BE6209" w:rsidRDefault="00BE6209" w:rsidP="00D47860">
            <w:pPr>
              <w:pStyle w:val="a9"/>
              <w:jc w:val="both"/>
            </w:pPr>
            <w:r w:rsidRPr="00BE6209">
              <w:t>Sintagma „altfel spus”</w:t>
            </w:r>
            <w:r>
              <w:t xml:space="preserve"> </w:t>
            </w:r>
            <w:r w:rsidRPr="00BE6209">
              <w:t>a fost exclusă.</w:t>
            </w:r>
          </w:p>
        </w:tc>
      </w:tr>
      <w:tr w:rsidR="004D4DF5" w:rsidRPr="00806776" w:rsidTr="00A5702C">
        <w:trPr>
          <w:trHeight w:val="20"/>
        </w:trPr>
        <w:tc>
          <w:tcPr>
            <w:tcW w:w="392" w:type="dxa"/>
          </w:tcPr>
          <w:p w:rsidR="004D4DF5" w:rsidRPr="00806776" w:rsidRDefault="004D4DF5" w:rsidP="00D47860">
            <w:pPr>
              <w:pStyle w:val="a8"/>
              <w:numPr>
                <w:ilvl w:val="0"/>
                <w:numId w:val="8"/>
              </w:numPr>
              <w:spacing w:after="0" w:line="240" w:lineRule="auto"/>
              <w:ind w:left="0" w:firstLine="0"/>
            </w:pPr>
          </w:p>
        </w:tc>
        <w:tc>
          <w:tcPr>
            <w:tcW w:w="7796" w:type="dxa"/>
          </w:tcPr>
          <w:p w:rsidR="004D4DF5" w:rsidRPr="00ED5CF6" w:rsidRDefault="00ED5CF6" w:rsidP="00ED5CF6">
            <w:pPr>
              <w:tabs>
                <w:tab w:val="left" w:pos="567"/>
              </w:tabs>
              <w:jc w:val="both"/>
            </w:pPr>
            <w:r>
              <w:tab/>
            </w:r>
            <w:r w:rsidRPr="002E75A3">
              <w:t>De asemenea, pe întreg textul proiectului în cauză se va exclude sintagma „</w:t>
            </w:r>
            <w:proofErr w:type="spellStart"/>
            <w:r w:rsidRPr="002E75A3">
              <w:t>etc</w:t>
            </w:r>
            <w:proofErr w:type="spellEnd"/>
            <w:r w:rsidRPr="002E75A3">
              <w:t>”, deoarece acesta nu este proprie unui act normativ.</w:t>
            </w:r>
          </w:p>
        </w:tc>
        <w:tc>
          <w:tcPr>
            <w:tcW w:w="6541" w:type="dxa"/>
          </w:tcPr>
          <w:p w:rsidR="004D4DF5" w:rsidRDefault="00616E16" w:rsidP="00D47860">
            <w:pPr>
              <w:pStyle w:val="a9"/>
              <w:jc w:val="both"/>
              <w:rPr>
                <w:b/>
              </w:rPr>
            </w:pPr>
            <w:r>
              <w:rPr>
                <w:b/>
              </w:rPr>
              <w:t>Se acceptă.</w:t>
            </w:r>
          </w:p>
          <w:p w:rsidR="00616E16" w:rsidRPr="008D2EE9" w:rsidRDefault="001F25B5" w:rsidP="001F25B5">
            <w:pPr>
              <w:pStyle w:val="a9"/>
              <w:jc w:val="both"/>
              <w:rPr>
                <w:b/>
              </w:rPr>
            </w:pPr>
            <w:r w:rsidRPr="002E75A3">
              <w:t xml:space="preserve">Pe </w:t>
            </w:r>
            <w:r w:rsidR="00616E16" w:rsidRPr="002E75A3">
              <w:t xml:space="preserve">întreg textul proiectului </w:t>
            </w:r>
            <w:r>
              <w:t>a fost exclusă</w:t>
            </w:r>
            <w:r w:rsidR="00616E16" w:rsidRPr="002E75A3">
              <w:t xml:space="preserve"> sintagma „</w:t>
            </w:r>
            <w:proofErr w:type="spellStart"/>
            <w:r w:rsidR="00616E16" w:rsidRPr="002E75A3">
              <w:t>etc</w:t>
            </w:r>
            <w:proofErr w:type="spellEnd"/>
            <w:r w:rsidR="00616E16" w:rsidRPr="002E75A3">
              <w:t>”</w:t>
            </w:r>
            <w:r>
              <w:t>.</w:t>
            </w:r>
          </w:p>
        </w:tc>
      </w:tr>
      <w:tr w:rsidR="003C1179" w:rsidRPr="00806776" w:rsidTr="00A5702C">
        <w:trPr>
          <w:trHeight w:val="20"/>
        </w:trPr>
        <w:tc>
          <w:tcPr>
            <w:tcW w:w="392" w:type="dxa"/>
          </w:tcPr>
          <w:p w:rsidR="003C1179" w:rsidRPr="00806776" w:rsidRDefault="003C1179" w:rsidP="00D47860">
            <w:pPr>
              <w:pStyle w:val="a8"/>
              <w:numPr>
                <w:ilvl w:val="0"/>
                <w:numId w:val="8"/>
              </w:numPr>
              <w:spacing w:after="0" w:line="240" w:lineRule="auto"/>
              <w:ind w:left="0" w:firstLine="0"/>
            </w:pPr>
          </w:p>
        </w:tc>
        <w:tc>
          <w:tcPr>
            <w:tcW w:w="7796" w:type="dxa"/>
          </w:tcPr>
          <w:p w:rsidR="003C1179" w:rsidRPr="00ED5CF6" w:rsidRDefault="00ED5CF6" w:rsidP="00ED5CF6">
            <w:pPr>
              <w:tabs>
                <w:tab w:val="left" w:pos="567"/>
              </w:tabs>
              <w:jc w:val="both"/>
              <w:rPr>
                <w:color w:val="000000"/>
              </w:rPr>
            </w:pPr>
            <w:r>
              <w:tab/>
            </w:r>
            <w:r w:rsidRPr="002E75A3">
              <w:t xml:space="preserve">La </w:t>
            </w:r>
            <w:r w:rsidRPr="002E75A3">
              <w:rPr>
                <w:b/>
              </w:rPr>
              <w:t xml:space="preserve">pct. 11 </w:t>
            </w:r>
            <w:r w:rsidRPr="002E75A3">
              <w:t xml:space="preserve">din Anexa nr. 1 sintagma „alte informaţii” este una mult prea generală şi lasă loc pentru interpretări. Din aceste considerente, prevederea în cauză urmează a fi exclusă, or </w:t>
            </w:r>
            <w:r w:rsidRPr="002E75A3">
              <w:rPr>
                <w:color w:val="000000"/>
              </w:rPr>
              <w:t>se vor expune concret informațiile necesare de a fi prezentate (a se vedea art. 46 din Legea nr. 317-XV).</w:t>
            </w:r>
          </w:p>
        </w:tc>
        <w:tc>
          <w:tcPr>
            <w:tcW w:w="6541" w:type="dxa"/>
          </w:tcPr>
          <w:p w:rsidR="003C1179" w:rsidRDefault="003E3301" w:rsidP="00D47860">
            <w:pPr>
              <w:pStyle w:val="a9"/>
              <w:jc w:val="both"/>
              <w:rPr>
                <w:b/>
              </w:rPr>
            </w:pPr>
            <w:r>
              <w:rPr>
                <w:b/>
              </w:rPr>
              <w:t>Nu s</w:t>
            </w:r>
            <w:r w:rsidR="007D7DB8">
              <w:rPr>
                <w:b/>
              </w:rPr>
              <w:t>e acceptă.</w:t>
            </w:r>
          </w:p>
          <w:p w:rsidR="007D7DB8" w:rsidRPr="007D7DB8" w:rsidRDefault="007D7DB8" w:rsidP="00B95C3C">
            <w:pPr>
              <w:pStyle w:val="a9"/>
              <w:jc w:val="both"/>
            </w:pPr>
            <w:r>
              <w:t xml:space="preserve">Sintagma </w:t>
            </w:r>
            <w:r w:rsidRPr="002E75A3">
              <w:t>„alte informaţii”</w:t>
            </w:r>
            <w:r>
              <w:t xml:space="preserve"> </w:t>
            </w:r>
            <w:r w:rsidR="00B95C3C">
              <w:t xml:space="preserve">exprimă multitudinea de </w:t>
            </w:r>
            <w:r w:rsidR="00CA41AA">
              <w:t>obligaţii pentru agenţii economici care se pot identifica în fiecare caz aparte.</w:t>
            </w:r>
          </w:p>
        </w:tc>
      </w:tr>
      <w:tr w:rsidR="00ED5CF6" w:rsidRPr="00806776" w:rsidTr="00A5702C">
        <w:trPr>
          <w:trHeight w:val="20"/>
        </w:trPr>
        <w:tc>
          <w:tcPr>
            <w:tcW w:w="392" w:type="dxa"/>
          </w:tcPr>
          <w:p w:rsidR="00ED5CF6" w:rsidRPr="00806776" w:rsidRDefault="00ED5CF6" w:rsidP="00D47860">
            <w:pPr>
              <w:pStyle w:val="a8"/>
              <w:numPr>
                <w:ilvl w:val="0"/>
                <w:numId w:val="8"/>
              </w:numPr>
              <w:spacing w:after="0" w:line="240" w:lineRule="auto"/>
              <w:ind w:left="0" w:firstLine="0"/>
            </w:pPr>
          </w:p>
        </w:tc>
        <w:tc>
          <w:tcPr>
            <w:tcW w:w="7796" w:type="dxa"/>
          </w:tcPr>
          <w:p w:rsidR="00ED5CF6" w:rsidRPr="00ED5CF6" w:rsidRDefault="00ED5CF6" w:rsidP="00ED5CF6">
            <w:pPr>
              <w:tabs>
                <w:tab w:val="left" w:pos="567"/>
              </w:tabs>
              <w:jc w:val="both"/>
              <w:rPr>
                <w:color w:val="000000"/>
              </w:rPr>
            </w:pPr>
            <w:r>
              <w:rPr>
                <w:color w:val="000000"/>
              </w:rPr>
              <w:tab/>
            </w:r>
            <w:r w:rsidRPr="002E75A3">
              <w:rPr>
                <w:color w:val="000000"/>
              </w:rPr>
              <w:t xml:space="preserve">Textul proiectului, în integralitatea sa, se recomandă a fi revizuit în sensul expunerii prevederilor într-un stil juridic, adică </w:t>
            </w:r>
            <w:proofErr w:type="spellStart"/>
            <w:r w:rsidRPr="002E75A3">
              <w:rPr>
                <w:color w:val="000000"/>
              </w:rPr>
              <w:t>evitînd</w:t>
            </w:r>
            <w:proofErr w:type="spellEnd"/>
            <w:r w:rsidRPr="002E75A3">
              <w:rPr>
                <w:color w:val="000000"/>
              </w:rPr>
              <w:t xml:space="preserve"> narațiunile şi </w:t>
            </w:r>
            <w:proofErr w:type="spellStart"/>
            <w:r w:rsidRPr="002E75A3">
              <w:rPr>
                <w:color w:val="000000"/>
              </w:rPr>
              <w:t>utilizînd</w:t>
            </w:r>
            <w:proofErr w:type="spellEnd"/>
            <w:r w:rsidRPr="002E75A3">
              <w:rPr>
                <w:color w:val="000000"/>
              </w:rPr>
              <w:t xml:space="preserve"> un limbaj simplu, clar şi concis, pentru a se exclude orice echivoc, cu respectarea strictă a regulilor gramaticale şi de ortografie.</w:t>
            </w:r>
          </w:p>
        </w:tc>
        <w:tc>
          <w:tcPr>
            <w:tcW w:w="6541" w:type="dxa"/>
          </w:tcPr>
          <w:p w:rsidR="00ED5CF6" w:rsidRDefault="007D7DB8" w:rsidP="00D47860">
            <w:pPr>
              <w:pStyle w:val="a9"/>
              <w:jc w:val="both"/>
              <w:rPr>
                <w:b/>
              </w:rPr>
            </w:pPr>
            <w:r>
              <w:rPr>
                <w:b/>
              </w:rPr>
              <w:t>Se acceptă.</w:t>
            </w:r>
          </w:p>
          <w:p w:rsidR="007D7DB8" w:rsidRPr="007D7DB8" w:rsidRDefault="007D7DB8" w:rsidP="00D47860">
            <w:pPr>
              <w:pStyle w:val="a9"/>
              <w:jc w:val="both"/>
            </w:pPr>
            <w:r w:rsidRPr="007D7DB8">
              <w:t>Textul a fost revizuit.</w:t>
            </w:r>
          </w:p>
        </w:tc>
      </w:tr>
      <w:tr w:rsidR="00ED5CF6" w:rsidRPr="00806776" w:rsidTr="00A5702C">
        <w:trPr>
          <w:trHeight w:val="20"/>
        </w:trPr>
        <w:tc>
          <w:tcPr>
            <w:tcW w:w="392" w:type="dxa"/>
          </w:tcPr>
          <w:p w:rsidR="00ED5CF6" w:rsidRPr="00806776" w:rsidRDefault="00ED5CF6" w:rsidP="00D47860">
            <w:pPr>
              <w:pStyle w:val="a8"/>
              <w:numPr>
                <w:ilvl w:val="0"/>
                <w:numId w:val="8"/>
              </w:numPr>
              <w:spacing w:after="0" w:line="240" w:lineRule="auto"/>
              <w:ind w:left="0" w:firstLine="0"/>
            </w:pPr>
          </w:p>
        </w:tc>
        <w:tc>
          <w:tcPr>
            <w:tcW w:w="7796" w:type="dxa"/>
          </w:tcPr>
          <w:p w:rsidR="00ED5CF6" w:rsidRPr="00ED5CF6" w:rsidRDefault="00ED5CF6" w:rsidP="00ED5CF6">
            <w:pPr>
              <w:tabs>
                <w:tab w:val="left" w:pos="567"/>
              </w:tabs>
              <w:jc w:val="both"/>
              <w:rPr>
                <w:color w:val="000000"/>
              </w:rPr>
            </w:pPr>
            <w:r>
              <w:rPr>
                <w:color w:val="000000"/>
              </w:rPr>
              <w:tab/>
            </w:r>
            <w:r w:rsidRPr="002E75A3">
              <w:rPr>
                <w:color w:val="000000"/>
              </w:rPr>
              <w:t>Proiectul Hotărîrii de Guvern cu privire la aprobarea Metodologiei de estimare a costurilor administrative prin aplicarea Modelului Costului Standard, se va coordona suplimentar cu instituţiile interesate pentru înlăturarea divergențelor de opinii.</w:t>
            </w:r>
          </w:p>
        </w:tc>
        <w:tc>
          <w:tcPr>
            <w:tcW w:w="6541" w:type="dxa"/>
          </w:tcPr>
          <w:p w:rsidR="00ED5CF6" w:rsidRDefault="00E03428" w:rsidP="00D47860">
            <w:pPr>
              <w:pStyle w:val="a9"/>
              <w:jc w:val="both"/>
              <w:rPr>
                <w:b/>
              </w:rPr>
            </w:pPr>
            <w:r>
              <w:rPr>
                <w:b/>
              </w:rPr>
              <w:t>Se acceptă.</w:t>
            </w:r>
          </w:p>
          <w:p w:rsidR="00E03428" w:rsidRPr="00E03428" w:rsidRDefault="00E03428" w:rsidP="00D47860">
            <w:pPr>
              <w:pStyle w:val="a9"/>
              <w:jc w:val="both"/>
            </w:pPr>
            <w:r>
              <w:t xml:space="preserve">Proiectul a fost </w:t>
            </w:r>
            <w:r w:rsidR="007D6BAA" w:rsidRPr="002E75A3">
              <w:rPr>
                <w:color w:val="000000"/>
              </w:rPr>
              <w:t>coordona</w:t>
            </w:r>
            <w:r w:rsidR="007D6BAA">
              <w:rPr>
                <w:color w:val="000000"/>
              </w:rPr>
              <w:t>t</w:t>
            </w:r>
            <w:r w:rsidR="007D6BAA" w:rsidRPr="002E75A3">
              <w:rPr>
                <w:color w:val="000000"/>
              </w:rPr>
              <w:t xml:space="preserve"> suplimentar cu instituţiile interesate pentru înlăturarea divergențelor de opinii.</w:t>
            </w:r>
          </w:p>
        </w:tc>
      </w:tr>
      <w:tr w:rsidR="00ED5CF6" w:rsidRPr="00806776" w:rsidTr="00A5702C">
        <w:trPr>
          <w:trHeight w:val="20"/>
        </w:trPr>
        <w:tc>
          <w:tcPr>
            <w:tcW w:w="392" w:type="dxa"/>
          </w:tcPr>
          <w:p w:rsidR="00ED5CF6" w:rsidRPr="00806776" w:rsidRDefault="00ED5CF6" w:rsidP="00D47860">
            <w:pPr>
              <w:pStyle w:val="a8"/>
              <w:numPr>
                <w:ilvl w:val="0"/>
                <w:numId w:val="8"/>
              </w:numPr>
              <w:spacing w:after="0" w:line="240" w:lineRule="auto"/>
              <w:ind w:left="0" w:firstLine="0"/>
            </w:pPr>
          </w:p>
        </w:tc>
        <w:tc>
          <w:tcPr>
            <w:tcW w:w="7796" w:type="dxa"/>
          </w:tcPr>
          <w:p w:rsidR="00ED5CF6" w:rsidRPr="00ED5CF6" w:rsidRDefault="00ED5CF6" w:rsidP="00ED5CF6">
            <w:pPr>
              <w:tabs>
                <w:tab w:val="left" w:pos="567"/>
              </w:tabs>
              <w:jc w:val="both"/>
              <w:rPr>
                <w:color w:val="000000"/>
              </w:rPr>
            </w:pPr>
            <w:r>
              <w:rPr>
                <w:color w:val="000000"/>
              </w:rPr>
              <w:tab/>
            </w:r>
            <w:r w:rsidRPr="002E75A3">
              <w:rPr>
                <w:color w:val="000000"/>
              </w:rPr>
              <w:t>Suplimentar proiectul în cauză, urmează a fi coordonat cu Confederația Națională a Patronatului din Republica Moldova și societatea civilă.</w:t>
            </w:r>
          </w:p>
        </w:tc>
        <w:tc>
          <w:tcPr>
            <w:tcW w:w="6541" w:type="dxa"/>
          </w:tcPr>
          <w:p w:rsidR="00E9678C" w:rsidRDefault="00E9678C" w:rsidP="00E9678C">
            <w:pPr>
              <w:pStyle w:val="a9"/>
              <w:jc w:val="both"/>
              <w:rPr>
                <w:b/>
              </w:rPr>
            </w:pPr>
            <w:r>
              <w:rPr>
                <w:b/>
              </w:rPr>
              <w:t>Se acceptă.</w:t>
            </w:r>
          </w:p>
          <w:p w:rsidR="00ED5CF6" w:rsidRPr="008D2EE9" w:rsidRDefault="00E9678C" w:rsidP="00E9678C">
            <w:pPr>
              <w:pStyle w:val="a9"/>
              <w:jc w:val="both"/>
              <w:rPr>
                <w:b/>
              </w:rPr>
            </w:pPr>
            <w:r>
              <w:t xml:space="preserve">Proiectul a fost </w:t>
            </w:r>
            <w:r w:rsidRPr="002E75A3">
              <w:rPr>
                <w:color w:val="000000"/>
              </w:rPr>
              <w:t>coordona</w:t>
            </w:r>
            <w:r>
              <w:rPr>
                <w:color w:val="000000"/>
              </w:rPr>
              <w:t>t</w:t>
            </w:r>
            <w:r w:rsidR="00616E16">
              <w:rPr>
                <w:color w:val="000000"/>
              </w:rPr>
              <w:t xml:space="preserve"> </w:t>
            </w:r>
            <w:r w:rsidR="00616E16" w:rsidRPr="002E75A3">
              <w:rPr>
                <w:color w:val="000000"/>
              </w:rPr>
              <w:t>cu Confederația Națională a Patronatului din Republica Moldova și societatea civilă</w:t>
            </w:r>
            <w:r w:rsidR="00616E16">
              <w:rPr>
                <w:color w:val="000000"/>
              </w:rPr>
              <w:t xml:space="preserve"> prin publicarea pentru consultări publice pe site-ul</w:t>
            </w:r>
            <w:r w:rsidR="00AE5DB6">
              <w:rPr>
                <w:color w:val="000000"/>
              </w:rPr>
              <w:t xml:space="preserve"> Ministerului Econ</w:t>
            </w:r>
            <w:r w:rsidR="005172E2">
              <w:rPr>
                <w:color w:val="000000"/>
              </w:rPr>
              <w:t>omiei şi</w:t>
            </w:r>
            <w:r w:rsidR="00616E16">
              <w:rPr>
                <w:color w:val="000000"/>
              </w:rPr>
              <w:t xml:space="preserve"> </w:t>
            </w:r>
            <w:r w:rsidR="00A25A7B" w:rsidRPr="00A25A7B">
              <w:rPr>
                <w:color w:val="000000"/>
              </w:rPr>
              <w:t>http://particip.gov.md/</w:t>
            </w:r>
            <w:r w:rsidR="00616E16" w:rsidRPr="002E75A3">
              <w:rPr>
                <w:color w:val="000000"/>
              </w:rPr>
              <w:t>.</w:t>
            </w:r>
          </w:p>
        </w:tc>
      </w:tr>
      <w:tr w:rsidR="003C1179" w:rsidRPr="00806776" w:rsidTr="001D374C">
        <w:trPr>
          <w:trHeight w:val="20"/>
        </w:trPr>
        <w:tc>
          <w:tcPr>
            <w:tcW w:w="392" w:type="dxa"/>
          </w:tcPr>
          <w:p w:rsidR="003C1179" w:rsidRPr="00806776" w:rsidRDefault="003C1179" w:rsidP="001D374C">
            <w:pPr>
              <w:pStyle w:val="a8"/>
              <w:spacing w:after="0" w:line="240" w:lineRule="auto"/>
              <w:ind w:left="0"/>
            </w:pPr>
          </w:p>
        </w:tc>
        <w:tc>
          <w:tcPr>
            <w:tcW w:w="7796" w:type="dxa"/>
          </w:tcPr>
          <w:p w:rsidR="003C1179" w:rsidRPr="00806776" w:rsidRDefault="003C1179" w:rsidP="001D374C">
            <w:pPr>
              <w:pStyle w:val="a9"/>
              <w:jc w:val="both"/>
              <w:rPr>
                <w:b/>
              </w:rPr>
            </w:pPr>
            <w:r w:rsidRPr="00806776">
              <w:rPr>
                <w:b/>
              </w:rPr>
              <w:t>Centrul Naţional Anticorupţie</w:t>
            </w:r>
          </w:p>
          <w:p w:rsidR="003C1179" w:rsidRPr="00806776" w:rsidRDefault="003C1179" w:rsidP="001D374C">
            <w:pPr>
              <w:pStyle w:val="a9"/>
              <w:jc w:val="both"/>
            </w:pPr>
            <w:r w:rsidRPr="00806776">
              <w:t>(nr.06/4270 din 05.11.2014)</w:t>
            </w:r>
          </w:p>
        </w:tc>
        <w:tc>
          <w:tcPr>
            <w:tcW w:w="6541" w:type="dxa"/>
          </w:tcPr>
          <w:p w:rsidR="003C1179" w:rsidRPr="00806776" w:rsidRDefault="003C1179" w:rsidP="001D374C">
            <w:pPr>
              <w:pStyle w:val="a9"/>
              <w:jc w:val="both"/>
            </w:pPr>
          </w:p>
        </w:tc>
      </w:tr>
      <w:tr w:rsidR="003C1179" w:rsidRPr="00806776" w:rsidTr="001D374C">
        <w:trPr>
          <w:trHeight w:val="20"/>
        </w:trPr>
        <w:tc>
          <w:tcPr>
            <w:tcW w:w="392" w:type="dxa"/>
          </w:tcPr>
          <w:p w:rsidR="003C1179" w:rsidRPr="00806776" w:rsidRDefault="003C1179" w:rsidP="001D374C">
            <w:pPr>
              <w:pStyle w:val="a8"/>
              <w:numPr>
                <w:ilvl w:val="0"/>
                <w:numId w:val="8"/>
              </w:numPr>
              <w:spacing w:after="0" w:line="240" w:lineRule="auto"/>
              <w:ind w:left="0" w:firstLine="0"/>
            </w:pPr>
          </w:p>
        </w:tc>
        <w:tc>
          <w:tcPr>
            <w:tcW w:w="7796" w:type="dxa"/>
          </w:tcPr>
          <w:p w:rsidR="003C1179" w:rsidRPr="00806776" w:rsidRDefault="003C1179" w:rsidP="001D374C">
            <w:pPr>
              <w:autoSpaceDE w:val="0"/>
              <w:autoSpaceDN w:val="0"/>
              <w:adjustRightInd w:val="0"/>
              <w:rPr>
                <w:rFonts w:eastAsia="Arial-BoldMT"/>
                <w:b/>
                <w:bCs/>
              </w:rPr>
            </w:pPr>
            <w:r w:rsidRPr="00806776">
              <w:rPr>
                <w:rFonts w:eastAsia="Arial-BoldMT"/>
                <w:b/>
                <w:bCs/>
              </w:rPr>
              <w:tab/>
              <w:t xml:space="preserve">Pct. 2 al proiectului, în redacţia prezentată de către autor: "Ministerele, alte autorităţi administrative centrale, autorităţile administrative autonome cu atribuţii în domeniul reglementării activităţii de întreprinzător, separat sau în colaborare cu alte instituţii, vor efectua anual evaluări ale principalelor domenii de reglementare, </w:t>
            </w:r>
            <w:proofErr w:type="spellStart"/>
            <w:r w:rsidRPr="00806776">
              <w:rPr>
                <w:rFonts w:eastAsia="Arial-BoldMT"/>
                <w:b/>
                <w:bCs/>
              </w:rPr>
              <w:t>aplicînd</w:t>
            </w:r>
            <w:proofErr w:type="spellEnd"/>
            <w:r w:rsidRPr="00806776">
              <w:rPr>
                <w:rFonts w:eastAsia="Arial-BoldMT"/>
                <w:b/>
                <w:bCs/>
              </w:rPr>
              <w:t xml:space="preserve"> </w:t>
            </w:r>
            <w:r w:rsidRPr="00806776">
              <w:rPr>
                <w:rFonts w:eastAsia="Arial-BoldMT"/>
                <w:b/>
                <w:bCs/>
              </w:rPr>
              <w:lastRenderedPageBreak/>
              <w:t>Modelul Costului Standard, vor prezenta Ministerului Economiei evaluările efectuate şi vor înainta Guvernului propuneri de reducere a costurilor administrative".</w:t>
            </w:r>
          </w:p>
          <w:p w:rsidR="003C1179" w:rsidRPr="00806776" w:rsidRDefault="003C1179" w:rsidP="001D374C">
            <w:pPr>
              <w:autoSpaceDE w:val="0"/>
              <w:autoSpaceDN w:val="0"/>
              <w:adjustRightInd w:val="0"/>
              <w:rPr>
                <w:rFonts w:eastAsia="ArialMT"/>
              </w:rPr>
            </w:pPr>
            <w:r w:rsidRPr="00806776">
              <w:rPr>
                <w:rFonts w:eastAsia="ArialMT"/>
              </w:rPr>
              <w:tab/>
              <w:t xml:space="preserve">Menţionăm faptul că reglementările statuate sunt insuficiente întru organizarea desfăşurării fiabile a procesului anual de evaluare a domeniilor de reglementare de către autorităţi </w:t>
            </w:r>
            <w:proofErr w:type="spellStart"/>
            <w:r w:rsidRPr="00806776">
              <w:rPr>
                <w:rFonts w:eastAsia="ArialMT"/>
              </w:rPr>
              <w:t>aplicînd</w:t>
            </w:r>
            <w:proofErr w:type="spellEnd"/>
            <w:r w:rsidRPr="00806776">
              <w:rPr>
                <w:rFonts w:eastAsia="ArialMT"/>
              </w:rPr>
              <w:t xml:space="preserve"> Modelul Costului Standard.</w:t>
            </w:r>
          </w:p>
          <w:p w:rsidR="003C1179" w:rsidRPr="00806776" w:rsidRDefault="003C1179" w:rsidP="001D374C">
            <w:pPr>
              <w:rPr>
                <w:rFonts w:eastAsia="ArialMT"/>
              </w:rPr>
            </w:pPr>
            <w:r w:rsidRPr="00806776">
              <w:rPr>
                <w:rFonts w:eastAsia="ArialMT"/>
              </w:rPr>
              <w:tab/>
              <w:t>Redacţia prezentată nu stabileşte termenul calendaristic concret de prezentare Ministerului Economiei şi Guvernului, rezultatele procesului de evaluare anuală/propunerile privind reducerea cheltuielilor administrative .</w:t>
            </w:r>
          </w:p>
          <w:p w:rsidR="003C1179" w:rsidRPr="00806776" w:rsidRDefault="003C1179" w:rsidP="001D374C">
            <w:pPr>
              <w:autoSpaceDE w:val="0"/>
              <w:autoSpaceDN w:val="0"/>
              <w:adjustRightInd w:val="0"/>
              <w:rPr>
                <w:rFonts w:eastAsia="ArialMT"/>
              </w:rPr>
            </w:pPr>
            <w:r w:rsidRPr="00806776">
              <w:rPr>
                <w:rFonts w:eastAsia="ArialMT"/>
              </w:rPr>
              <w:t>În acest context accentuăm că la elaborarea proiectului de act normativ, autorul, inter alia, trebuie să asigure că reglementările propuse, dispun de suficientă precizie şi oferă o anumită garanţie contra exercitării arbitrare a prerogativelor puterii publice de către autorităţile administraţiei publice. Totodată, remarcăm faptul că lipsa unor termeni clari pentru luarea deciziilor creează oportunităţi autorităţii pentru stabilirea termenilor la propria sa discreţie.</w:t>
            </w:r>
          </w:p>
          <w:p w:rsidR="003C1179" w:rsidRPr="00806776" w:rsidRDefault="003C1179" w:rsidP="001D374C">
            <w:pPr>
              <w:autoSpaceDE w:val="0"/>
              <w:autoSpaceDN w:val="0"/>
              <w:adjustRightInd w:val="0"/>
              <w:rPr>
                <w:rFonts w:eastAsia="ArialMT"/>
              </w:rPr>
            </w:pPr>
            <w:r w:rsidRPr="00806776">
              <w:rPr>
                <w:rFonts w:eastAsia="ArialMT"/>
              </w:rPr>
              <w:tab/>
              <w:t>Prin urmare, menţionăm faptul că redacţia propusă creează precondiţ</w:t>
            </w:r>
            <w:r>
              <w:rPr>
                <w:rFonts w:eastAsia="ArialMT"/>
              </w:rPr>
              <w:t>ii</w:t>
            </w:r>
            <w:r w:rsidRPr="00806776">
              <w:rPr>
                <w:rFonts w:eastAsia="ArialMT"/>
              </w:rPr>
              <w:t xml:space="preserve"> pentru o interpretare discreţionară a normei de către autorităţile ce exercită atribuţii în domeniul reglementării activităţii de întreprinzător, astfel fiind periclitată stabilitatea regulilor instituite şi realizarea scopului propriu-zis a normei juridice – identificarea costurilor administrative majore, irelevante şi reducerea acestora.</w:t>
            </w:r>
          </w:p>
          <w:p w:rsidR="003C1179" w:rsidRPr="00806776" w:rsidRDefault="003C1179" w:rsidP="001D374C">
            <w:pPr>
              <w:autoSpaceDE w:val="0"/>
              <w:autoSpaceDN w:val="0"/>
              <w:adjustRightInd w:val="0"/>
            </w:pPr>
            <w:r w:rsidRPr="00806776">
              <w:rPr>
                <w:rFonts w:eastAsia="Arial-BoldItalicMT"/>
                <w:b/>
                <w:bCs/>
                <w:i/>
                <w:iCs/>
              </w:rPr>
              <w:tab/>
              <w:t>Recomandarea: În acest context, se recomandă autorului revizuirea redacţiei normei prin prisma celor sus-menţionate în sensul stabilirii termenului calendaristic concret de prezentare a rezultatelor procesului de evaluare anuală/propunerile privind reducerea cheltuielilor administrative în adresa Ministerului Economiei şi Guvernului.</w:t>
            </w:r>
          </w:p>
        </w:tc>
        <w:tc>
          <w:tcPr>
            <w:tcW w:w="6541" w:type="dxa"/>
          </w:tcPr>
          <w:p w:rsidR="003C1179" w:rsidRPr="008D2EE9" w:rsidRDefault="003C1179" w:rsidP="001D374C">
            <w:pPr>
              <w:pStyle w:val="a9"/>
              <w:jc w:val="both"/>
              <w:rPr>
                <w:b/>
              </w:rPr>
            </w:pPr>
            <w:r w:rsidRPr="008D2EE9">
              <w:rPr>
                <w:b/>
              </w:rPr>
              <w:lastRenderedPageBreak/>
              <w:t>Se acceptă.</w:t>
            </w:r>
          </w:p>
          <w:p w:rsidR="003C1179" w:rsidRDefault="003C1179" w:rsidP="001D374C">
            <w:pPr>
              <w:pStyle w:val="a9"/>
              <w:jc w:val="both"/>
            </w:pPr>
            <w:r>
              <w:t xml:space="preserve">Pct.2 al proiectului de </w:t>
            </w:r>
            <w:proofErr w:type="spellStart"/>
            <w:r>
              <w:t>hotărîre</w:t>
            </w:r>
            <w:proofErr w:type="spellEnd"/>
            <w:r>
              <w:t xml:space="preserve"> a fost expus în redacţia:</w:t>
            </w:r>
          </w:p>
          <w:p w:rsidR="00304747" w:rsidRDefault="003C1179" w:rsidP="00304747">
            <w:pPr>
              <w:pStyle w:val="a9"/>
              <w:jc w:val="both"/>
            </w:pPr>
            <w:r>
              <w:tab/>
              <w:t>„</w:t>
            </w:r>
            <w:r w:rsidR="00304747">
              <w:t xml:space="preserve">2. Ministerele, alte autorităţi administrative centrale subordonate Guvernului și autorităţile administrative autonome faţă de Guvern cu atribuţii în domeniul reglementării activităţii </w:t>
            </w:r>
            <w:r w:rsidR="00304747">
              <w:lastRenderedPageBreak/>
              <w:t>de întreprinzător, separat sau în colaborare cu alte instituţii:</w:t>
            </w:r>
          </w:p>
          <w:p w:rsidR="00304747" w:rsidRDefault="00304747" w:rsidP="00304747">
            <w:pPr>
              <w:pStyle w:val="a9"/>
              <w:jc w:val="both"/>
            </w:pPr>
            <w:r>
              <w:tab/>
              <w:t xml:space="preserve">1) vor efectua anual, într-un termen de 2 luni de la data stabilită printr-o indicaţie a Guvernului, evaluări ale principalelor domenii de reglementare, </w:t>
            </w:r>
            <w:proofErr w:type="spellStart"/>
            <w:r>
              <w:t>aplicînd</w:t>
            </w:r>
            <w:proofErr w:type="spellEnd"/>
            <w:r>
              <w:t xml:space="preserve"> Modelul Costului Standard, pe care le vor prezenta Ministerului Economiei pentru consultare şi monitorizare.</w:t>
            </w:r>
          </w:p>
          <w:p w:rsidR="00304747" w:rsidRDefault="00304747" w:rsidP="00304747">
            <w:pPr>
              <w:pStyle w:val="a9"/>
              <w:jc w:val="both"/>
            </w:pPr>
            <w:r>
              <w:tab/>
              <w:t>2) vor publica, în termen de 5 zile de la data efectuării evaluărilor, rezultatele acestora pe paginile web oficiale ale autorităţilor;</w:t>
            </w:r>
          </w:p>
          <w:p w:rsidR="003C1179" w:rsidRPr="00806776" w:rsidRDefault="00304747" w:rsidP="00304747">
            <w:pPr>
              <w:pStyle w:val="a9"/>
              <w:jc w:val="both"/>
            </w:pPr>
            <w:r>
              <w:tab/>
              <w:t xml:space="preserve">3) vor înainta, în termen de o lună de la data efectuării evaluărilor,  în adresa Guvernului, inclusiv în copie pentru monitorizare Ministerului Economiei, propuneri privind ajustarea cadrului normativ pentru reducerea </w:t>
            </w:r>
            <w:r>
              <w:t>costurilor administrative</w:t>
            </w:r>
            <w:r w:rsidR="003C1179" w:rsidRPr="00504C6D">
              <w:t>”.</w:t>
            </w:r>
          </w:p>
        </w:tc>
      </w:tr>
      <w:tr w:rsidR="00C537B4" w:rsidRPr="00806776" w:rsidTr="00A5702C">
        <w:trPr>
          <w:trHeight w:val="20"/>
        </w:trPr>
        <w:tc>
          <w:tcPr>
            <w:tcW w:w="392" w:type="dxa"/>
          </w:tcPr>
          <w:p w:rsidR="00C537B4" w:rsidRPr="00806776" w:rsidRDefault="00C537B4" w:rsidP="00D47860">
            <w:pPr>
              <w:pStyle w:val="a8"/>
              <w:numPr>
                <w:ilvl w:val="0"/>
                <w:numId w:val="8"/>
              </w:numPr>
              <w:spacing w:after="0" w:line="240" w:lineRule="auto"/>
              <w:ind w:left="0" w:firstLine="0"/>
            </w:pPr>
          </w:p>
        </w:tc>
        <w:tc>
          <w:tcPr>
            <w:tcW w:w="7796" w:type="dxa"/>
          </w:tcPr>
          <w:p w:rsidR="00C537B4" w:rsidRPr="00806776" w:rsidRDefault="00C537B4" w:rsidP="00D47860">
            <w:pPr>
              <w:autoSpaceDE w:val="0"/>
              <w:autoSpaceDN w:val="0"/>
              <w:adjustRightInd w:val="0"/>
              <w:rPr>
                <w:rFonts w:eastAsia="ArialMT"/>
              </w:rPr>
            </w:pPr>
            <w:r w:rsidRPr="00806776">
              <w:rPr>
                <w:rFonts w:eastAsia="ArialMT"/>
              </w:rPr>
              <w:tab/>
            </w:r>
            <w:proofErr w:type="spellStart"/>
            <w:r w:rsidRPr="00806776">
              <w:rPr>
                <w:rFonts w:eastAsia="ArialMT"/>
              </w:rPr>
              <w:t>Analizînd</w:t>
            </w:r>
            <w:proofErr w:type="spellEnd"/>
            <w:r w:rsidRPr="00806776">
              <w:rPr>
                <w:rFonts w:eastAsia="ArialMT"/>
              </w:rPr>
              <w:t xml:space="preserve"> proiectul înaintat constatăm lipsa normelor ce ar reglementa transparenţa procesului anual de evaluare a domeniilor de reglementare desfăşurat de către autorităţi.</w:t>
            </w:r>
          </w:p>
          <w:p w:rsidR="00C537B4" w:rsidRPr="00806776" w:rsidRDefault="00C537B4" w:rsidP="00D47860">
            <w:pPr>
              <w:autoSpaceDE w:val="0"/>
              <w:autoSpaceDN w:val="0"/>
              <w:adjustRightInd w:val="0"/>
              <w:rPr>
                <w:rFonts w:eastAsia="ArialMT"/>
              </w:rPr>
            </w:pPr>
            <w:r w:rsidRPr="00806776">
              <w:rPr>
                <w:rFonts w:eastAsia="ArialMT"/>
              </w:rPr>
              <w:tab/>
              <w:t>Totodată, remarcăm faptul că rezultatele procesului de evaluare a cheltuielilor administrative suportate de către agenţii economici constituie temei pentru elaborarea şi promovarea amendamentelor la cadrul normativ în vigoare ce reglementează cheltuielile administrative.</w:t>
            </w:r>
          </w:p>
          <w:p w:rsidR="00C537B4" w:rsidRPr="00806776" w:rsidRDefault="00C537B4" w:rsidP="00D47860">
            <w:pPr>
              <w:autoSpaceDE w:val="0"/>
              <w:autoSpaceDN w:val="0"/>
              <w:adjustRightInd w:val="0"/>
              <w:rPr>
                <w:rFonts w:eastAsia="ArialMT"/>
              </w:rPr>
            </w:pPr>
            <w:r w:rsidRPr="00806776">
              <w:rPr>
                <w:rFonts w:eastAsia="ArialMT"/>
              </w:rPr>
              <w:tab/>
              <w:t xml:space="preserve">Prin urmare, în contextul principiilor transparenţei decizionale şi transparenţei reglementării activităţii de întreprinzător statuate de Legea nr.235-XVI din 20 iulie 2006 cu privire la principiile de bază de reglementare a activităţii de întreprinzător, considerăm oportună stabilirea unor prevederi ce </w:t>
            </w:r>
            <w:r w:rsidRPr="00806776">
              <w:rPr>
                <w:rFonts w:eastAsia="ArialMT"/>
              </w:rPr>
              <w:lastRenderedPageBreak/>
              <w:t>ar evidenţia obligativitatea autorităţilor de a supune publicităţii concluziile elaborate în rezultatul evaluării cheltuielilor administrative suportate de către agenţii economici. Astfel, rezultatele respective, subsidiar prezentării în adresa Ministerului Economiei, urmează a fi plasate pe pagina web a autorităţii administraţiei publice.</w:t>
            </w:r>
          </w:p>
          <w:p w:rsidR="00C537B4" w:rsidRPr="008E0E0C" w:rsidRDefault="00C537B4" w:rsidP="00D47860">
            <w:pPr>
              <w:autoSpaceDE w:val="0"/>
              <w:autoSpaceDN w:val="0"/>
              <w:adjustRightInd w:val="0"/>
              <w:rPr>
                <w:rFonts w:eastAsia="ArialMT"/>
              </w:rPr>
            </w:pPr>
            <w:r w:rsidRPr="00806776">
              <w:rPr>
                <w:rFonts w:eastAsia="ArialMT"/>
              </w:rPr>
              <w:tab/>
              <w:t xml:space="preserve">În acest mod, </w:t>
            </w:r>
            <w:proofErr w:type="spellStart"/>
            <w:r w:rsidRPr="00806776">
              <w:rPr>
                <w:rFonts w:eastAsia="ArialMT"/>
              </w:rPr>
              <w:t>atît</w:t>
            </w:r>
            <w:proofErr w:type="spellEnd"/>
            <w:r w:rsidRPr="00806776">
              <w:rPr>
                <w:rFonts w:eastAsia="ArialMT"/>
              </w:rPr>
              <w:t xml:space="preserve"> Ministerul Economiei, </w:t>
            </w:r>
            <w:proofErr w:type="spellStart"/>
            <w:r w:rsidRPr="00806776">
              <w:rPr>
                <w:rFonts w:eastAsia="ArialMT"/>
              </w:rPr>
              <w:t>cît</w:t>
            </w:r>
            <w:proofErr w:type="spellEnd"/>
            <w:r w:rsidRPr="00806776">
              <w:rPr>
                <w:rFonts w:eastAsia="ArialMT"/>
              </w:rPr>
              <w:t xml:space="preserve"> şi societatea civilă vor fi informate cu privire la acţiunile întreprinse de către toate autorităţile ce exercită atribuţii în domeniul reglementării activităţii de întreprinzător, pe parcursul perioadei de referinţă, rezultatele examinării activităţilor administrative vizate de MCS, etc. Aceste măsuri se impun în special prin prisma raportării la prevederile actelor normative internaţionale (Convenţia Organizaţiei Naţiunilor Unite împotriva corupţiei, ratificată de Republica Moldova prin Legea nr.158-XVI din 06.07.2007).</w:t>
            </w:r>
          </w:p>
        </w:tc>
        <w:tc>
          <w:tcPr>
            <w:tcW w:w="6541" w:type="dxa"/>
          </w:tcPr>
          <w:p w:rsidR="00C537B4" w:rsidRPr="008D2EE9" w:rsidRDefault="00C537B4" w:rsidP="00D47860">
            <w:pPr>
              <w:pStyle w:val="a9"/>
              <w:jc w:val="both"/>
              <w:rPr>
                <w:b/>
              </w:rPr>
            </w:pPr>
            <w:r w:rsidRPr="008D2EE9">
              <w:rPr>
                <w:b/>
              </w:rPr>
              <w:lastRenderedPageBreak/>
              <w:t>Se acceptă.</w:t>
            </w:r>
          </w:p>
          <w:p w:rsidR="00C537B4" w:rsidRDefault="00C537B4" w:rsidP="00D47860">
            <w:pPr>
              <w:pStyle w:val="a9"/>
              <w:jc w:val="both"/>
            </w:pPr>
            <w:r>
              <w:t xml:space="preserve">Pct.2 al proiectului de </w:t>
            </w:r>
            <w:proofErr w:type="spellStart"/>
            <w:r>
              <w:t>hotărîre</w:t>
            </w:r>
            <w:proofErr w:type="spellEnd"/>
            <w:r>
              <w:t xml:space="preserve"> a fost completat cu prevederea:</w:t>
            </w:r>
          </w:p>
          <w:p w:rsidR="00342409" w:rsidRDefault="00342409" w:rsidP="00342409">
            <w:pPr>
              <w:pStyle w:val="a9"/>
              <w:jc w:val="both"/>
            </w:pPr>
            <w:r>
              <w:tab/>
            </w:r>
            <w:r>
              <w:t>„2. Ministerele, alte autorităţi administrative centrale subordonate Guvernului și autorităţile administrative autonome faţă de Guvern cu atribuţii în domeniul reglementării activităţii de întreprinzător, separat sau în colaborare cu alte instituţii:</w:t>
            </w:r>
          </w:p>
          <w:p w:rsidR="00C537B4" w:rsidRPr="00806776" w:rsidRDefault="00342409" w:rsidP="00342409">
            <w:pPr>
              <w:pStyle w:val="a9"/>
              <w:jc w:val="both"/>
            </w:pPr>
            <w:r>
              <w:tab/>
              <w:t>2) vor publica, în termen de 5 zile de la data efectuării evaluărilor, rezultatele acestora pe paginile web oficiale ale autorităţilor;</w:t>
            </w:r>
            <w:r>
              <w:t>”.</w:t>
            </w:r>
          </w:p>
        </w:tc>
      </w:tr>
      <w:tr w:rsidR="00C537B4" w:rsidRPr="00806776" w:rsidTr="00A5702C">
        <w:trPr>
          <w:trHeight w:val="20"/>
        </w:trPr>
        <w:tc>
          <w:tcPr>
            <w:tcW w:w="392" w:type="dxa"/>
          </w:tcPr>
          <w:p w:rsidR="00C537B4" w:rsidRPr="00806776" w:rsidRDefault="00C537B4" w:rsidP="00D47860">
            <w:pPr>
              <w:pStyle w:val="a8"/>
              <w:numPr>
                <w:ilvl w:val="0"/>
                <w:numId w:val="8"/>
              </w:numPr>
              <w:spacing w:after="0" w:line="240" w:lineRule="auto"/>
              <w:ind w:left="0" w:firstLine="0"/>
            </w:pPr>
          </w:p>
        </w:tc>
        <w:tc>
          <w:tcPr>
            <w:tcW w:w="7796" w:type="dxa"/>
          </w:tcPr>
          <w:p w:rsidR="00C537B4" w:rsidRPr="00806776" w:rsidRDefault="00C537B4" w:rsidP="00D47860">
            <w:pPr>
              <w:autoSpaceDE w:val="0"/>
              <w:autoSpaceDN w:val="0"/>
              <w:adjustRightInd w:val="0"/>
            </w:pPr>
            <w:r w:rsidRPr="00806776">
              <w:rPr>
                <w:rFonts w:eastAsia="ArialMT"/>
              </w:rPr>
              <w:tab/>
              <w:t>În aceeaşi ordine de idei, în vederea exercitării corespunzătoare a atribuţiei de monitorizare a eficienţei aplicării Modelului Costului Standard, urmează a fi reglementată obligaţia Ministerului Economiei privind elaborarea şi publicarea pe pagina sa web, a unor rapoarte periodice privind aplicarea MCS de către autorităţi. Raportul în speţă va constitui finalitatea logică a procesului de monitorizare şi urmează a fi perceput drept un indice de performanţă a autorităţii. Acesta va reprezenta nivelul de executare per general a Metodologiei de către autorităţi şi de realizare a obiectivului general trasat de către aceasta – reducerea cheltuielilor administrative suportate de către agenţii economici.</w:t>
            </w:r>
          </w:p>
          <w:p w:rsidR="00C537B4" w:rsidRPr="00806776" w:rsidRDefault="00C537B4" w:rsidP="00D47860">
            <w:pPr>
              <w:autoSpaceDE w:val="0"/>
              <w:autoSpaceDN w:val="0"/>
              <w:adjustRightInd w:val="0"/>
              <w:rPr>
                <w:rFonts w:eastAsia="ArialMT"/>
              </w:rPr>
            </w:pPr>
          </w:p>
        </w:tc>
        <w:tc>
          <w:tcPr>
            <w:tcW w:w="6541" w:type="dxa"/>
          </w:tcPr>
          <w:p w:rsidR="00C537B4" w:rsidRDefault="00C537B4" w:rsidP="00D47860">
            <w:pPr>
              <w:pStyle w:val="a9"/>
              <w:jc w:val="both"/>
              <w:rPr>
                <w:b/>
              </w:rPr>
            </w:pPr>
            <w:r>
              <w:rPr>
                <w:b/>
              </w:rPr>
              <w:t>Se acceptă.</w:t>
            </w:r>
          </w:p>
          <w:p w:rsidR="00C537B4" w:rsidRDefault="00C537B4" w:rsidP="00D47860">
            <w:pPr>
              <w:pStyle w:val="a9"/>
              <w:jc w:val="both"/>
            </w:pPr>
            <w:r>
              <w:t xml:space="preserve">Pct.3 al proiectului de </w:t>
            </w:r>
            <w:proofErr w:type="spellStart"/>
            <w:r>
              <w:t>hotărîre</w:t>
            </w:r>
            <w:proofErr w:type="spellEnd"/>
            <w:r>
              <w:t xml:space="preserve"> a fost completat cu prevederea:</w:t>
            </w:r>
          </w:p>
          <w:p w:rsidR="00C537B4" w:rsidRDefault="00C537B4" w:rsidP="00D47860">
            <w:pPr>
              <w:pStyle w:val="a9"/>
              <w:jc w:val="both"/>
            </w:pPr>
            <w:r>
              <w:tab/>
              <w:t>„3. Ministerul Economiei:</w:t>
            </w:r>
          </w:p>
          <w:p w:rsidR="00C537B4" w:rsidRDefault="00C537B4" w:rsidP="00D47860">
            <w:pPr>
              <w:pStyle w:val="a9"/>
              <w:jc w:val="both"/>
            </w:pPr>
            <w:r>
              <w:tab/>
            </w:r>
            <w:r w:rsidR="00695383">
              <w:t xml:space="preserve">2) </w:t>
            </w:r>
            <w:r>
              <w:t xml:space="preserve">va publica </w:t>
            </w:r>
            <w:r w:rsidR="00695383">
              <w:t>anual</w:t>
            </w:r>
            <w:r>
              <w:t xml:space="preserve"> pe pagina web oficială a ministerului rapoarte privind aplicarea Modelului Costului Standard de către autorităţi;”.</w:t>
            </w:r>
          </w:p>
          <w:p w:rsidR="00C537B4" w:rsidRPr="008E0E0C" w:rsidRDefault="00C537B4" w:rsidP="00D47860">
            <w:pPr>
              <w:pStyle w:val="a9"/>
              <w:jc w:val="both"/>
            </w:pPr>
          </w:p>
        </w:tc>
      </w:tr>
      <w:tr w:rsidR="00F878A8" w:rsidRPr="00806776" w:rsidTr="00A5702C">
        <w:trPr>
          <w:trHeight w:val="20"/>
        </w:trPr>
        <w:tc>
          <w:tcPr>
            <w:tcW w:w="392" w:type="dxa"/>
          </w:tcPr>
          <w:p w:rsidR="00F878A8" w:rsidRPr="00806776" w:rsidRDefault="00F878A8" w:rsidP="00F878A8">
            <w:pPr>
              <w:pStyle w:val="a8"/>
              <w:spacing w:after="0" w:line="240" w:lineRule="auto"/>
              <w:ind w:left="0"/>
            </w:pPr>
          </w:p>
        </w:tc>
        <w:tc>
          <w:tcPr>
            <w:tcW w:w="7796" w:type="dxa"/>
          </w:tcPr>
          <w:p w:rsidR="00F878A8" w:rsidRPr="00806776" w:rsidRDefault="00F878A8" w:rsidP="00D47860">
            <w:pPr>
              <w:autoSpaceDE w:val="0"/>
              <w:autoSpaceDN w:val="0"/>
              <w:adjustRightInd w:val="0"/>
              <w:rPr>
                <w:rFonts w:eastAsia="ArialMT"/>
              </w:rPr>
            </w:pPr>
          </w:p>
        </w:tc>
        <w:tc>
          <w:tcPr>
            <w:tcW w:w="6541" w:type="dxa"/>
          </w:tcPr>
          <w:p w:rsidR="00F878A8" w:rsidRDefault="00F878A8" w:rsidP="00D47860">
            <w:pPr>
              <w:pStyle w:val="a9"/>
              <w:jc w:val="both"/>
              <w:rPr>
                <w:b/>
              </w:rPr>
            </w:pPr>
          </w:p>
        </w:tc>
      </w:tr>
      <w:tr w:rsidR="00C42F2B" w:rsidRPr="00806776" w:rsidTr="00A5702C">
        <w:trPr>
          <w:trHeight w:val="20"/>
        </w:trPr>
        <w:tc>
          <w:tcPr>
            <w:tcW w:w="392" w:type="dxa"/>
          </w:tcPr>
          <w:p w:rsidR="00C42F2B" w:rsidRPr="00806776" w:rsidRDefault="00C42F2B" w:rsidP="00C67AA8">
            <w:pPr>
              <w:pStyle w:val="a8"/>
              <w:spacing w:after="0" w:line="240" w:lineRule="auto"/>
              <w:ind w:left="0"/>
            </w:pPr>
          </w:p>
        </w:tc>
        <w:tc>
          <w:tcPr>
            <w:tcW w:w="7796" w:type="dxa"/>
          </w:tcPr>
          <w:p w:rsidR="00AA1E2C" w:rsidRPr="00806776" w:rsidRDefault="00AA1E2C" w:rsidP="00897BB0">
            <w:pPr>
              <w:pStyle w:val="a9"/>
              <w:jc w:val="both"/>
              <w:rPr>
                <w:b/>
              </w:rPr>
            </w:pPr>
            <w:r w:rsidRPr="00806776">
              <w:rPr>
                <w:b/>
              </w:rPr>
              <w:t>Ministerul Finanţelor</w:t>
            </w:r>
          </w:p>
          <w:p w:rsidR="00195F41" w:rsidRPr="00806776" w:rsidRDefault="004C2021" w:rsidP="004C2021">
            <w:pPr>
              <w:jc w:val="both"/>
            </w:pPr>
            <w:r w:rsidRPr="00806776">
              <w:t>(nr.</w:t>
            </w:r>
            <w:r>
              <w:t>11/1-2-09/5380 din 10.12.2014</w:t>
            </w:r>
            <w:r w:rsidRPr="00806776">
              <w:t>)</w:t>
            </w:r>
          </w:p>
        </w:tc>
        <w:tc>
          <w:tcPr>
            <w:tcW w:w="6541" w:type="dxa"/>
          </w:tcPr>
          <w:p w:rsidR="00C42F2B" w:rsidRPr="00806776" w:rsidRDefault="00C42F2B" w:rsidP="00897BB0">
            <w:pPr>
              <w:pStyle w:val="a9"/>
              <w:jc w:val="both"/>
              <w:rPr>
                <w:b/>
              </w:rPr>
            </w:pPr>
          </w:p>
        </w:tc>
      </w:tr>
      <w:tr w:rsidR="00C67AA8" w:rsidRPr="00806776" w:rsidTr="00A5702C">
        <w:trPr>
          <w:trHeight w:val="20"/>
        </w:trPr>
        <w:tc>
          <w:tcPr>
            <w:tcW w:w="392" w:type="dxa"/>
          </w:tcPr>
          <w:p w:rsidR="00C67AA8" w:rsidRPr="00806776" w:rsidRDefault="00C67AA8" w:rsidP="0054136A">
            <w:pPr>
              <w:pStyle w:val="a8"/>
              <w:numPr>
                <w:ilvl w:val="0"/>
                <w:numId w:val="8"/>
              </w:numPr>
              <w:spacing w:after="0" w:line="240" w:lineRule="auto"/>
              <w:ind w:left="0" w:firstLine="0"/>
            </w:pPr>
          </w:p>
        </w:tc>
        <w:tc>
          <w:tcPr>
            <w:tcW w:w="7796" w:type="dxa"/>
          </w:tcPr>
          <w:p w:rsidR="00C67AA8" w:rsidRPr="00806776" w:rsidRDefault="004C2021" w:rsidP="00897BB0">
            <w:pPr>
              <w:pStyle w:val="a9"/>
              <w:jc w:val="both"/>
            </w:pPr>
            <w:r w:rsidRPr="00806776">
              <w:t>Au comunicat lipsă de propuneri şi obiecţii.</w:t>
            </w:r>
          </w:p>
        </w:tc>
        <w:tc>
          <w:tcPr>
            <w:tcW w:w="6541" w:type="dxa"/>
          </w:tcPr>
          <w:p w:rsidR="005D35F2" w:rsidRPr="00806776" w:rsidRDefault="005D35F2" w:rsidP="00C537B4">
            <w:pPr>
              <w:pStyle w:val="a9"/>
              <w:jc w:val="both"/>
            </w:pPr>
          </w:p>
        </w:tc>
      </w:tr>
      <w:tr w:rsidR="00C67AA8" w:rsidRPr="00806776" w:rsidTr="00A5702C">
        <w:trPr>
          <w:trHeight w:val="20"/>
        </w:trPr>
        <w:tc>
          <w:tcPr>
            <w:tcW w:w="392" w:type="dxa"/>
          </w:tcPr>
          <w:p w:rsidR="00C67AA8" w:rsidRPr="00806776" w:rsidRDefault="00C67AA8" w:rsidP="00AA1E2C">
            <w:pPr>
              <w:pStyle w:val="a8"/>
              <w:spacing w:after="0" w:line="240" w:lineRule="auto"/>
              <w:ind w:left="0"/>
            </w:pPr>
          </w:p>
        </w:tc>
        <w:tc>
          <w:tcPr>
            <w:tcW w:w="7796" w:type="dxa"/>
          </w:tcPr>
          <w:p w:rsidR="00C67AA8" w:rsidRPr="00806776" w:rsidRDefault="00AA1E2C" w:rsidP="00897BB0">
            <w:pPr>
              <w:jc w:val="both"/>
              <w:rPr>
                <w:b/>
              </w:rPr>
            </w:pPr>
            <w:r w:rsidRPr="00806776">
              <w:rPr>
                <w:b/>
              </w:rPr>
              <w:t>Ministerul Agriculturii şi Industriei Alimentare</w:t>
            </w:r>
          </w:p>
          <w:p w:rsidR="00CE212D" w:rsidRPr="00806776" w:rsidRDefault="00CE212D" w:rsidP="00897BB0">
            <w:pPr>
              <w:jc w:val="both"/>
            </w:pPr>
            <w:r w:rsidRPr="00806776">
              <w:t>(nr.</w:t>
            </w:r>
            <w:r w:rsidR="00325919" w:rsidRPr="00806776">
              <w:t>14/4-4988 din 01.10.2014)</w:t>
            </w:r>
          </w:p>
        </w:tc>
        <w:tc>
          <w:tcPr>
            <w:tcW w:w="6541" w:type="dxa"/>
          </w:tcPr>
          <w:p w:rsidR="00C67AA8" w:rsidRPr="00806776" w:rsidRDefault="00C67AA8" w:rsidP="00897BB0">
            <w:pPr>
              <w:pStyle w:val="a9"/>
              <w:jc w:val="both"/>
              <w:rPr>
                <w:b/>
              </w:rPr>
            </w:pPr>
          </w:p>
        </w:tc>
      </w:tr>
      <w:tr w:rsidR="0054136A" w:rsidRPr="00806776" w:rsidTr="00A5702C">
        <w:trPr>
          <w:trHeight w:val="20"/>
        </w:trPr>
        <w:tc>
          <w:tcPr>
            <w:tcW w:w="392" w:type="dxa"/>
          </w:tcPr>
          <w:p w:rsidR="0054136A" w:rsidRPr="00806776" w:rsidRDefault="0054136A" w:rsidP="0054136A">
            <w:pPr>
              <w:pStyle w:val="a8"/>
              <w:numPr>
                <w:ilvl w:val="0"/>
                <w:numId w:val="8"/>
              </w:numPr>
              <w:spacing w:after="0" w:line="240" w:lineRule="auto"/>
              <w:ind w:left="0" w:firstLine="0"/>
            </w:pPr>
          </w:p>
        </w:tc>
        <w:tc>
          <w:tcPr>
            <w:tcW w:w="7796" w:type="dxa"/>
          </w:tcPr>
          <w:p w:rsidR="0054136A" w:rsidRPr="00806776" w:rsidRDefault="00866BE0" w:rsidP="00897BB0">
            <w:pPr>
              <w:jc w:val="both"/>
            </w:pPr>
            <w:r w:rsidRPr="00806776">
              <w:t>Au comunicat lipsă de propuneri şi obiecţii.</w:t>
            </w:r>
          </w:p>
        </w:tc>
        <w:tc>
          <w:tcPr>
            <w:tcW w:w="6541" w:type="dxa"/>
          </w:tcPr>
          <w:p w:rsidR="0054136A" w:rsidRPr="00806776" w:rsidRDefault="0054136A" w:rsidP="00897BB0">
            <w:pPr>
              <w:pStyle w:val="a9"/>
              <w:jc w:val="both"/>
              <w:rPr>
                <w:b/>
              </w:rPr>
            </w:pPr>
          </w:p>
        </w:tc>
      </w:tr>
      <w:tr w:rsidR="00C42F2B" w:rsidRPr="00806776" w:rsidTr="00A5702C">
        <w:trPr>
          <w:trHeight w:val="20"/>
        </w:trPr>
        <w:tc>
          <w:tcPr>
            <w:tcW w:w="392" w:type="dxa"/>
          </w:tcPr>
          <w:p w:rsidR="00C42F2B" w:rsidRPr="00806776" w:rsidRDefault="00C42F2B" w:rsidP="00C67AA8">
            <w:pPr>
              <w:pStyle w:val="a8"/>
              <w:spacing w:after="0" w:line="240" w:lineRule="auto"/>
              <w:ind w:left="0"/>
            </w:pPr>
          </w:p>
        </w:tc>
        <w:tc>
          <w:tcPr>
            <w:tcW w:w="7796" w:type="dxa"/>
          </w:tcPr>
          <w:p w:rsidR="00C42F2B" w:rsidRPr="00806776" w:rsidRDefault="00C42F2B" w:rsidP="00897BB0">
            <w:pPr>
              <w:jc w:val="both"/>
              <w:rPr>
                <w:b/>
              </w:rPr>
            </w:pPr>
            <w:r w:rsidRPr="00806776">
              <w:rPr>
                <w:b/>
              </w:rPr>
              <w:t>Ministerul Transporturilor şi Infrastructurii Drumurilor</w:t>
            </w:r>
          </w:p>
          <w:p w:rsidR="00866BE0" w:rsidRPr="00806776" w:rsidRDefault="00740909" w:rsidP="00897BB0">
            <w:pPr>
              <w:jc w:val="both"/>
            </w:pPr>
            <w:r w:rsidRPr="00806776">
              <w:t>(nr.07-03/687 din 11.09.2014)</w:t>
            </w:r>
          </w:p>
        </w:tc>
        <w:tc>
          <w:tcPr>
            <w:tcW w:w="6541" w:type="dxa"/>
          </w:tcPr>
          <w:p w:rsidR="00C42F2B" w:rsidRPr="00806776" w:rsidRDefault="00C42F2B" w:rsidP="00897BB0">
            <w:pPr>
              <w:pStyle w:val="a9"/>
              <w:jc w:val="both"/>
            </w:pPr>
          </w:p>
        </w:tc>
      </w:tr>
      <w:tr w:rsidR="0054136A" w:rsidRPr="00806776" w:rsidTr="00A5702C">
        <w:trPr>
          <w:trHeight w:val="20"/>
        </w:trPr>
        <w:tc>
          <w:tcPr>
            <w:tcW w:w="392" w:type="dxa"/>
          </w:tcPr>
          <w:p w:rsidR="0054136A" w:rsidRPr="00806776" w:rsidRDefault="0054136A" w:rsidP="0054136A">
            <w:pPr>
              <w:pStyle w:val="a8"/>
              <w:numPr>
                <w:ilvl w:val="0"/>
                <w:numId w:val="8"/>
              </w:numPr>
              <w:spacing w:after="0" w:line="240" w:lineRule="auto"/>
              <w:ind w:left="0" w:firstLine="0"/>
            </w:pPr>
          </w:p>
        </w:tc>
        <w:tc>
          <w:tcPr>
            <w:tcW w:w="7796" w:type="dxa"/>
          </w:tcPr>
          <w:p w:rsidR="0054136A" w:rsidRPr="00806776" w:rsidRDefault="00740909" w:rsidP="00897BB0">
            <w:pPr>
              <w:jc w:val="both"/>
            </w:pPr>
            <w:r w:rsidRPr="00806776">
              <w:tab/>
              <w:t xml:space="preserve">La cap. IV, pct. 10 din proiect, propunem să fie revizuit modul de estimare a timpului necesar realizării activităţilor administrative, în acest sens stabilind costurile necesare îndeplinirii activităţilor administrative în baza salariului mediu pe economie în domeniul specific de activitate al agentului </w:t>
            </w:r>
            <w:r w:rsidRPr="00806776">
              <w:lastRenderedPageBreak/>
              <w:t xml:space="preserve">economic sau </w:t>
            </w:r>
            <w:proofErr w:type="spellStart"/>
            <w:r w:rsidRPr="00806776">
              <w:t>utilizînd</w:t>
            </w:r>
            <w:proofErr w:type="spellEnd"/>
            <w:r w:rsidRPr="00806776">
              <w:t xml:space="preserve"> datele statistice de profil.</w:t>
            </w:r>
          </w:p>
        </w:tc>
        <w:tc>
          <w:tcPr>
            <w:tcW w:w="6541" w:type="dxa"/>
          </w:tcPr>
          <w:p w:rsidR="0054136A" w:rsidRPr="004151AE" w:rsidRDefault="00DF4BC6" w:rsidP="00897BB0">
            <w:pPr>
              <w:pStyle w:val="a9"/>
              <w:jc w:val="both"/>
              <w:rPr>
                <w:b/>
              </w:rPr>
            </w:pPr>
            <w:r w:rsidRPr="004151AE">
              <w:rPr>
                <w:b/>
              </w:rPr>
              <w:lastRenderedPageBreak/>
              <w:t>Se acceptă.</w:t>
            </w:r>
          </w:p>
          <w:p w:rsidR="00DF4BC6" w:rsidRPr="00806776" w:rsidRDefault="00DF4BC6" w:rsidP="00897BB0">
            <w:pPr>
              <w:pStyle w:val="a9"/>
              <w:jc w:val="both"/>
            </w:pPr>
            <w:r w:rsidRPr="00806776">
              <w:t>Pct.11 a fost completat cu textul:</w:t>
            </w:r>
          </w:p>
          <w:p w:rsidR="00DF4BC6" w:rsidRPr="00806776" w:rsidRDefault="00DF4BC6" w:rsidP="00897BB0">
            <w:pPr>
              <w:pStyle w:val="a9"/>
              <w:jc w:val="both"/>
            </w:pPr>
            <w:r w:rsidRPr="00806776">
              <w:t>„</w:t>
            </w:r>
            <w:r w:rsidR="007B24BB" w:rsidRPr="00806776">
              <w:t xml:space="preserve">Dacă în cadrul interviurilor cu agenţii economici nu poate fi obţinută informaţia despre costurile salariale, atunci acestea se </w:t>
            </w:r>
            <w:r w:rsidR="007B24BB" w:rsidRPr="00806776">
              <w:lastRenderedPageBreak/>
              <w:t xml:space="preserve">determină în baza salariului mediu pe economie în domeniul specific de activitate al agentului economic sau </w:t>
            </w:r>
            <w:proofErr w:type="spellStart"/>
            <w:r w:rsidR="007B24BB" w:rsidRPr="00806776">
              <w:t>utilizînd</w:t>
            </w:r>
            <w:proofErr w:type="spellEnd"/>
            <w:r w:rsidR="007B24BB" w:rsidRPr="00806776">
              <w:t xml:space="preserve"> datele statistice de profil”.</w:t>
            </w:r>
          </w:p>
        </w:tc>
      </w:tr>
      <w:tr w:rsidR="00C42F2B" w:rsidRPr="00806776" w:rsidTr="00A5702C">
        <w:trPr>
          <w:trHeight w:val="20"/>
        </w:trPr>
        <w:tc>
          <w:tcPr>
            <w:tcW w:w="392" w:type="dxa"/>
          </w:tcPr>
          <w:p w:rsidR="00C42F2B" w:rsidRPr="00806776" w:rsidRDefault="00C42F2B" w:rsidP="00C67AA8">
            <w:pPr>
              <w:pStyle w:val="a8"/>
              <w:spacing w:after="0" w:line="240" w:lineRule="auto"/>
              <w:ind w:left="0"/>
            </w:pPr>
          </w:p>
        </w:tc>
        <w:tc>
          <w:tcPr>
            <w:tcW w:w="7796" w:type="dxa"/>
          </w:tcPr>
          <w:p w:rsidR="00C42F2B" w:rsidRPr="00806776" w:rsidRDefault="00C42F2B" w:rsidP="00897BB0">
            <w:pPr>
              <w:jc w:val="both"/>
              <w:rPr>
                <w:b/>
              </w:rPr>
            </w:pPr>
            <w:r w:rsidRPr="00806776">
              <w:rPr>
                <w:b/>
              </w:rPr>
              <w:t>Ministerul Sănătăţii</w:t>
            </w:r>
          </w:p>
          <w:p w:rsidR="00B821D1" w:rsidRPr="00806776" w:rsidRDefault="00B821D1" w:rsidP="00897BB0">
            <w:pPr>
              <w:jc w:val="both"/>
            </w:pPr>
            <w:r w:rsidRPr="00806776">
              <w:t>(nr. 01-9/1486 din 01.09.2014)</w:t>
            </w:r>
          </w:p>
        </w:tc>
        <w:tc>
          <w:tcPr>
            <w:tcW w:w="6541" w:type="dxa"/>
          </w:tcPr>
          <w:p w:rsidR="00C42F2B" w:rsidRPr="00806776" w:rsidRDefault="00C42F2B" w:rsidP="00897BB0">
            <w:pPr>
              <w:pStyle w:val="a9"/>
              <w:jc w:val="both"/>
            </w:pPr>
          </w:p>
        </w:tc>
      </w:tr>
      <w:tr w:rsidR="0054136A" w:rsidRPr="00806776" w:rsidTr="00A5702C">
        <w:trPr>
          <w:trHeight w:val="20"/>
        </w:trPr>
        <w:tc>
          <w:tcPr>
            <w:tcW w:w="392" w:type="dxa"/>
          </w:tcPr>
          <w:p w:rsidR="0054136A" w:rsidRPr="00806776" w:rsidRDefault="0054136A" w:rsidP="0054136A">
            <w:pPr>
              <w:pStyle w:val="a8"/>
              <w:numPr>
                <w:ilvl w:val="0"/>
                <w:numId w:val="8"/>
              </w:numPr>
              <w:spacing w:after="0" w:line="240" w:lineRule="auto"/>
              <w:ind w:left="0" w:firstLine="0"/>
            </w:pPr>
          </w:p>
        </w:tc>
        <w:tc>
          <w:tcPr>
            <w:tcW w:w="7796" w:type="dxa"/>
          </w:tcPr>
          <w:p w:rsidR="0054136A" w:rsidRPr="00806776" w:rsidRDefault="00B821D1" w:rsidP="00897BB0">
            <w:pPr>
              <w:jc w:val="both"/>
            </w:pPr>
            <w:r w:rsidRPr="00806776">
              <w:t>Au comunicat lipsă de propuneri şi obiecţii.</w:t>
            </w:r>
          </w:p>
        </w:tc>
        <w:tc>
          <w:tcPr>
            <w:tcW w:w="6541" w:type="dxa"/>
          </w:tcPr>
          <w:p w:rsidR="0054136A" w:rsidRPr="00806776" w:rsidRDefault="0054136A" w:rsidP="00897BB0">
            <w:pPr>
              <w:pStyle w:val="a9"/>
              <w:jc w:val="both"/>
            </w:pPr>
          </w:p>
        </w:tc>
      </w:tr>
      <w:tr w:rsidR="00C42F2B" w:rsidRPr="00806776" w:rsidTr="00A5702C">
        <w:trPr>
          <w:trHeight w:val="20"/>
        </w:trPr>
        <w:tc>
          <w:tcPr>
            <w:tcW w:w="392" w:type="dxa"/>
          </w:tcPr>
          <w:p w:rsidR="00C42F2B" w:rsidRPr="00806776" w:rsidRDefault="00C42F2B" w:rsidP="00C67AA8">
            <w:pPr>
              <w:pStyle w:val="a8"/>
              <w:spacing w:after="0" w:line="240" w:lineRule="auto"/>
              <w:ind w:left="0"/>
            </w:pPr>
          </w:p>
        </w:tc>
        <w:tc>
          <w:tcPr>
            <w:tcW w:w="7796" w:type="dxa"/>
          </w:tcPr>
          <w:p w:rsidR="00C42F2B" w:rsidRPr="00806776" w:rsidRDefault="00C42F2B" w:rsidP="00897BB0">
            <w:pPr>
              <w:jc w:val="both"/>
              <w:rPr>
                <w:b/>
              </w:rPr>
            </w:pPr>
            <w:r w:rsidRPr="00806776">
              <w:rPr>
                <w:b/>
              </w:rPr>
              <w:t>Ministerul Muncii, Protecţiei Sociale şi Familiei</w:t>
            </w:r>
          </w:p>
          <w:p w:rsidR="00B6698E" w:rsidRPr="00806776" w:rsidRDefault="00387407" w:rsidP="00897BB0">
            <w:pPr>
              <w:jc w:val="both"/>
            </w:pPr>
            <w:r w:rsidRPr="00806776">
              <w:t>(nr.01-3671 din 04.09.2014)</w:t>
            </w:r>
          </w:p>
        </w:tc>
        <w:tc>
          <w:tcPr>
            <w:tcW w:w="6541" w:type="dxa"/>
          </w:tcPr>
          <w:p w:rsidR="00C42F2B" w:rsidRPr="00806776" w:rsidRDefault="00C42F2B" w:rsidP="00897BB0">
            <w:pPr>
              <w:pStyle w:val="a9"/>
              <w:jc w:val="both"/>
            </w:pPr>
          </w:p>
        </w:tc>
      </w:tr>
      <w:tr w:rsidR="0054136A" w:rsidRPr="00806776" w:rsidTr="00A5702C">
        <w:trPr>
          <w:trHeight w:val="20"/>
        </w:trPr>
        <w:tc>
          <w:tcPr>
            <w:tcW w:w="392" w:type="dxa"/>
          </w:tcPr>
          <w:p w:rsidR="0054136A" w:rsidRPr="00806776" w:rsidRDefault="0054136A" w:rsidP="0054136A">
            <w:pPr>
              <w:pStyle w:val="a8"/>
              <w:numPr>
                <w:ilvl w:val="0"/>
                <w:numId w:val="8"/>
              </w:numPr>
              <w:spacing w:after="0" w:line="240" w:lineRule="auto"/>
              <w:ind w:left="0" w:firstLine="0"/>
            </w:pPr>
          </w:p>
        </w:tc>
        <w:tc>
          <w:tcPr>
            <w:tcW w:w="7796" w:type="dxa"/>
          </w:tcPr>
          <w:p w:rsidR="0054136A" w:rsidRPr="00806776" w:rsidRDefault="00C21571" w:rsidP="00897BB0">
            <w:pPr>
              <w:jc w:val="both"/>
            </w:pPr>
            <w:r w:rsidRPr="00806776">
              <w:t>Au comunicat lipsă de propuneri şi obiecţii.</w:t>
            </w:r>
          </w:p>
        </w:tc>
        <w:tc>
          <w:tcPr>
            <w:tcW w:w="6541" w:type="dxa"/>
          </w:tcPr>
          <w:p w:rsidR="0054136A" w:rsidRPr="00806776" w:rsidRDefault="0054136A" w:rsidP="00897BB0">
            <w:pPr>
              <w:pStyle w:val="a9"/>
              <w:jc w:val="both"/>
            </w:pPr>
          </w:p>
        </w:tc>
      </w:tr>
      <w:tr w:rsidR="00C42F2B" w:rsidRPr="00806776" w:rsidTr="00A5702C">
        <w:trPr>
          <w:trHeight w:val="20"/>
        </w:trPr>
        <w:tc>
          <w:tcPr>
            <w:tcW w:w="392" w:type="dxa"/>
          </w:tcPr>
          <w:p w:rsidR="00C42F2B" w:rsidRPr="00806776" w:rsidRDefault="00C42F2B" w:rsidP="00C67AA8">
            <w:pPr>
              <w:pStyle w:val="a8"/>
              <w:spacing w:after="0" w:line="240" w:lineRule="auto"/>
              <w:ind w:left="0"/>
            </w:pPr>
          </w:p>
        </w:tc>
        <w:tc>
          <w:tcPr>
            <w:tcW w:w="7796" w:type="dxa"/>
          </w:tcPr>
          <w:p w:rsidR="00C42F2B" w:rsidRPr="00806776" w:rsidRDefault="00C42F2B" w:rsidP="00897BB0">
            <w:pPr>
              <w:jc w:val="both"/>
              <w:rPr>
                <w:b/>
              </w:rPr>
            </w:pPr>
            <w:r w:rsidRPr="00806776">
              <w:rPr>
                <w:b/>
              </w:rPr>
              <w:t>Ministerul Mediului</w:t>
            </w:r>
          </w:p>
          <w:p w:rsidR="003827B5" w:rsidRPr="00806776" w:rsidRDefault="00F8283D" w:rsidP="00897BB0">
            <w:pPr>
              <w:jc w:val="both"/>
            </w:pPr>
            <w:r w:rsidRPr="00806776">
              <w:t>(nr.</w:t>
            </w:r>
            <w:r w:rsidR="0081453D" w:rsidRPr="00806776">
              <w:t>07-05/1726 din 08.09.2014)</w:t>
            </w:r>
          </w:p>
        </w:tc>
        <w:tc>
          <w:tcPr>
            <w:tcW w:w="6541" w:type="dxa"/>
          </w:tcPr>
          <w:p w:rsidR="00C42F2B" w:rsidRPr="00806776" w:rsidRDefault="00C42F2B" w:rsidP="00897BB0">
            <w:pPr>
              <w:pStyle w:val="a9"/>
              <w:jc w:val="both"/>
            </w:pPr>
          </w:p>
        </w:tc>
      </w:tr>
      <w:tr w:rsidR="0054136A" w:rsidRPr="00806776" w:rsidTr="00A5702C">
        <w:trPr>
          <w:trHeight w:val="20"/>
        </w:trPr>
        <w:tc>
          <w:tcPr>
            <w:tcW w:w="392" w:type="dxa"/>
          </w:tcPr>
          <w:p w:rsidR="0054136A" w:rsidRPr="00806776" w:rsidRDefault="0054136A" w:rsidP="0054136A">
            <w:pPr>
              <w:pStyle w:val="a8"/>
              <w:numPr>
                <w:ilvl w:val="0"/>
                <w:numId w:val="8"/>
              </w:numPr>
              <w:spacing w:after="0" w:line="240" w:lineRule="auto"/>
              <w:ind w:left="0" w:firstLine="0"/>
            </w:pPr>
          </w:p>
        </w:tc>
        <w:tc>
          <w:tcPr>
            <w:tcW w:w="7796" w:type="dxa"/>
          </w:tcPr>
          <w:p w:rsidR="0054136A" w:rsidRPr="00806776" w:rsidRDefault="0081453D" w:rsidP="00897BB0">
            <w:pPr>
              <w:jc w:val="both"/>
            </w:pPr>
            <w:r w:rsidRPr="00806776">
              <w:t>Au comunicat lipsă de propuneri şi obiecţii.</w:t>
            </w:r>
          </w:p>
        </w:tc>
        <w:tc>
          <w:tcPr>
            <w:tcW w:w="6541" w:type="dxa"/>
          </w:tcPr>
          <w:p w:rsidR="0054136A" w:rsidRPr="00806776" w:rsidRDefault="0054136A" w:rsidP="00897BB0">
            <w:pPr>
              <w:pStyle w:val="a9"/>
              <w:jc w:val="both"/>
            </w:pPr>
          </w:p>
        </w:tc>
      </w:tr>
      <w:tr w:rsidR="00C42F2B" w:rsidRPr="00806776" w:rsidTr="00A5702C">
        <w:trPr>
          <w:trHeight w:val="20"/>
        </w:trPr>
        <w:tc>
          <w:tcPr>
            <w:tcW w:w="392" w:type="dxa"/>
          </w:tcPr>
          <w:p w:rsidR="00C42F2B" w:rsidRPr="00806776" w:rsidRDefault="00C42F2B" w:rsidP="00C67AA8">
            <w:pPr>
              <w:pStyle w:val="a8"/>
              <w:spacing w:after="0" w:line="240" w:lineRule="auto"/>
              <w:ind w:left="0"/>
            </w:pPr>
          </w:p>
        </w:tc>
        <w:tc>
          <w:tcPr>
            <w:tcW w:w="7796" w:type="dxa"/>
          </w:tcPr>
          <w:p w:rsidR="00C42F2B" w:rsidRPr="00806776" w:rsidRDefault="00C42F2B" w:rsidP="00897BB0">
            <w:pPr>
              <w:jc w:val="both"/>
              <w:rPr>
                <w:b/>
              </w:rPr>
            </w:pPr>
            <w:r w:rsidRPr="00806776">
              <w:rPr>
                <w:b/>
              </w:rPr>
              <w:t>Ministerul Tehnologiei Informaţiei şi Comunicaţiilor</w:t>
            </w:r>
          </w:p>
          <w:p w:rsidR="00D92F37" w:rsidRPr="00806776" w:rsidRDefault="00D92F37" w:rsidP="00897BB0">
            <w:pPr>
              <w:jc w:val="both"/>
            </w:pPr>
            <w:r w:rsidRPr="00806776">
              <w:t>(nr.01/1423 din 15.09.2014)</w:t>
            </w:r>
          </w:p>
        </w:tc>
        <w:tc>
          <w:tcPr>
            <w:tcW w:w="6541" w:type="dxa"/>
          </w:tcPr>
          <w:p w:rsidR="00C42F2B" w:rsidRPr="00806776" w:rsidRDefault="00C42F2B" w:rsidP="00897BB0">
            <w:pPr>
              <w:pStyle w:val="a9"/>
              <w:jc w:val="both"/>
            </w:pPr>
          </w:p>
        </w:tc>
      </w:tr>
      <w:tr w:rsidR="0054136A" w:rsidRPr="00806776" w:rsidTr="00A5702C">
        <w:trPr>
          <w:trHeight w:val="20"/>
        </w:trPr>
        <w:tc>
          <w:tcPr>
            <w:tcW w:w="392" w:type="dxa"/>
          </w:tcPr>
          <w:p w:rsidR="0054136A" w:rsidRPr="00806776" w:rsidRDefault="0054136A" w:rsidP="0054136A">
            <w:pPr>
              <w:pStyle w:val="a8"/>
              <w:numPr>
                <w:ilvl w:val="0"/>
                <w:numId w:val="8"/>
              </w:numPr>
              <w:spacing w:after="0" w:line="240" w:lineRule="auto"/>
              <w:ind w:left="0" w:firstLine="0"/>
            </w:pPr>
          </w:p>
        </w:tc>
        <w:tc>
          <w:tcPr>
            <w:tcW w:w="7796" w:type="dxa"/>
          </w:tcPr>
          <w:p w:rsidR="0054136A" w:rsidRPr="00806776" w:rsidRDefault="00FB5ED4" w:rsidP="00897BB0">
            <w:pPr>
              <w:jc w:val="both"/>
            </w:pPr>
            <w:r w:rsidRPr="00806776">
              <w:tab/>
              <w:t>1. La pct.2 şi pct.3 din proiectul Hotărîrii Guvernului, noţiunile instituţiilor publice urmează a fi aduse în concordanţă cu prevederile Legii nr.98 din 04.05.2012 privind administraţia publică centrală de specialitate;</w:t>
            </w:r>
          </w:p>
        </w:tc>
        <w:tc>
          <w:tcPr>
            <w:tcW w:w="6541" w:type="dxa"/>
          </w:tcPr>
          <w:p w:rsidR="0054136A" w:rsidRPr="004151AE" w:rsidRDefault="000531C0" w:rsidP="00897BB0">
            <w:pPr>
              <w:pStyle w:val="a9"/>
              <w:jc w:val="both"/>
              <w:rPr>
                <w:b/>
              </w:rPr>
            </w:pPr>
            <w:r w:rsidRPr="004151AE">
              <w:rPr>
                <w:b/>
              </w:rPr>
              <w:t>Se acceptă.</w:t>
            </w:r>
          </w:p>
          <w:p w:rsidR="00BB694A" w:rsidRPr="00806776" w:rsidRDefault="00BB694A" w:rsidP="00897BB0">
            <w:pPr>
              <w:pStyle w:val="a9"/>
              <w:jc w:val="both"/>
            </w:pPr>
            <w:r w:rsidRPr="00806776">
              <w:t xml:space="preserve">Noţiunile instituţiilor publice au fost expuse în redacţia </w:t>
            </w:r>
          </w:p>
          <w:p w:rsidR="000531C0" w:rsidRPr="00806776" w:rsidRDefault="00BB694A" w:rsidP="00897BB0">
            <w:pPr>
              <w:pStyle w:val="a9"/>
              <w:jc w:val="both"/>
            </w:pPr>
            <w:r w:rsidRPr="00806776">
              <w:t>„ministerele, alte autorităţi administrative centrale, autorităţile administrative autonome cu atribuţii în domeniul reglementării activităţii de întreprinzător”</w:t>
            </w:r>
            <w:r w:rsidR="00282574" w:rsidRPr="00806776">
              <w:t xml:space="preserve">, astfel fiind aduse </w:t>
            </w:r>
            <w:r w:rsidRPr="00806776">
              <w:t xml:space="preserve">în concordanţă cu prevederile Legii </w:t>
            </w:r>
            <w:r w:rsidR="000531C0" w:rsidRPr="00806776">
              <w:t>nr.98 din 04.05.2012 privind administraţia publică centrală de specialitate</w:t>
            </w:r>
            <w:r w:rsidR="00343EE1" w:rsidRPr="00806776">
              <w:t xml:space="preserve"> /ministerele (la art.9); autorităţi administrative centrale (</w:t>
            </w:r>
            <w:r w:rsidR="00BC06BE" w:rsidRPr="00806776">
              <w:t xml:space="preserve">la </w:t>
            </w:r>
            <w:r w:rsidR="00343EE1" w:rsidRPr="00806776">
              <w:t>art.</w:t>
            </w:r>
            <w:r w:rsidR="00BC06BE" w:rsidRPr="00806776">
              <w:t>17)</w:t>
            </w:r>
            <w:r w:rsidR="00C43084" w:rsidRPr="00806776">
              <w:t>,  autorităţi administrative autonome (art.2 alin.(2)) / .</w:t>
            </w:r>
          </w:p>
        </w:tc>
      </w:tr>
      <w:tr w:rsidR="00FB5ED4" w:rsidRPr="00806776" w:rsidTr="00A5702C">
        <w:trPr>
          <w:trHeight w:val="20"/>
        </w:trPr>
        <w:tc>
          <w:tcPr>
            <w:tcW w:w="392" w:type="dxa"/>
          </w:tcPr>
          <w:p w:rsidR="00FB5ED4" w:rsidRPr="00806776" w:rsidRDefault="00FB5ED4" w:rsidP="0054136A">
            <w:pPr>
              <w:pStyle w:val="a8"/>
              <w:numPr>
                <w:ilvl w:val="0"/>
                <w:numId w:val="8"/>
              </w:numPr>
              <w:spacing w:after="0" w:line="240" w:lineRule="auto"/>
              <w:ind w:left="0" w:firstLine="0"/>
            </w:pPr>
          </w:p>
        </w:tc>
        <w:tc>
          <w:tcPr>
            <w:tcW w:w="7796" w:type="dxa"/>
          </w:tcPr>
          <w:p w:rsidR="00FB5ED4" w:rsidRPr="00806776" w:rsidRDefault="00FB5ED4" w:rsidP="00897BB0">
            <w:pPr>
              <w:jc w:val="both"/>
            </w:pPr>
            <w:r w:rsidRPr="00806776">
              <w:tab/>
              <w:t>2. La pct.2 din proiectul Metodologiei de estimare a costurilor administrative prin aplicarea Modelului Costului Sta</w:t>
            </w:r>
            <w:r w:rsidR="00897BB0" w:rsidRPr="00806776">
              <w:t>ndard la noţiunea „Reglementare”</w:t>
            </w:r>
            <w:r w:rsidRPr="00806776">
              <w:t xml:space="preserve"> după cuvintele „administraţiei publice</w:t>
            </w:r>
            <w:r w:rsidR="00897BB0" w:rsidRPr="00806776">
              <w:t>”</w:t>
            </w:r>
            <w:r w:rsidRPr="00806776">
              <w:t xml:space="preserve"> de completat cu cuvintele „inclusiv autorităţii publice autonome";</w:t>
            </w:r>
          </w:p>
        </w:tc>
        <w:tc>
          <w:tcPr>
            <w:tcW w:w="6541" w:type="dxa"/>
          </w:tcPr>
          <w:p w:rsidR="00FB5ED4" w:rsidRPr="004151AE" w:rsidRDefault="0061064B" w:rsidP="00897BB0">
            <w:pPr>
              <w:pStyle w:val="a9"/>
              <w:jc w:val="both"/>
              <w:rPr>
                <w:b/>
              </w:rPr>
            </w:pPr>
            <w:r w:rsidRPr="004151AE">
              <w:rPr>
                <w:b/>
              </w:rPr>
              <w:t>Se acceptă.</w:t>
            </w:r>
          </w:p>
          <w:p w:rsidR="0061064B" w:rsidRPr="00806776" w:rsidRDefault="0061064B" w:rsidP="00897BB0">
            <w:pPr>
              <w:pStyle w:val="a9"/>
              <w:jc w:val="both"/>
            </w:pPr>
            <w:r w:rsidRPr="00806776">
              <w:t>Noţiunea Reglementare a fost expusă în redacţia:</w:t>
            </w:r>
          </w:p>
          <w:p w:rsidR="0061064B" w:rsidRPr="00806776" w:rsidRDefault="0061064B" w:rsidP="00897BB0">
            <w:pPr>
              <w:pStyle w:val="a9"/>
              <w:jc w:val="both"/>
            </w:pPr>
            <w:r w:rsidRPr="00806776">
              <w:t xml:space="preserve">„Reglementare – lege, </w:t>
            </w:r>
            <w:proofErr w:type="spellStart"/>
            <w:r w:rsidRPr="00806776">
              <w:t>hotărîre</w:t>
            </w:r>
            <w:proofErr w:type="spellEnd"/>
            <w:r w:rsidRPr="00806776">
              <w:t>/ordonanţă a Guvernului şi act normativ al autorităţilor administrative centrale şi cele autonome prin care se efectuează reglementarea activităţii de întreprinzător”</w:t>
            </w:r>
          </w:p>
        </w:tc>
      </w:tr>
      <w:tr w:rsidR="00FB5ED4" w:rsidRPr="00806776" w:rsidTr="00A5702C">
        <w:trPr>
          <w:trHeight w:val="20"/>
        </w:trPr>
        <w:tc>
          <w:tcPr>
            <w:tcW w:w="392" w:type="dxa"/>
          </w:tcPr>
          <w:p w:rsidR="00FB5ED4" w:rsidRPr="00806776" w:rsidRDefault="00FB5ED4" w:rsidP="0054136A">
            <w:pPr>
              <w:pStyle w:val="a8"/>
              <w:numPr>
                <w:ilvl w:val="0"/>
                <w:numId w:val="8"/>
              </w:numPr>
              <w:spacing w:after="0" w:line="240" w:lineRule="auto"/>
              <w:ind w:left="0" w:firstLine="0"/>
            </w:pPr>
          </w:p>
        </w:tc>
        <w:tc>
          <w:tcPr>
            <w:tcW w:w="7796" w:type="dxa"/>
          </w:tcPr>
          <w:p w:rsidR="00FB5ED4" w:rsidRPr="00806776" w:rsidRDefault="00FB5ED4" w:rsidP="00897BB0">
            <w:pPr>
              <w:jc w:val="both"/>
            </w:pPr>
            <w:r w:rsidRPr="00806776">
              <w:tab/>
              <w:t>3. La pct.2 din Anexa nr. 1 la proiectul Metodologiei, de substituit sintagma „Registrul de Stat</w:t>
            </w:r>
            <w:r w:rsidR="00897BB0" w:rsidRPr="00806776">
              <w:t>”</w:t>
            </w:r>
            <w:r w:rsidRPr="00806776">
              <w:t xml:space="preserve"> prin sintagma „Resursele informaţionale de stat</w:t>
            </w:r>
            <w:r w:rsidR="00897BB0" w:rsidRPr="00806776">
              <w:t>”</w:t>
            </w:r>
            <w:r w:rsidRPr="00806776">
              <w:t xml:space="preserve"> în conformitate cu Legea cu privire la informatizare şi la resursele informaţionale de stat nr. 467 din 21 noiembrie 2003.</w:t>
            </w:r>
          </w:p>
        </w:tc>
        <w:tc>
          <w:tcPr>
            <w:tcW w:w="6541" w:type="dxa"/>
          </w:tcPr>
          <w:p w:rsidR="00FB5ED4" w:rsidRPr="004151AE" w:rsidRDefault="008A6EFA" w:rsidP="00897BB0">
            <w:pPr>
              <w:pStyle w:val="a9"/>
              <w:jc w:val="both"/>
              <w:rPr>
                <w:b/>
              </w:rPr>
            </w:pPr>
            <w:r w:rsidRPr="004151AE">
              <w:rPr>
                <w:b/>
              </w:rPr>
              <w:t>Nu se acceptă.</w:t>
            </w:r>
          </w:p>
          <w:p w:rsidR="008A6EFA" w:rsidRPr="00806776" w:rsidRDefault="008A6EFA" w:rsidP="00897BB0">
            <w:pPr>
              <w:pStyle w:val="a9"/>
              <w:jc w:val="both"/>
            </w:pPr>
            <w:r w:rsidRPr="00806776">
              <w:t>Sintagma „Registru de stat” este expusă pentru un caz concret la înregistrarea persoanelor juridice şi este stabilit în Capitolul VII din Legea privind înregistrarea de stat a persoanelor juridice şi a întreprinzătorilor individuali nr.220-XVI din 19.10.2007</w:t>
            </w:r>
            <w:r w:rsidR="00642BA0" w:rsidRPr="00806776">
              <w:t>.</w:t>
            </w:r>
          </w:p>
        </w:tc>
      </w:tr>
      <w:tr w:rsidR="00786DF2" w:rsidRPr="00806776" w:rsidTr="00A5702C">
        <w:trPr>
          <w:trHeight w:val="20"/>
        </w:trPr>
        <w:tc>
          <w:tcPr>
            <w:tcW w:w="392" w:type="dxa"/>
          </w:tcPr>
          <w:p w:rsidR="00786DF2" w:rsidRPr="00806776" w:rsidRDefault="00786DF2" w:rsidP="0054136A">
            <w:pPr>
              <w:pStyle w:val="a8"/>
              <w:numPr>
                <w:ilvl w:val="0"/>
                <w:numId w:val="8"/>
              </w:numPr>
              <w:spacing w:after="0" w:line="240" w:lineRule="auto"/>
              <w:ind w:left="0" w:firstLine="0"/>
            </w:pPr>
          </w:p>
        </w:tc>
        <w:tc>
          <w:tcPr>
            <w:tcW w:w="7796" w:type="dxa"/>
          </w:tcPr>
          <w:p w:rsidR="00786DF2" w:rsidRPr="00806776" w:rsidRDefault="00786DF2" w:rsidP="00897BB0">
            <w:pPr>
              <w:jc w:val="both"/>
            </w:pPr>
            <w:r w:rsidRPr="00806776">
              <w:tab/>
              <w:t>Totodată, MTIC consideră oportun aprobarea acestui proiect, care are drept obiectiv identificarea şi simplificarea acelor prevederi din reglementări, care duc la costuri administrative majore pentru agenţii economici.</w:t>
            </w:r>
          </w:p>
        </w:tc>
        <w:tc>
          <w:tcPr>
            <w:tcW w:w="6541" w:type="dxa"/>
          </w:tcPr>
          <w:p w:rsidR="00786DF2" w:rsidRPr="00806776" w:rsidRDefault="00236DCB" w:rsidP="00897BB0">
            <w:pPr>
              <w:pStyle w:val="a9"/>
              <w:jc w:val="both"/>
            </w:pPr>
            <w:r w:rsidRPr="00806776">
              <w:t>Se acceptă constatările expuse.</w:t>
            </w:r>
          </w:p>
        </w:tc>
      </w:tr>
      <w:tr w:rsidR="00C42F2B" w:rsidRPr="00806776" w:rsidTr="00A5702C">
        <w:trPr>
          <w:trHeight w:val="20"/>
        </w:trPr>
        <w:tc>
          <w:tcPr>
            <w:tcW w:w="392" w:type="dxa"/>
          </w:tcPr>
          <w:p w:rsidR="00C42F2B" w:rsidRPr="00806776" w:rsidRDefault="00C42F2B" w:rsidP="00C67AA8">
            <w:pPr>
              <w:pStyle w:val="a8"/>
              <w:spacing w:after="0" w:line="240" w:lineRule="auto"/>
              <w:ind w:left="0"/>
            </w:pPr>
          </w:p>
        </w:tc>
        <w:tc>
          <w:tcPr>
            <w:tcW w:w="7796" w:type="dxa"/>
          </w:tcPr>
          <w:p w:rsidR="00C42F2B" w:rsidRPr="00806776" w:rsidRDefault="00C42F2B" w:rsidP="00897BB0">
            <w:pPr>
              <w:jc w:val="both"/>
              <w:rPr>
                <w:b/>
              </w:rPr>
            </w:pPr>
            <w:r w:rsidRPr="00806776">
              <w:rPr>
                <w:b/>
              </w:rPr>
              <w:t>Ministerul Afacerilor Interne</w:t>
            </w:r>
          </w:p>
          <w:p w:rsidR="00F7799A" w:rsidRPr="00806776" w:rsidRDefault="00F7799A" w:rsidP="00897BB0">
            <w:pPr>
              <w:jc w:val="both"/>
            </w:pPr>
            <w:r w:rsidRPr="00806776">
              <w:lastRenderedPageBreak/>
              <w:t>(nr.</w:t>
            </w:r>
            <w:r w:rsidR="002E2E07" w:rsidRPr="00806776">
              <w:t>22/1938 din 09.09.2014)</w:t>
            </w:r>
          </w:p>
        </w:tc>
        <w:tc>
          <w:tcPr>
            <w:tcW w:w="6541" w:type="dxa"/>
          </w:tcPr>
          <w:p w:rsidR="00C42F2B" w:rsidRPr="00806776" w:rsidRDefault="00C42F2B" w:rsidP="00897BB0">
            <w:pPr>
              <w:jc w:val="both"/>
              <w:rPr>
                <w:lang w:eastAsia="ru-RU"/>
              </w:rPr>
            </w:pPr>
          </w:p>
        </w:tc>
      </w:tr>
      <w:tr w:rsidR="0054136A" w:rsidRPr="00806776" w:rsidTr="00A5702C">
        <w:trPr>
          <w:trHeight w:val="20"/>
        </w:trPr>
        <w:tc>
          <w:tcPr>
            <w:tcW w:w="392" w:type="dxa"/>
          </w:tcPr>
          <w:p w:rsidR="0054136A" w:rsidRPr="00806776" w:rsidRDefault="0054136A" w:rsidP="0054136A">
            <w:pPr>
              <w:pStyle w:val="a8"/>
              <w:numPr>
                <w:ilvl w:val="0"/>
                <w:numId w:val="8"/>
              </w:numPr>
              <w:spacing w:after="0" w:line="240" w:lineRule="auto"/>
              <w:ind w:left="0" w:firstLine="0"/>
            </w:pPr>
          </w:p>
        </w:tc>
        <w:tc>
          <w:tcPr>
            <w:tcW w:w="7796" w:type="dxa"/>
          </w:tcPr>
          <w:p w:rsidR="0054136A" w:rsidRPr="00806776" w:rsidRDefault="002E2E07" w:rsidP="00897BB0">
            <w:pPr>
              <w:jc w:val="both"/>
            </w:pPr>
            <w:r w:rsidRPr="00806776">
              <w:t>Au comunicat lipsă de propuneri şi obiecţii.</w:t>
            </w:r>
          </w:p>
        </w:tc>
        <w:tc>
          <w:tcPr>
            <w:tcW w:w="6541" w:type="dxa"/>
          </w:tcPr>
          <w:p w:rsidR="0054136A" w:rsidRPr="00806776" w:rsidRDefault="0054136A" w:rsidP="00897BB0">
            <w:pPr>
              <w:jc w:val="both"/>
              <w:rPr>
                <w:lang w:eastAsia="ru-RU"/>
              </w:rPr>
            </w:pPr>
          </w:p>
        </w:tc>
      </w:tr>
      <w:tr w:rsidR="00C42F2B" w:rsidRPr="00806776" w:rsidTr="00A5702C">
        <w:trPr>
          <w:trHeight w:val="20"/>
        </w:trPr>
        <w:tc>
          <w:tcPr>
            <w:tcW w:w="392" w:type="dxa"/>
          </w:tcPr>
          <w:p w:rsidR="00C42F2B" w:rsidRPr="00806776" w:rsidRDefault="00C42F2B" w:rsidP="00C67AA8">
            <w:pPr>
              <w:pStyle w:val="a8"/>
              <w:spacing w:after="0" w:line="240" w:lineRule="auto"/>
              <w:ind w:left="0"/>
            </w:pPr>
          </w:p>
        </w:tc>
        <w:tc>
          <w:tcPr>
            <w:tcW w:w="7796" w:type="dxa"/>
          </w:tcPr>
          <w:p w:rsidR="00C42F2B" w:rsidRPr="00806776" w:rsidRDefault="00C42F2B" w:rsidP="00897BB0">
            <w:pPr>
              <w:jc w:val="both"/>
              <w:rPr>
                <w:b/>
              </w:rPr>
            </w:pPr>
            <w:r w:rsidRPr="00806776">
              <w:rPr>
                <w:b/>
              </w:rPr>
              <w:t>Ministerul Tineretului şi Sportului</w:t>
            </w:r>
          </w:p>
          <w:p w:rsidR="00446258" w:rsidRPr="00806776" w:rsidRDefault="00B57D7D" w:rsidP="00897BB0">
            <w:pPr>
              <w:jc w:val="both"/>
            </w:pPr>
            <w:r w:rsidRPr="00806776">
              <w:t>(nr.</w:t>
            </w:r>
            <w:r w:rsidR="00400BC9" w:rsidRPr="00806776">
              <w:t>02/995 din 04.09.2014)</w:t>
            </w:r>
          </w:p>
        </w:tc>
        <w:tc>
          <w:tcPr>
            <w:tcW w:w="6541" w:type="dxa"/>
          </w:tcPr>
          <w:p w:rsidR="00C42F2B" w:rsidRPr="00806776" w:rsidRDefault="00C42F2B" w:rsidP="00897BB0">
            <w:pPr>
              <w:pStyle w:val="a9"/>
              <w:jc w:val="both"/>
            </w:pPr>
          </w:p>
        </w:tc>
      </w:tr>
      <w:tr w:rsidR="0054136A" w:rsidRPr="00806776" w:rsidTr="00A5702C">
        <w:trPr>
          <w:trHeight w:val="20"/>
        </w:trPr>
        <w:tc>
          <w:tcPr>
            <w:tcW w:w="392" w:type="dxa"/>
          </w:tcPr>
          <w:p w:rsidR="0054136A" w:rsidRPr="00806776" w:rsidRDefault="0054136A" w:rsidP="0054136A">
            <w:pPr>
              <w:pStyle w:val="a8"/>
              <w:numPr>
                <w:ilvl w:val="0"/>
                <w:numId w:val="8"/>
              </w:numPr>
              <w:spacing w:after="0" w:line="240" w:lineRule="auto"/>
              <w:ind w:left="0" w:firstLine="0"/>
            </w:pPr>
          </w:p>
        </w:tc>
        <w:tc>
          <w:tcPr>
            <w:tcW w:w="7796" w:type="dxa"/>
          </w:tcPr>
          <w:p w:rsidR="0054136A" w:rsidRPr="00806776" w:rsidRDefault="00400BC9" w:rsidP="00897BB0">
            <w:pPr>
              <w:jc w:val="both"/>
            </w:pPr>
            <w:r w:rsidRPr="00806776">
              <w:t>Au comunicat lipsă de propuneri şi obiecţii.</w:t>
            </w:r>
          </w:p>
        </w:tc>
        <w:tc>
          <w:tcPr>
            <w:tcW w:w="6541" w:type="dxa"/>
          </w:tcPr>
          <w:p w:rsidR="0054136A" w:rsidRPr="00806776" w:rsidRDefault="0054136A" w:rsidP="00897BB0">
            <w:pPr>
              <w:pStyle w:val="a9"/>
              <w:jc w:val="both"/>
            </w:pPr>
          </w:p>
        </w:tc>
      </w:tr>
      <w:tr w:rsidR="00C42F2B" w:rsidRPr="00806776" w:rsidTr="00A5702C">
        <w:trPr>
          <w:trHeight w:val="20"/>
        </w:trPr>
        <w:tc>
          <w:tcPr>
            <w:tcW w:w="392" w:type="dxa"/>
          </w:tcPr>
          <w:p w:rsidR="00C42F2B" w:rsidRPr="00806776" w:rsidRDefault="00C42F2B" w:rsidP="00C67AA8">
            <w:pPr>
              <w:pStyle w:val="a8"/>
              <w:spacing w:after="0" w:line="240" w:lineRule="auto"/>
              <w:ind w:left="0"/>
            </w:pPr>
          </w:p>
        </w:tc>
        <w:tc>
          <w:tcPr>
            <w:tcW w:w="7796" w:type="dxa"/>
          </w:tcPr>
          <w:p w:rsidR="00C42F2B" w:rsidRPr="00806776" w:rsidRDefault="00C42F2B" w:rsidP="00897BB0">
            <w:pPr>
              <w:jc w:val="both"/>
              <w:rPr>
                <w:b/>
              </w:rPr>
            </w:pPr>
            <w:r w:rsidRPr="00806776">
              <w:rPr>
                <w:b/>
              </w:rPr>
              <w:t>Ministerul Dezvoltării Regionale şi Construcţiilor</w:t>
            </w:r>
          </w:p>
          <w:p w:rsidR="00652D1F" w:rsidRPr="00806776" w:rsidRDefault="00DD524C" w:rsidP="00897BB0">
            <w:pPr>
              <w:jc w:val="both"/>
            </w:pPr>
            <w:r w:rsidRPr="00806776">
              <w:t>(nr.03/2-1978 din 22.09.2014)</w:t>
            </w:r>
          </w:p>
        </w:tc>
        <w:tc>
          <w:tcPr>
            <w:tcW w:w="6541" w:type="dxa"/>
          </w:tcPr>
          <w:p w:rsidR="00C42F2B" w:rsidRPr="00806776" w:rsidRDefault="00C42F2B" w:rsidP="00897BB0">
            <w:pPr>
              <w:pStyle w:val="a9"/>
              <w:jc w:val="both"/>
            </w:pPr>
          </w:p>
        </w:tc>
      </w:tr>
      <w:tr w:rsidR="0054136A" w:rsidRPr="00806776" w:rsidTr="00A5702C">
        <w:trPr>
          <w:trHeight w:val="20"/>
        </w:trPr>
        <w:tc>
          <w:tcPr>
            <w:tcW w:w="392" w:type="dxa"/>
          </w:tcPr>
          <w:p w:rsidR="0054136A" w:rsidRPr="00806776" w:rsidRDefault="0054136A" w:rsidP="0054136A">
            <w:pPr>
              <w:pStyle w:val="a8"/>
              <w:numPr>
                <w:ilvl w:val="0"/>
                <w:numId w:val="8"/>
              </w:numPr>
              <w:spacing w:after="0" w:line="240" w:lineRule="auto"/>
              <w:ind w:left="0" w:firstLine="0"/>
            </w:pPr>
          </w:p>
        </w:tc>
        <w:tc>
          <w:tcPr>
            <w:tcW w:w="7796" w:type="dxa"/>
          </w:tcPr>
          <w:p w:rsidR="0054136A" w:rsidRPr="00806776" w:rsidRDefault="00DD524C" w:rsidP="00897BB0">
            <w:pPr>
              <w:jc w:val="both"/>
            </w:pPr>
            <w:r w:rsidRPr="00806776">
              <w:t>Au comunicat lipsă de propuneri şi obiecţii.</w:t>
            </w:r>
          </w:p>
        </w:tc>
        <w:tc>
          <w:tcPr>
            <w:tcW w:w="6541" w:type="dxa"/>
          </w:tcPr>
          <w:p w:rsidR="0054136A" w:rsidRPr="00806776" w:rsidRDefault="0054136A" w:rsidP="00897BB0">
            <w:pPr>
              <w:pStyle w:val="a9"/>
              <w:jc w:val="both"/>
            </w:pPr>
          </w:p>
        </w:tc>
      </w:tr>
      <w:tr w:rsidR="00C42F2B" w:rsidRPr="00806776" w:rsidTr="00A5702C">
        <w:trPr>
          <w:trHeight w:val="20"/>
        </w:trPr>
        <w:tc>
          <w:tcPr>
            <w:tcW w:w="392" w:type="dxa"/>
          </w:tcPr>
          <w:p w:rsidR="00C42F2B" w:rsidRPr="00806776" w:rsidRDefault="00C42F2B" w:rsidP="00AF08E2">
            <w:pPr>
              <w:pStyle w:val="a8"/>
              <w:spacing w:after="0" w:line="240" w:lineRule="auto"/>
              <w:ind w:left="0"/>
            </w:pPr>
          </w:p>
        </w:tc>
        <w:tc>
          <w:tcPr>
            <w:tcW w:w="7796" w:type="dxa"/>
          </w:tcPr>
          <w:p w:rsidR="00C42F2B" w:rsidRPr="00806776" w:rsidRDefault="00C42F2B" w:rsidP="00897BB0">
            <w:pPr>
              <w:jc w:val="both"/>
              <w:rPr>
                <w:b/>
              </w:rPr>
            </w:pPr>
            <w:r w:rsidRPr="00806776">
              <w:rPr>
                <w:b/>
              </w:rPr>
              <w:t>Ministerul Apărării</w:t>
            </w:r>
          </w:p>
          <w:p w:rsidR="003637A2" w:rsidRPr="00806776" w:rsidRDefault="003637A2" w:rsidP="00897BB0">
            <w:pPr>
              <w:jc w:val="both"/>
            </w:pPr>
            <w:r w:rsidRPr="00806776">
              <w:t>(nr.11/1133 din 04.09.2014)</w:t>
            </w:r>
          </w:p>
        </w:tc>
        <w:tc>
          <w:tcPr>
            <w:tcW w:w="6541" w:type="dxa"/>
          </w:tcPr>
          <w:p w:rsidR="00C42F2B" w:rsidRPr="00806776" w:rsidRDefault="00C42F2B" w:rsidP="00897BB0">
            <w:pPr>
              <w:pStyle w:val="a9"/>
              <w:jc w:val="both"/>
            </w:pPr>
          </w:p>
        </w:tc>
      </w:tr>
      <w:tr w:rsidR="0054136A" w:rsidRPr="00806776" w:rsidTr="00A5702C">
        <w:trPr>
          <w:trHeight w:val="20"/>
        </w:trPr>
        <w:tc>
          <w:tcPr>
            <w:tcW w:w="392" w:type="dxa"/>
          </w:tcPr>
          <w:p w:rsidR="0054136A" w:rsidRPr="00806776" w:rsidRDefault="0054136A" w:rsidP="0054136A">
            <w:pPr>
              <w:pStyle w:val="a8"/>
              <w:numPr>
                <w:ilvl w:val="0"/>
                <w:numId w:val="8"/>
              </w:numPr>
              <w:spacing w:after="0" w:line="240" w:lineRule="auto"/>
              <w:ind w:left="0" w:firstLine="0"/>
            </w:pPr>
          </w:p>
        </w:tc>
        <w:tc>
          <w:tcPr>
            <w:tcW w:w="7796" w:type="dxa"/>
          </w:tcPr>
          <w:p w:rsidR="0054136A" w:rsidRPr="00806776" w:rsidRDefault="0088118E" w:rsidP="00897BB0">
            <w:pPr>
              <w:jc w:val="both"/>
            </w:pPr>
            <w:r w:rsidRPr="00806776">
              <w:tab/>
              <w:t xml:space="preserve">Se propune de a include în textul Metodologiei prevederi care să oblige Biroul Naţional de Statistică sau alte instituţii de stat </w:t>
            </w:r>
            <w:proofErr w:type="spellStart"/>
            <w:r w:rsidRPr="00806776">
              <w:t>cît</w:t>
            </w:r>
            <w:proofErr w:type="spellEnd"/>
            <w:r w:rsidRPr="00806776">
              <w:t xml:space="preserve"> şi agenţii economici să ofere gratuit informaţii necesare pentru executarea prevederilor prezentei Metodologii.</w:t>
            </w:r>
          </w:p>
        </w:tc>
        <w:tc>
          <w:tcPr>
            <w:tcW w:w="6541" w:type="dxa"/>
          </w:tcPr>
          <w:p w:rsidR="0054136A" w:rsidRPr="004151AE" w:rsidRDefault="0088118E" w:rsidP="00897BB0">
            <w:pPr>
              <w:pStyle w:val="a9"/>
              <w:jc w:val="both"/>
              <w:rPr>
                <w:b/>
              </w:rPr>
            </w:pPr>
            <w:r w:rsidRPr="004151AE">
              <w:rPr>
                <w:b/>
              </w:rPr>
              <w:t>Se acceptă.</w:t>
            </w:r>
          </w:p>
          <w:p w:rsidR="00F24CEE" w:rsidRPr="00806776" w:rsidRDefault="00F24CEE" w:rsidP="00897BB0">
            <w:pPr>
              <w:pStyle w:val="a9"/>
              <w:jc w:val="both"/>
            </w:pPr>
            <w:r w:rsidRPr="00806776">
              <w:tab/>
              <w:t>Potrivit prevederilor art.21 alin.(2) din Legea cu privire la statistica oficială nr.412-XV din 9 decembrie 2004 este stabilit că „…autorităţilor administraţiei publice centrale informaţia statistică se transmite în volumul şi în termenele stabilite, conform programului de lucrări statistice”. Astfel urmează a fi determinate datele necesare pentru efectuarea evaluărilor şi includerea acestora în programul de lucrări statistice.</w:t>
            </w:r>
          </w:p>
          <w:p w:rsidR="00F24CEE" w:rsidRPr="00806776" w:rsidRDefault="00F24CEE" w:rsidP="00897BB0">
            <w:pPr>
              <w:pStyle w:val="a9"/>
              <w:jc w:val="both"/>
            </w:pPr>
            <w:r w:rsidRPr="00806776">
              <w:tab/>
              <w:t xml:space="preserve">Proiectul de </w:t>
            </w:r>
            <w:proofErr w:type="spellStart"/>
            <w:r w:rsidRPr="00806776">
              <w:t>hotărîre</w:t>
            </w:r>
            <w:proofErr w:type="spellEnd"/>
            <w:r w:rsidRPr="00806776">
              <w:t xml:space="preserve"> a fost completat cu un punct cu următorul cuprins:</w:t>
            </w:r>
          </w:p>
          <w:p w:rsidR="0088118E" w:rsidRPr="00806776" w:rsidRDefault="00F24CEE" w:rsidP="00897BB0">
            <w:pPr>
              <w:pStyle w:val="a9"/>
              <w:jc w:val="both"/>
            </w:pPr>
            <w:r w:rsidRPr="00806776">
              <w:tab/>
              <w:t>„</w:t>
            </w:r>
            <w:r w:rsidR="00526273" w:rsidRPr="00806776">
              <w:t xml:space="preserve">4. </w:t>
            </w:r>
            <w:r w:rsidRPr="00806776">
              <w:t>Colectarea şi obţinerea informaţiilor necesare pentru efectuarea evaluărilor se va realiza în conformitate cu prevederile Legii cu privire la reutilizarea informaţiilor din sectorul public nr.305 din 26 decembrie 2012,</w:t>
            </w:r>
            <w:r w:rsidR="00897BB0" w:rsidRPr="00806776">
              <w:t xml:space="preserve"> </w:t>
            </w:r>
            <w:r w:rsidRPr="00806776">
              <w:t>Legii privind accesul la informaţie nr.982-XIV din 11 mai 2000</w:t>
            </w:r>
            <w:r w:rsidR="00897BB0" w:rsidRPr="00806776">
              <w:t>,</w:t>
            </w:r>
            <w:r w:rsidRPr="00806776">
              <w:t xml:space="preserve"> Legii cu privire la statistica oficială nr.412-XV din 9 decembrie 2004 şi actelor normative aprobate întru implementarea acestor legi</w:t>
            </w:r>
            <w:r w:rsidR="00897BB0" w:rsidRPr="00806776">
              <w:t>.</w:t>
            </w:r>
            <w:r w:rsidRPr="00806776">
              <w:t>”.</w:t>
            </w:r>
          </w:p>
        </w:tc>
      </w:tr>
      <w:tr w:rsidR="00C42F2B" w:rsidRPr="00806776" w:rsidTr="00A5702C">
        <w:trPr>
          <w:trHeight w:val="20"/>
        </w:trPr>
        <w:tc>
          <w:tcPr>
            <w:tcW w:w="392" w:type="dxa"/>
          </w:tcPr>
          <w:p w:rsidR="00C42F2B" w:rsidRPr="00806776" w:rsidRDefault="00C42F2B" w:rsidP="00AF08E2">
            <w:pPr>
              <w:pStyle w:val="a8"/>
              <w:spacing w:after="0" w:line="240" w:lineRule="auto"/>
              <w:ind w:left="0"/>
            </w:pPr>
          </w:p>
        </w:tc>
        <w:tc>
          <w:tcPr>
            <w:tcW w:w="7796" w:type="dxa"/>
          </w:tcPr>
          <w:p w:rsidR="00C42F2B" w:rsidRPr="00806776" w:rsidRDefault="00C42F2B" w:rsidP="00897BB0">
            <w:pPr>
              <w:jc w:val="both"/>
              <w:rPr>
                <w:b/>
              </w:rPr>
            </w:pPr>
            <w:r w:rsidRPr="00806776">
              <w:rPr>
                <w:b/>
              </w:rPr>
              <w:t>Ministerul Educaţiei</w:t>
            </w:r>
          </w:p>
          <w:p w:rsidR="00D31776" w:rsidRPr="00806776" w:rsidRDefault="00D31776" w:rsidP="00897BB0">
            <w:pPr>
              <w:jc w:val="both"/>
            </w:pPr>
            <w:r w:rsidRPr="00806776">
              <w:t>(nr.07/12-84PH din 08.09.2014)</w:t>
            </w:r>
          </w:p>
        </w:tc>
        <w:tc>
          <w:tcPr>
            <w:tcW w:w="6541" w:type="dxa"/>
          </w:tcPr>
          <w:p w:rsidR="00C42F2B" w:rsidRPr="00806776" w:rsidRDefault="00C42F2B" w:rsidP="00897BB0">
            <w:pPr>
              <w:pStyle w:val="a9"/>
              <w:jc w:val="both"/>
            </w:pPr>
          </w:p>
        </w:tc>
      </w:tr>
      <w:tr w:rsidR="0054136A" w:rsidRPr="00806776" w:rsidTr="00A5702C">
        <w:trPr>
          <w:trHeight w:val="20"/>
        </w:trPr>
        <w:tc>
          <w:tcPr>
            <w:tcW w:w="392" w:type="dxa"/>
          </w:tcPr>
          <w:p w:rsidR="0054136A" w:rsidRPr="00806776" w:rsidRDefault="0054136A" w:rsidP="0054136A">
            <w:pPr>
              <w:pStyle w:val="a8"/>
              <w:numPr>
                <w:ilvl w:val="0"/>
                <w:numId w:val="8"/>
              </w:numPr>
              <w:spacing w:after="0" w:line="240" w:lineRule="auto"/>
              <w:ind w:left="0" w:firstLine="0"/>
            </w:pPr>
          </w:p>
        </w:tc>
        <w:tc>
          <w:tcPr>
            <w:tcW w:w="7796" w:type="dxa"/>
          </w:tcPr>
          <w:p w:rsidR="0054136A" w:rsidRPr="00806776" w:rsidRDefault="00EF7BA6" w:rsidP="00897BB0">
            <w:pPr>
              <w:jc w:val="both"/>
            </w:pPr>
            <w:r w:rsidRPr="00806776">
              <w:t>Au comunicat lipsă de propuneri şi obiecţii.</w:t>
            </w:r>
          </w:p>
        </w:tc>
        <w:tc>
          <w:tcPr>
            <w:tcW w:w="6541" w:type="dxa"/>
          </w:tcPr>
          <w:p w:rsidR="0054136A" w:rsidRPr="00806776" w:rsidRDefault="0054136A" w:rsidP="00897BB0">
            <w:pPr>
              <w:pStyle w:val="a9"/>
              <w:jc w:val="both"/>
            </w:pPr>
          </w:p>
        </w:tc>
      </w:tr>
      <w:tr w:rsidR="00C42F2B" w:rsidRPr="00806776" w:rsidTr="00A5702C">
        <w:trPr>
          <w:trHeight w:val="20"/>
        </w:trPr>
        <w:tc>
          <w:tcPr>
            <w:tcW w:w="392" w:type="dxa"/>
          </w:tcPr>
          <w:p w:rsidR="00C42F2B" w:rsidRPr="00806776" w:rsidRDefault="00C42F2B" w:rsidP="00AF08E2">
            <w:pPr>
              <w:pStyle w:val="a8"/>
              <w:spacing w:after="0" w:line="240" w:lineRule="auto"/>
              <w:ind w:left="0"/>
            </w:pPr>
          </w:p>
        </w:tc>
        <w:tc>
          <w:tcPr>
            <w:tcW w:w="7796" w:type="dxa"/>
          </w:tcPr>
          <w:p w:rsidR="00C42F2B" w:rsidRPr="00806776" w:rsidRDefault="00C42F2B" w:rsidP="00897BB0">
            <w:pPr>
              <w:jc w:val="both"/>
              <w:rPr>
                <w:b/>
              </w:rPr>
            </w:pPr>
            <w:r w:rsidRPr="00806776">
              <w:rPr>
                <w:b/>
              </w:rPr>
              <w:t>Ministerul Culturii</w:t>
            </w:r>
          </w:p>
          <w:p w:rsidR="00484FB9" w:rsidRPr="00806776" w:rsidRDefault="00484FB9" w:rsidP="00897BB0">
            <w:pPr>
              <w:jc w:val="both"/>
            </w:pPr>
            <w:r w:rsidRPr="00806776">
              <w:t>(nr.08-09/3055 din 08.09.2014)</w:t>
            </w:r>
          </w:p>
        </w:tc>
        <w:tc>
          <w:tcPr>
            <w:tcW w:w="6541" w:type="dxa"/>
          </w:tcPr>
          <w:p w:rsidR="00C42F2B" w:rsidRPr="00806776" w:rsidRDefault="00C42F2B" w:rsidP="00897BB0">
            <w:pPr>
              <w:pStyle w:val="a9"/>
              <w:jc w:val="both"/>
            </w:pPr>
          </w:p>
        </w:tc>
      </w:tr>
      <w:tr w:rsidR="0054136A" w:rsidRPr="00806776" w:rsidTr="00A5702C">
        <w:trPr>
          <w:trHeight w:val="20"/>
        </w:trPr>
        <w:tc>
          <w:tcPr>
            <w:tcW w:w="392" w:type="dxa"/>
          </w:tcPr>
          <w:p w:rsidR="0054136A" w:rsidRPr="00806776" w:rsidRDefault="0054136A" w:rsidP="0054136A">
            <w:pPr>
              <w:pStyle w:val="a8"/>
              <w:numPr>
                <w:ilvl w:val="0"/>
                <w:numId w:val="8"/>
              </w:numPr>
              <w:spacing w:after="0" w:line="240" w:lineRule="auto"/>
              <w:ind w:left="0" w:firstLine="0"/>
            </w:pPr>
          </w:p>
        </w:tc>
        <w:tc>
          <w:tcPr>
            <w:tcW w:w="7796" w:type="dxa"/>
          </w:tcPr>
          <w:p w:rsidR="0054136A" w:rsidRPr="00806776" w:rsidRDefault="00D31776" w:rsidP="00897BB0">
            <w:pPr>
              <w:jc w:val="both"/>
            </w:pPr>
            <w:r w:rsidRPr="00806776">
              <w:t>Au comunicat lipsă de propuneri şi obiecţii.</w:t>
            </w:r>
          </w:p>
        </w:tc>
        <w:tc>
          <w:tcPr>
            <w:tcW w:w="6541" w:type="dxa"/>
          </w:tcPr>
          <w:p w:rsidR="0054136A" w:rsidRPr="00806776" w:rsidRDefault="0054136A" w:rsidP="00897BB0">
            <w:pPr>
              <w:pStyle w:val="a9"/>
              <w:jc w:val="both"/>
            </w:pPr>
          </w:p>
        </w:tc>
      </w:tr>
      <w:tr w:rsidR="0041130A" w:rsidRPr="00806776" w:rsidTr="00A5702C">
        <w:trPr>
          <w:trHeight w:val="20"/>
        </w:trPr>
        <w:tc>
          <w:tcPr>
            <w:tcW w:w="392" w:type="dxa"/>
          </w:tcPr>
          <w:p w:rsidR="0041130A" w:rsidRPr="00806776" w:rsidRDefault="0041130A" w:rsidP="00AF08E2">
            <w:pPr>
              <w:pStyle w:val="a8"/>
              <w:spacing w:after="0" w:line="240" w:lineRule="auto"/>
              <w:ind w:left="0"/>
            </w:pPr>
          </w:p>
        </w:tc>
        <w:tc>
          <w:tcPr>
            <w:tcW w:w="7796" w:type="dxa"/>
          </w:tcPr>
          <w:p w:rsidR="0041130A" w:rsidRPr="00806776" w:rsidRDefault="0041130A" w:rsidP="00897BB0">
            <w:pPr>
              <w:jc w:val="both"/>
              <w:rPr>
                <w:b/>
              </w:rPr>
            </w:pPr>
            <w:r w:rsidRPr="00806776">
              <w:rPr>
                <w:b/>
              </w:rPr>
              <w:t>Banca Naţională a Moldovei</w:t>
            </w:r>
          </w:p>
          <w:p w:rsidR="0041130A" w:rsidRPr="00806776" w:rsidRDefault="0041130A" w:rsidP="00897BB0">
            <w:pPr>
              <w:jc w:val="both"/>
            </w:pPr>
            <w:r w:rsidRPr="00806776">
              <w:t>(nr. 17-0202-1/1152/3231 din 24.09.2014)</w:t>
            </w:r>
          </w:p>
        </w:tc>
        <w:tc>
          <w:tcPr>
            <w:tcW w:w="6541" w:type="dxa"/>
          </w:tcPr>
          <w:p w:rsidR="0041130A" w:rsidRPr="00806776" w:rsidRDefault="0041130A" w:rsidP="00897BB0">
            <w:pPr>
              <w:pStyle w:val="a9"/>
              <w:jc w:val="both"/>
            </w:pPr>
          </w:p>
        </w:tc>
      </w:tr>
      <w:tr w:rsidR="0041130A" w:rsidRPr="00806776" w:rsidTr="00A5702C">
        <w:trPr>
          <w:trHeight w:val="20"/>
        </w:trPr>
        <w:tc>
          <w:tcPr>
            <w:tcW w:w="392" w:type="dxa"/>
          </w:tcPr>
          <w:p w:rsidR="0041130A" w:rsidRPr="00806776" w:rsidRDefault="0041130A" w:rsidP="0054136A">
            <w:pPr>
              <w:pStyle w:val="a8"/>
              <w:numPr>
                <w:ilvl w:val="0"/>
                <w:numId w:val="8"/>
              </w:numPr>
              <w:spacing w:after="0" w:line="240" w:lineRule="auto"/>
              <w:ind w:left="0" w:firstLine="0"/>
            </w:pPr>
          </w:p>
        </w:tc>
        <w:tc>
          <w:tcPr>
            <w:tcW w:w="7796" w:type="dxa"/>
          </w:tcPr>
          <w:p w:rsidR="0041130A" w:rsidRPr="00806776" w:rsidRDefault="0041130A" w:rsidP="00897BB0">
            <w:pPr>
              <w:jc w:val="both"/>
            </w:pPr>
            <w:r w:rsidRPr="00806776">
              <w:t>Au comunicat lipsă de propuneri şi obiecţii.</w:t>
            </w:r>
          </w:p>
        </w:tc>
        <w:tc>
          <w:tcPr>
            <w:tcW w:w="6541" w:type="dxa"/>
          </w:tcPr>
          <w:p w:rsidR="0041130A" w:rsidRPr="00806776" w:rsidRDefault="0041130A" w:rsidP="00897BB0">
            <w:pPr>
              <w:pStyle w:val="a9"/>
              <w:jc w:val="both"/>
            </w:pPr>
          </w:p>
        </w:tc>
      </w:tr>
      <w:tr w:rsidR="0041130A" w:rsidRPr="00806776" w:rsidTr="00A5702C">
        <w:trPr>
          <w:trHeight w:val="20"/>
        </w:trPr>
        <w:tc>
          <w:tcPr>
            <w:tcW w:w="392" w:type="dxa"/>
          </w:tcPr>
          <w:p w:rsidR="0041130A" w:rsidRPr="00806776" w:rsidRDefault="0041130A" w:rsidP="00AF08E2">
            <w:pPr>
              <w:pStyle w:val="a8"/>
              <w:spacing w:after="0" w:line="240" w:lineRule="auto"/>
              <w:ind w:left="0"/>
            </w:pPr>
          </w:p>
        </w:tc>
        <w:tc>
          <w:tcPr>
            <w:tcW w:w="7796" w:type="dxa"/>
          </w:tcPr>
          <w:p w:rsidR="0041130A" w:rsidRPr="00806776" w:rsidRDefault="0041130A" w:rsidP="00897BB0">
            <w:pPr>
              <w:jc w:val="both"/>
              <w:rPr>
                <w:b/>
              </w:rPr>
            </w:pPr>
            <w:r w:rsidRPr="00806776">
              <w:rPr>
                <w:b/>
              </w:rPr>
              <w:t>Biroul Naţional de Statistică</w:t>
            </w:r>
          </w:p>
          <w:p w:rsidR="0041130A" w:rsidRPr="00806776" w:rsidRDefault="0041130A" w:rsidP="00897BB0">
            <w:pPr>
              <w:jc w:val="both"/>
            </w:pPr>
            <w:r w:rsidRPr="00806776">
              <w:lastRenderedPageBreak/>
              <w:t>(nr.10/1-09/88 din 04.09.2014)</w:t>
            </w:r>
          </w:p>
        </w:tc>
        <w:tc>
          <w:tcPr>
            <w:tcW w:w="6541" w:type="dxa"/>
          </w:tcPr>
          <w:p w:rsidR="0041130A" w:rsidRPr="00806776" w:rsidRDefault="0041130A" w:rsidP="00897BB0">
            <w:pPr>
              <w:pStyle w:val="a9"/>
              <w:jc w:val="both"/>
            </w:pPr>
          </w:p>
        </w:tc>
      </w:tr>
      <w:tr w:rsidR="0041130A" w:rsidRPr="00806776" w:rsidTr="00A5702C">
        <w:trPr>
          <w:trHeight w:val="20"/>
        </w:trPr>
        <w:tc>
          <w:tcPr>
            <w:tcW w:w="392" w:type="dxa"/>
          </w:tcPr>
          <w:p w:rsidR="0041130A" w:rsidRPr="00806776" w:rsidRDefault="0041130A" w:rsidP="0054136A">
            <w:pPr>
              <w:pStyle w:val="a8"/>
              <w:numPr>
                <w:ilvl w:val="0"/>
                <w:numId w:val="8"/>
              </w:numPr>
              <w:spacing w:after="0" w:line="240" w:lineRule="auto"/>
              <w:ind w:left="0" w:firstLine="0"/>
            </w:pPr>
          </w:p>
        </w:tc>
        <w:tc>
          <w:tcPr>
            <w:tcW w:w="7796" w:type="dxa"/>
          </w:tcPr>
          <w:p w:rsidR="0041130A" w:rsidRPr="00806776" w:rsidRDefault="0041130A" w:rsidP="00897BB0">
            <w:pPr>
              <w:jc w:val="both"/>
            </w:pPr>
            <w:r w:rsidRPr="00806776">
              <w:t>Au comunicat lipsă de propuneri şi obiecţii.</w:t>
            </w:r>
          </w:p>
        </w:tc>
        <w:tc>
          <w:tcPr>
            <w:tcW w:w="6541" w:type="dxa"/>
          </w:tcPr>
          <w:p w:rsidR="0041130A" w:rsidRPr="00806776" w:rsidRDefault="0041130A" w:rsidP="00897BB0">
            <w:pPr>
              <w:pStyle w:val="a9"/>
              <w:jc w:val="both"/>
            </w:pPr>
          </w:p>
        </w:tc>
      </w:tr>
      <w:tr w:rsidR="0041130A" w:rsidRPr="00806776" w:rsidTr="00A5702C">
        <w:trPr>
          <w:trHeight w:val="20"/>
        </w:trPr>
        <w:tc>
          <w:tcPr>
            <w:tcW w:w="392" w:type="dxa"/>
          </w:tcPr>
          <w:p w:rsidR="0041130A" w:rsidRPr="00806776" w:rsidRDefault="0041130A" w:rsidP="00AF08E2">
            <w:pPr>
              <w:pStyle w:val="a8"/>
              <w:spacing w:after="0" w:line="240" w:lineRule="auto"/>
              <w:ind w:left="0"/>
            </w:pPr>
          </w:p>
        </w:tc>
        <w:tc>
          <w:tcPr>
            <w:tcW w:w="7796" w:type="dxa"/>
          </w:tcPr>
          <w:p w:rsidR="0041130A" w:rsidRPr="00806776" w:rsidRDefault="0041130A" w:rsidP="00897BB0">
            <w:pPr>
              <w:jc w:val="both"/>
              <w:rPr>
                <w:b/>
              </w:rPr>
            </w:pPr>
            <w:r w:rsidRPr="00806776">
              <w:rPr>
                <w:b/>
              </w:rPr>
              <w:t>Agenţia Naţională pentru Reglementare în Comunicaţii Electronice şi Tehnologia Informaţiei</w:t>
            </w:r>
          </w:p>
          <w:p w:rsidR="007918A0" w:rsidRPr="00806776" w:rsidRDefault="007918A0" w:rsidP="00897BB0">
            <w:pPr>
              <w:jc w:val="both"/>
            </w:pPr>
            <w:r w:rsidRPr="00806776">
              <w:t>(nr.01-SDRET DDR/985 din 08.09.2014)</w:t>
            </w:r>
          </w:p>
        </w:tc>
        <w:tc>
          <w:tcPr>
            <w:tcW w:w="6541" w:type="dxa"/>
          </w:tcPr>
          <w:p w:rsidR="0041130A" w:rsidRPr="00806776" w:rsidRDefault="0041130A" w:rsidP="00897BB0">
            <w:pPr>
              <w:pStyle w:val="a9"/>
              <w:jc w:val="both"/>
            </w:pPr>
          </w:p>
        </w:tc>
      </w:tr>
      <w:tr w:rsidR="0041130A" w:rsidRPr="00806776" w:rsidTr="00A5702C">
        <w:trPr>
          <w:trHeight w:val="20"/>
        </w:trPr>
        <w:tc>
          <w:tcPr>
            <w:tcW w:w="392" w:type="dxa"/>
          </w:tcPr>
          <w:p w:rsidR="0041130A" w:rsidRPr="00806776" w:rsidRDefault="0041130A" w:rsidP="0054136A">
            <w:pPr>
              <w:pStyle w:val="a8"/>
              <w:numPr>
                <w:ilvl w:val="0"/>
                <w:numId w:val="8"/>
              </w:numPr>
              <w:spacing w:after="0" w:line="240" w:lineRule="auto"/>
              <w:ind w:left="0" w:firstLine="0"/>
            </w:pPr>
          </w:p>
        </w:tc>
        <w:tc>
          <w:tcPr>
            <w:tcW w:w="7796" w:type="dxa"/>
          </w:tcPr>
          <w:p w:rsidR="0041130A" w:rsidRPr="00806776" w:rsidRDefault="007918A0" w:rsidP="00897BB0">
            <w:pPr>
              <w:jc w:val="both"/>
            </w:pPr>
            <w:r w:rsidRPr="00806776">
              <w:t>Au comunicat lipsă de propuneri şi obiecţii.</w:t>
            </w:r>
          </w:p>
        </w:tc>
        <w:tc>
          <w:tcPr>
            <w:tcW w:w="6541" w:type="dxa"/>
          </w:tcPr>
          <w:p w:rsidR="0041130A" w:rsidRPr="00806776" w:rsidRDefault="0041130A" w:rsidP="00897BB0">
            <w:pPr>
              <w:pStyle w:val="a9"/>
              <w:jc w:val="both"/>
            </w:pPr>
          </w:p>
        </w:tc>
      </w:tr>
      <w:tr w:rsidR="0041130A" w:rsidRPr="00806776" w:rsidTr="00A5702C">
        <w:trPr>
          <w:trHeight w:val="20"/>
        </w:trPr>
        <w:tc>
          <w:tcPr>
            <w:tcW w:w="392" w:type="dxa"/>
          </w:tcPr>
          <w:p w:rsidR="0041130A" w:rsidRPr="00806776" w:rsidRDefault="0041130A" w:rsidP="00AF08E2">
            <w:pPr>
              <w:pStyle w:val="a8"/>
              <w:spacing w:after="0" w:line="240" w:lineRule="auto"/>
              <w:ind w:left="0"/>
            </w:pPr>
          </w:p>
        </w:tc>
        <w:tc>
          <w:tcPr>
            <w:tcW w:w="7796" w:type="dxa"/>
          </w:tcPr>
          <w:p w:rsidR="0041130A" w:rsidRPr="00806776" w:rsidRDefault="0041130A" w:rsidP="00897BB0">
            <w:pPr>
              <w:jc w:val="both"/>
            </w:pPr>
            <w:r w:rsidRPr="00806776">
              <w:t>Agenţia Naţională pentru Reglementare în Energetică</w:t>
            </w:r>
          </w:p>
          <w:p w:rsidR="00F00A1A" w:rsidRPr="00806776" w:rsidRDefault="00F00A1A" w:rsidP="00897BB0">
            <w:pPr>
              <w:jc w:val="both"/>
            </w:pPr>
            <w:r w:rsidRPr="00806776">
              <w:t>(nr.01/601 din 09.09.2014)</w:t>
            </w:r>
          </w:p>
        </w:tc>
        <w:tc>
          <w:tcPr>
            <w:tcW w:w="6541" w:type="dxa"/>
          </w:tcPr>
          <w:p w:rsidR="0041130A" w:rsidRPr="00806776" w:rsidRDefault="0041130A" w:rsidP="00897BB0">
            <w:pPr>
              <w:pStyle w:val="a9"/>
              <w:jc w:val="both"/>
            </w:pPr>
          </w:p>
        </w:tc>
      </w:tr>
      <w:tr w:rsidR="0041130A" w:rsidRPr="00806776" w:rsidTr="00A5702C">
        <w:trPr>
          <w:trHeight w:val="20"/>
        </w:trPr>
        <w:tc>
          <w:tcPr>
            <w:tcW w:w="392" w:type="dxa"/>
          </w:tcPr>
          <w:p w:rsidR="0041130A" w:rsidRPr="00806776" w:rsidRDefault="0041130A" w:rsidP="0054136A">
            <w:pPr>
              <w:pStyle w:val="a8"/>
              <w:numPr>
                <w:ilvl w:val="0"/>
                <w:numId w:val="8"/>
              </w:numPr>
              <w:spacing w:after="0" w:line="240" w:lineRule="auto"/>
              <w:ind w:left="0" w:firstLine="0"/>
            </w:pPr>
          </w:p>
        </w:tc>
        <w:tc>
          <w:tcPr>
            <w:tcW w:w="7796" w:type="dxa"/>
          </w:tcPr>
          <w:p w:rsidR="00B91C17" w:rsidRPr="00806776" w:rsidRDefault="00B91C17" w:rsidP="00897BB0">
            <w:pPr>
              <w:jc w:val="both"/>
            </w:pPr>
            <w:r w:rsidRPr="00806776">
              <w:tab/>
              <w:t>1. Titularii de licenţe care activează în sectoarele reglementate (energie electrică, gaze naturale, produse petroliere, energie termică, alimentare cu apă şi de canalizare) prezintă informaţii care sunt necesare organului de reglementare în procesul monitorizării activităţii titularilor de licenţe şi stabilire a tarifelor reglementate. Datele care sunt prezentate de către titularii de licenţe sunt disponibile la titularii de licenţe fără a fi necesare eforturi suplimentare pentru colectarea şi păstrarea lor. De asemenea, în tarifele reglementate se includ costuri legate de crearea bazelor de date necesare pentru a desfăşura activitatea licenţiată la costuri minime şi eficienţă maximă şi în acest context titularii de licenţă nu suportă costuri adiţionale pentru prezentarea informaţiei disponibile la ei.</w:t>
            </w:r>
          </w:p>
          <w:p w:rsidR="00B91C17" w:rsidRPr="00806776" w:rsidRDefault="00B91C17" w:rsidP="00897BB0">
            <w:pPr>
              <w:jc w:val="both"/>
            </w:pPr>
            <w:r w:rsidRPr="00806776">
              <w:tab/>
              <w:t xml:space="preserve">2. Considerăm că actualmente şi în viitor nu există problema colectării şi păstrării datelor la titularii de licenţe, dar există problema ca aceste date să fie expediate în format electronic la organul de reglementare, astfel reducându-se costurile legate de </w:t>
            </w:r>
            <w:proofErr w:type="spellStart"/>
            <w:r w:rsidRPr="00806776">
              <w:t>hîrtia</w:t>
            </w:r>
            <w:proofErr w:type="spellEnd"/>
            <w:r w:rsidRPr="00806776">
              <w:t xml:space="preserve"> utilizată, imprimarea, expedierea prin poştă sau prezentarea la sediul organului de reglementare a datelor necesare. Din aceste considerente este necesar ca să fie inclusă în lege obligaţia transmiterii informaţiei numai în format electronic, astfel reducându-se costurile respective.</w:t>
            </w:r>
          </w:p>
          <w:p w:rsidR="0041130A" w:rsidRPr="00806776" w:rsidRDefault="00B91C17" w:rsidP="00897BB0">
            <w:pPr>
              <w:jc w:val="both"/>
            </w:pPr>
            <w:r w:rsidRPr="00806776">
              <w:tab/>
              <w:t xml:space="preserve">3. Ţinînd cont că după aprobarea proiectului Hotărârii de Guvern cu privire la aprobarea Metodologiei de estimare a costurilor administrative prin aplicarea Modelului Costului Standard vor fi stabilite obligaţii adiţionale organului de reglementare, considerăm că este necesar de exclus din punctele 2 şi 3 ale Proiectului de Hotărâre a Guvernului cuvintele </w:t>
            </w:r>
            <w:r w:rsidR="00897BB0" w:rsidRPr="00806776">
              <w:t>„</w:t>
            </w:r>
            <w:r w:rsidRPr="00806776">
              <w:t>instituţiile publice autonome cu atribuţii în domeniul reglementării activităţii de întreprinzător</w:t>
            </w:r>
            <w:r w:rsidR="00897BB0" w:rsidRPr="00806776">
              <w:t>”</w:t>
            </w:r>
            <w:r w:rsidRPr="00806776">
              <w:t>, deoarece atribuţiile şi funcţiile organului de reglementare urmează a fi stabilite prin Lege, dar nu prin Hotărâre de Guvern.</w:t>
            </w:r>
          </w:p>
        </w:tc>
        <w:tc>
          <w:tcPr>
            <w:tcW w:w="6541" w:type="dxa"/>
          </w:tcPr>
          <w:p w:rsidR="0041130A" w:rsidRPr="004151AE" w:rsidRDefault="00753DFC" w:rsidP="00897BB0">
            <w:pPr>
              <w:pStyle w:val="a9"/>
              <w:jc w:val="both"/>
              <w:rPr>
                <w:b/>
              </w:rPr>
            </w:pPr>
            <w:r w:rsidRPr="004151AE">
              <w:rPr>
                <w:b/>
              </w:rPr>
              <w:t>Se acceptă parţial.</w:t>
            </w:r>
          </w:p>
          <w:p w:rsidR="003B2805" w:rsidRPr="00806776" w:rsidRDefault="009A5AFD" w:rsidP="00897BB0">
            <w:pPr>
              <w:pStyle w:val="a9"/>
              <w:jc w:val="both"/>
            </w:pPr>
            <w:r w:rsidRPr="00806776">
              <w:tab/>
            </w:r>
            <w:r w:rsidR="003B2805" w:rsidRPr="00806776">
              <w:t xml:space="preserve">Necesitatea eliminării </w:t>
            </w:r>
            <w:proofErr w:type="spellStart"/>
            <w:r w:rsidR="003B2805" w:rsidRPr="00806776">
              <w:t>constrîngerilor</w:t>
            </w:r>
            <w:proofErr w:type="spellEnd"/>
            <w:r w:rsidR="003B2805" w:rsidRPr="00806776">
              <w:t xml:space="preserve"> de reglementare şi a costurilor neargumentate pentru agenţii economici este stabilită în Strategia naţională de dezvoltare “Moldova 2020”, adoptată prin Legea nr.166 din 11.07.2012 la</w:t>
            </w:r>
            <w:r w:rsidR="00BB46BA" w:rsidRPr="00806776">
              <w:t xml:space="preserve"> compartimentul</w:t>
            </w:r>
            <w:r w:rsidR="003B2805" w:rsidRPr="00806776">
              <w:t xml:space="preserve"> “BUSINESS: CU REGULI CLARE DE JOC”.</w:t>
            </w:r>
          </w:p>
          <w:p w:rsidR="001D73D5" w:rsidRPr="00806776" w:rsidRDefault="00255BB5" w:rsidP="00897BB0">
            <w:pPr>
              <w:pStyle w:val="a9"/>
              <w:jc w:val="both"/>
            </w:pPr>
            <w:r w:rsidRPr="00806776">
              <w:t>/</w:t>
            </w:r>
            <w:r w:rsidR="00BB46BA" w:rsidRPr="00806776">
              <w:t>În capitolul „VIZIUNEA STRATEGICĂ”</w:t>
            </w:r>
            <w:r w:rsidR="00BC4316" w:rsidRPr="00806776">
              <w:t xml:space="preserve"> este stabilit că: „Optimizarea procedurilor şi a perioadei de timp necesare unui agent economic pentru lansarea, desfăşurarea şi lichidarea afacerii prin aplicarea unor abordări inovaţionale în reglementarea afacerilor, cum ar fi digitalizarea procesului de prestare a serviciilor publice, precum şi schimbarea accentului de pe inspecţii pe consiliere, inspecţiile fiind realizate în baza principiului riscului perceput, va ameliora semnificativ mediul de afaceri, </w:t>
            </w:r>
            <w:proofErr w:type="spellStart"/>
            <w:r w:rsidR="00BC4316" w:rsidRPr="00806776">
              <w:t>diminuînd</w:t>
            </w:r>
            <w:proofErr w:type="spellEnd"/>
            <w:r w:rsidR="00BC4316" w:rsidRPr="00806776">
              <w:t>, totodată, costurile administrative inutile şi, implicit, va asigura dezvoltarea economică</w:t>
            </w:r>
            <w:r w:rsidR="00897BB0" w:rsidRPr="00806776">
              <w:t>.</w:t>
            </w:r>
            <w:r w:rsidR="00BC4316" w:rsidRPr="00806776">
              <w:t>”.</w:t>
            </w:r>
          </w:p>
          <w:p w:rsidR="001D73D5" w:rsidRPr="00806776" w:rsidRDefault="00BC4316" w:rsidP="00897BB0">
            <w:pPr>
              <w:pStyle w:val="a9"/>
              <w:jc w:val="both"/>
            </w:pPr>
            <w:r w:rsidRPr="00806776">
              <w:t xml:space="preserve">/În capitolul „IMPACTUL SCONTAT” este stabilit că: „Eliminarea </w:t>
            </w:r>
            <w:proofErr w:type="spellStart"/>
            <w:r w:rsidRPr="00806776">
              <w:t>constrîngerilor</w:t>
            </w:r>
            <w:proofErr w:type="spellEnd"/>
            <w:r w:rsidRPr="00806776">
              <w:t xml:space="preserve"> de reglementare şi a costurilor neargumentate ar crea premise pentru o dezvoltare economică mai dinamică, inteligentă şi durabilă, </w:t>
            </w:r>
            <w:proofErr w:type="spellStart"/>
            <w:r w:rsidRPr="00806776">
              <w:t>încurajînd</w:t>
            </w:r>
            <w:proofErr w:type="spellEnd"/>
            <w:r w:rsidRPr="00806776">
              <w:t xml:space="preserve"> investiţiile în sectoarele productive ale economiei naţionale, crearea de produse noi şi accesul mai larg pe pieţele de desfacere străine.”.</w:t>
            </w:r>
          </w:p>
          <w:p w:rsidR="003B2805" w:rsidRPr="00806776" w:rsidRDefault="00320F73" w:rsidP="00897BB0">
            <w:pPr>
              <w:pStyle w:val="a9"/>
              <w:jc w:val="both"/>
            </w:pPr>
            <w:r w:rsidRPr="00806776">
              <w:tab/>
              <w:t>As</w:t>
            </w:r>
            <w:r w:rsidR="001D73D5" w:rsidRPr="00806776">
              <w:t>t</w:t>
            </w:r>
            <w:r w:rsidRPr="00806776">
              <w:t xml:space="preserve">fel, </w:t>
            </w:r>
            <w:r w:rsidR="00090802" w:rsidRPr="00806776">
              <w:t xml:space="preserve">reieşind din funcţiile şi atribuţiile ANRE stabilite în </w:t>
            </w:r>
            <w:r w:rsidR="00727F91" w:rsidRPr="00806776">
              <w:t xml:space="preserve">Regulamentul de organizare şi funcţionare a Agenţiei Naţionale pentru Reglementare în Energetică, aprobat prin </w:t>
            </w:r>
            <w:proofErr w:type="spellStart"/>
            <w:r w:rsidR="00727F91" w:rsidRPr="00806776">
              <w:t>Hotărîrea</w:t>
            </w:r>
            <w:proofErr w:type="spellEnd"/>
            <w:r w:rsidR="00727F91" w:rsidRPr="00806776">
              <w:t xml:space="preserve"> Parlamentului nr.238 din 26.10.2012</w:t>
            </w:r>
            <w:r w:rsidR="006F10E8" w:rsidRPr="00806776">
              <w:t xml:space="preserve">, </w:t>
            </w:r>
            <w:r w:rsidRPr="00806776">
              <w:t xml:space="preserve">sarcinile menţionate mai sus sunt obligatorii </w:t>
            </w:r>
            <w:r w:rsidR="00801FB9" w:rsidRPr="00806776">
              <w:t xml:space="preserve">pentru ANRE, </w:t>
            </w:r>
            <w:r w:rsidRPr="00806776">
              <w:t>inclusiv şi pentru</w:t>
            </w:r>
            <w:r w:rsidR="00801FB9" w:rsidRPr="00806776">
              <w:t xml:space="preserve"> alte </w:t>
            </w:r>
            <w:r w:rsidRPr="00806776">
              <w:t xml:space="preserve"> </w:t>
            </w:r>
            <w:r w:rsidR="00801FB9" w:rsidRPr="00806776">
              <w:t>instituţii</w:t>
            </w:r>
            <w:r w:rsidRPr="00806776">
              <w:t xml:space="preserve"> publice autonome cu atribuţii în domeniul reglementării activităţii de întreprinzător.</w:t>
            </w:r>
          </w:p>
          <w:p w:rsidR="009A5AFD" w:rsidRPr="00806776" w:rsidRDefault="007A3FA0" w:rsidP="00897BB0">
            <w:pPr>
              <w:pStyle w:val="a9"/>
              <w:jc w:val="both"/>
              <w:rPr>
                <w:i/>
              </w:rPr>
            </w:pPr>
            <w:r w:rsidRPr="00806776">
              <w:tab/>
              <w:t xml:space="preserve">Obligaţia generală de revizuire periodică a domeniilor de </w:t>
            </w:r>
            <w:r w:rsidRPr="00806776">
              <w:lastRenderedPageBreak/>
              <w:t xml:space="preserve">reglementare este stabilită în art.3 din Legea privind implementarea ghişeului unic în desfăşurarea activităţii de întreprinzător nr.161 din 22.07.2011, care prevede că </w:t>
            </w:r>
            <w:r w:rsidRPr="00806776">
              <w:rPr>
                <w:i/>
              </w:rPr>
              <w:t>“</w:t>
            </w:r>
            <w:r w:rsidR="00897BB0" w:rsidRPr="00806776">
              <w:rPr>
                <w:i/>
              </w:rPr>
              <w:t xml:space="preserve">În </w:t>
            </w:r>
            <w:r w:rsidRPr="00806776">
              <w:rPr>
                <w:i/>
              </w:rPr>
              <w:t xml:space="preserve">scopul eficientizării fluxului de informaţie necesară acordării unor drepturi şi impunerii unor obligaţii pentru iniţierea, desfăşurarea şi încetarea activităţii de întreprinzător şi a acţiunilor aferente ei, autorităţile </w:t>
            </w:r>
            <w:proofErr w:type="spellStart"/>
            <w:r w:rsidRPr="00806776">
              <w:rPr>
                <w:i/>
              </w:rPr>
              <w:t>sînt</w:t>
            </w:r>
            <w:proofErr w:type="spellEnd"/>
            <w:r w:rsidRPr="00806776">
              <w:rPr>
                <w:i/>
              </w:rPr>
              <w:t xml:space="preserve"> obligate să examineze periodic domeniile existente de reglementare, de control şi de administrare, precum şi procedurile din cadrul acestora, în vederea raţionalizării lor prin anularea sau fuzionarea procedurilor sau a cerinţelor care nu </w:t>
            </w:r>
            <w:proofErr w:type="spellStart"/>
            <w:r w:rsidRPr="00806776">
              <w:rPr>
                <w:i/>
              </w:rPr>
              <w:t>sînt</w:t>
            </w:r>
            <w:proofErr w:type="spellEnd"/>
            <w:r w:rsidRPr="00806776">
              <w:rPr>
                <w:i/>
              </w:rPr>
              <w:t xml:space="preserve"> indispensabile şi prin crearea de ghişee unice</w:t>
            </w:r>
            <w:r w:rsidR="00897BB0" w:rsidRPr="00806776">
              <w:rPr>
                <w:i/>
              </w:rPr>
              <w:t>.</w:t>
            </w:r>
            <w:r w:rsidRPr="00806776">
              <w:rPr>
                <w:i/>
              </w:rPr>
              <w:t>”.</w:t>
            </w:r>
          </w:p>
          <w:p w:rsidR="007475A5" w:rsidRPr="00806776" w:rsidRDefault="007475A5" w:rsidP="00897BB0">
            <w:pPr>
              <w:pStyle w:val="a9"/>
              <w:jc w:val="both"/>
            </w:pPr>
          </w:p>
        </w:tc>
      </w:tr>
      <w:tr w:rsidR="00871931" w:rsidRPr="00806776" w:rsidTr="00A5702C">
        <w:trPr>
          <w:trHeight w:val="20"/>
        </w:trPr>
        <w:tc>
          <w:tcPr>
            <w:tcW w:w="392" w:type="dxa"/>
          </w:tcPr>
          <w:p w:rsidR="00871931" w:rsidRPr="00806776" w:rsidRDefault="00871931" w:rsidP="00D354BE">
            <w:pPr>
              <w:pStyle w:val="a8"/>
              <w:spacing w:after="0" w:line="240" w:lineRule="auto"/>
              <w:ind w:left="0"/>
            </w:pPr>
          </w:p>
        </w:tc>
        <w:tc>
          <w:tcPr>
            <w:tcW w:w="7796" w:type="dxa"/>
          </w:tcPr>
          <w:p w:rsidR="00871931" w:rsidRPr="00806776" w:rsidRDefault="00871931" w:rsidP="00897BB0">
            <w:pPr>
              <w:jc w:val="both"/>
              <w:rPr>
                <w:b/>
              </w:rPr>
            </w:pPr>
            <w:r w:rsidRPr="00806776">
              <w:rPr>
                <w:b/>
              </w:rPr>
              <w:t>Agenţia Relaţii Funciare şi Cadastru</w:t>
            </w:r>
          </w:p>
          <w:p w:rsidR="00871931" w:rsidRPr="00806776" w:rsidRDefault="00871931" w:rsidP="00897BB0">
            <w:pPr>
              <w:jc w:val="both"/>
            </w:pPr>
            <w:r w:rsidRPr="00806776">
              <w:t>(nr.36/01-06/1656 din 05.09.2014)</w:t>
            </w:r>
          </w:p>
        </w:tc>
        <w:tc>
          <w:tcPr>
            <w:tcW w:w="6541" w:type="dxa"/>
          </w:tcPr>
          <w:p w:rsidR="00871931" w:rsidRPr="00806776" w:rsidRDefault="00871931" w:rsidP="00897BB0">
            <w:pPr>
              <w:jc w:val="both"/>
            </w:pPr>
          </w:p>
        </w:tc>
      </w:tr>
      <w:tr w:rsidR="00871931" w:rsidRPr="00806776" w:rsidTr="00A5702C">
        <w:trPr>
          <w:trHeight w:val="20"/>
        </w:trPr>
        <w:tc>
          <w:tcPr>
            <w:tcW w:w="392" w:type="dxa"/>
          </w:tcPr>
          <w:p w:rsidR="00871931" w:rsidRPr="00806776" w:rsidRDefault="00871931" w:rsidP="0054136A">
            <w:pPr>
              <w:pStyle w:val="a8"/>
              <w:numPr>
                <w:ilvl w:val="0"/>
                <w:numId w:val="8"/>
              </w:numPr>
              <w:spacing w:after="0" w:line="240" w:lineRule="auto"/>
              <w:ind w:left="0" w:firstLine="0"/>
            </w:pPr>
          </w:p>
        </w:tc>
        <w:tc>
          <w:tcPr>
            <w:tcW w:w="7796" w:type="dxa"/>
          </w:tcPr>
          <w:p w:rsidR="00871931" w:rsidRPr="00806776" w:rsidRDefault="00871931" w:rsidP="00897BB0">
            <w:pPr>
              <w:jc w:val="both"/>
            </w:pPr>
            <w:r w:rsidRPr="00806776">
              <w:t>Au comunicat lipsă de propuneri şi obiecţii.</w:t>
            </w:r>
          </w:p>
        </w:tc>
        <w:tc>
          <w:tcPr>
            <w:tcW w:w="6541" w:type="dxa"/>
          </w:tcPr>
          <w:p w:rsidR="00871931" w:rsidRPr="00806776" w:rsidRDefault="00871931" w:rsidP="00897BB0">
            <w:pPr>
              <w:jc w:val="both"/>
            </w:pPr>
          </w:p>
        </w:tc>
      </w:tr>
      <w:tr w:rsidR="00871931" w:rsidRPr="00806776" w:rsidTr="00A5702C">
        <w:trPr>
          <w:trHeight w:val="20"/>
        </w:trPr>
        <w:tc>
          <w:tcPr>
            <w:tcW w:w="392" w:type="dxa"/>
          </w:tcPr>
          <w:p w:rsidR="00871931" w:rsidRPr="00806776" w:rsidRDefault="00871931" w:rsidP="00D354BE">
            <w:pPr>
              <w:pStyle w:val="a8"/>
              <w:spacing w:after="0" w:line="240" w:lineRule="auto"/>
              <w:ind w:left="0"/>
            </w:pPr>
          </w:p>
        </w:tc>
        <w:tc>
          <w:tcPr>
            <w:tcW w:w="7796" w:type="dxa"/>
          </w:tcPr>
          <w:p w:rsidR="00871931" w:rsidRPr="00806776" w:rsidRDefault="00871931" w:rsidP="00897BB0">
            <w:pPr>
              <w:jc w:val="both"/>
              <w:rPr>
                <w:b/>
              </w:rPr>
            </w:pPr>
            <w:r w:rsidRPr="00806776">
              <w:rPr>
                <w:b/>
              </w:rPr>
              <w:t>Academia de Ştiinţe a Moldovei</w:t>
            </w:r>
          </w:p>
          <w:p w:rsidR="00871931" w:rsidRPr="00806776" w:rsidRDefault="00D52F36" w:rsidP="00897BB0">
            <w:pPr>
              <w:jc w:val="both"/>
            </w:pPr>
            <w:r w:rsidRPr="00806776">
              <w:t>(nr.1532-23/7 din 09.09.2014)</w:t>
            </w:r>
          </w:p>
        </w:tc>
        <w:tc>
          <w:tcPr>
            <w:tcW w:w="6541" w:type="dxa"/>
          </w:tcPr>
          <w:p w:rsidR="00871931" w:rsidRPr="00806776" w:rsidRDefault="00871931" w:rsidP="00897BB0">
            <w:pPr>
              <w:pStyle w:val="a9"/>
              <w:jc w:val="both"/>
            </w:pPr>
          </w:p>
        </w:tc>
      </w:tr>
      <w:tr w:rsidR="00871931" w:rsidRPr="00806776" w:rsidTr="00A5702C">
        <w:trPr>
          <w:trHeight w:val="20"/>
        </w:trPr>
        <w:tc>
          <w:tcPr>
            <w:tcW w:w="392" w:type="dxa"/>
          </w:tcPr>
          <w:p w:rsidR="00871931" w:rsidRPr="00806776" w:rsidRDefault="00871931" w:rsidP="0054136A">
            <w:pPr>
              <w:pStyle w:val="a8"/>
              <w:numPr>
                <w:ilvl w:val="0"/>
                <w:numId w:val="8"/>
              </w:numPr>
              <w:spacing w:after="0" w:line="240" w:lineRule="auto"/>
              <w:ind w:left="0" w:firstLine="0"/>
            </w:pPr>
          </w:p>
        </w:tc>
        <w:tc>
          <w:tcPr>
            <w:tcW w:w="7796" w:type="dxa"/>
          </w:tcPr>
          <w:p w:rsidR="00871931" w:rsidRPr="00462BAB" w:rsidRDefault="00871931" w:rsidP="00897BB0">
            <w:pPr>
              <w:jc w:val="both"/>
              <w:rPr>
                <w:sz w:val="23"/>
                <w:szCs w:val="23"/>
              </w:rPr>
            </w:pPr>
            <w:r w:rsidRPr="00462BAB">
              <w:rPr>
                <w:sz w:val="23"/>
                <w:szCs w:val="23"/>
              </w:rPr>
              <w:tab/>
              <w:t xml:space="preserve">Republica Moldova este antrenată în procesul de integrare europeană şi, prin urmare, trebuie să-şi asume obligaţiile şi responsabilităţile implicite în toate domeniile. Scopul acestei metodologii este de a  asigura existenţa unui instrument de estimare a costurilor administrative suportate de către agenţii economici. </w:t>
            </w:r>
          </w:p>
          <w:p w:rsidR="00871931" w:rsidRPr="00462BAB" w:rsidRDefault="00871931" w:rsidP="00897BB0">
            <w:pPr>
              <w:jc w:val="both"/>
              <w:rPr>
                <w:sz w:val="23"/>
                <w:szCs w:val="23"/>
              </w:rPr>
            </w:pPr>
            <w:r w:rsidRPr="00462BAB">
              <w:rPr>
                <w:sz w:val="23"/>
                <w:szCs w:val="23"/>
              </w:rPr>
              <w:tab/>
              <w:t>Considerăm, că este un mare avantaj pentru agenţii economici de a se face claritate în estimarea costurilor administrative, deoarece activitatea lor este legată şi de tot felul de rapoarte, dări de seamă, formarea de documente necesare pentru activitatea agentului economic.  Toate aceste activităţi cer cheltuieli de timp şi cheltuieli materiale – adică au un cost suportat de agentul economic. În legătură cu aceasta, este necesar de estimat costurile, aşa numite, administrative. Guvernul Republicii Moldova propune o Metodologie de estimare a costurilor administrative, aplicând Modelul Costului Standard.</w:t>
            </w:r>
          </w:p>
          <w:p w:rsidR="00D52F36" w:rsidRPr="00462BAB" w:rsidRDefault="00D52F36" w:rsidP="00897BB0">
            <w:pPr>
              <w:jc w:val="both"/>
              <w:rPr>
                <w:sz w:val="23"/>
                <w:szCs w:val="23"/>
              </w:rPr>
            </w:pPr>
            <w:r w:rsidRPr="00462BAB">
              <w:rPr>
                <w:sz w:val="23"/>
                <w:szCs w:val="23"/>
              </w:rPr>
              <w:tab/>
              <w:t>Considerăm, că sunt obiectivi şi reali indicatorii care sunt luaţi în calcul la determinarea costurilor administrative ale agentului economic, cum ar fi:</w:t>
            </w:r>
          </w:p>
          <w:p w:rsidR="00D52F36" w:rsidRPr="00462BAB" w:rsidRDefault="00D52F36" w:rsidP="00897BB0">
            <w:pPr>
              <w:jc w:val="both"/>
              <w:rPr>
                <w:sz w:val="23"/>
                <w:szCs w:val="23"/>
              </w:rPr>
            </w:pPr>
            <w:r w:rsidRPr="00462BAB">
              <w:rPr>
                <w:sz w:val="23"/>
                <w:szCs w:val="23"/>
              </w:rPr>
              <w:tab/>
              <w:t>– Preţul calculat  ca: Timp x Tarif;</w:t>
            </w:r>
          </w:p>
          <w:p w:rsidR="00D52F36" w:rsidRPr="00462BAB" w:rsidRDefault="00D52F36" w:rsidP="00897BB0">
            <w:pPr>
              <w:pStyle w:val="1"/>
              <w:spacing w:after="0" w:line="240" w:lineRule="auto"/>
              <w:ind w:left="0"/>
              <w:jc w:val="both"/>
              <w:rPr>
                <w:sz w:val="23"/>
                <w:szCs w:val="23"/>
              </w:rPr>
            </w:pPr>
            <w:r w:rsidRPr="00462BAB">
              <w:rPr>
                <w:sz w:val="23"/>
                <w:szCs w:val="23"/>
              </w:rPr>
              <w:tab/>
              <w:t xml:space="preserve">– Cantitatea, determinată de numărul de agenţi economici  înmulţită la frecvenţa informaţiei reglementare dată de agentul economic  organelor ierarhic superioare. </w:t>
            </w:r>
          </w:p>
          <w:p w:rsidR="00D52F36" w:rsidRPr="00462BAB" w:rsidRDefault="00D52F36" w:rsidP="00897BB0">
            <w:pPr>
              <w:jc w:val="both"/>
              <w:rPr>
                <w:sz w:val="23"/>
                <w:szCs w:val="23"/>
              </w:rPr>
            </w:pPr>
            <w:r w:rsidRPr="00462BAB">
              <w:rPr>
                <w:sz w:val="23"/>
                <w:szCs w:val="23"/>
              </w:rPr>
              <w:tab/>
              <w:t>Toate aceste sunt clar expuse  în Metodologie şi exemplificate foarte bine.</w:t>
            </w:r>
          </w:p>
        </w:tc>
        <w:tc>
          <w:tcPr>
            <w:tcW w:w="6541" w:type="dxa"/>
          </w:tcPr>
          <w:p w:rsidR="00871931" w:rsidRPr="008D2EE9" w:rsidRDefault="0084694A" w:rsidP="00897BB0">
            <w:pPr>
              <w:pStyle w:val="a9"/>
              <w:jc w:val="both"/>
              <w:rPr>
                <w:b/>
              </w:rPr>
            </w:pPr>
            <w:r w:rsidRPr="008D2EE9">
              <w:rPr>
                <w:b/>
              </w:rPr>
              <w:t>Se acceptă constatările expuse</w:t>
            </w:r>
            <w:r w:rsidR="00E1284A" w:rsidRPr="008D2EE9">
              <w:rPr>
                <w:b/>
              </w:rPr>
              <w:t>.</w:t>
            </w:r>
          </w:p>
        </w:tc>
      </w:tr>
      <w:tr w:rsidR="000B472D" w:rsidRPr="00806776" w:rsidTr="00A5702C">
        <w:trPr>
          <w:trHeight w:val="20"/>
        </w:trPr>
        <w:tc>
          <w:tcPr>
            <w:tcW w:w="392" w:type="dxa"/>
          </w:tcPr>
          <w:p w:rsidR="000B472D" w:rsidRPr="00806776" w:rsidRDefault="000B472D" w:rsidP="0054136A">
            <w:pPr>
              <w:pStyle w:val="a8"/>
              <w:numPr>
                <w:ilvl w:val="0"/>
                <w:numId w:val="8"/>
              </w:numPr>
              <w:spacing w:after="0" w:line="240" w:lineRule="auto"/>
              <w:ind w:left="0" w:firstLine="0"/>
            </w:pPr>
          </w:p>
        </w:tc>
        <w:tc>
          <w:tcPr>
            <w:tcW w:w="7796" w:type="dxa"/>
          </w:tcPr>
          <w:p w:rsidR="000B472D" w:rsidRPr="00806776" w:rsidRDefault="000B472D" w:rsidP="00897BB0">
            <w:pPr>
              <w:pStyle w:val="1"/>
              <w:spacing w:after="0" w:line="240" w:lineRule="auto"/>
              <w:ind w:left="0"/>
              <w:jc w:val="both"/>
            </w:pPr>
            <w:r w:rsidRPr="00806776">
              <w:tab/>
              <w:t>Totodată, dorim să menţionăm anumite obiecţii sau întrebări, care cer explicaţii suplimentare, cum ar fi:</w:t>
            </w:r>
          </w:p>
          <w:p w:rsidR="000B472D" w:rsidRPr="00806776" w:rsidRDefault="000B472D" w:rsidP="00897BB0">
            <w:pPr>
              <w:pStyle w:val="1"/>
              <w:spacing w:after="0" w:line="240" w:lineRule="auto"/>
              <w:ind w:left="0"/>
              <w:jc w:val="both"/>
            </w:pPr>
            <w:r w:rsidRPr="00806776">
              <w:lastRenderedPageBreak/>
              <w:tab/>
              <w:t xml:space="preserve">1. Estimarea timpului necesar realizării activităţilor administrative efectuate în baza datelor obţinute în cadrul </w:t>
            </w:r>
            <w:r w:rsidRPr="00806776">
              <w:rPr>
                <w:u w:val="single"/>
              </w:rPr>
              <w:t>interviurilor</w:t>
            </w:r>
            <w:r w:rsidRPr="00806776">
              <w:t xml:space="preserve"> cu agenţii economici. </w:t>
            </w:r>
            <w:r w:rsidRPr="00806776">
              <w:rPr>
                <w:i/>
              </w:rPr>
              <w:t xml:space="preserve">Există o teamă, că se va majora timpul intenţionat, având drept scop de a mări alocaţiile aprobate anual în bugetul de stat. </w:t>
            </w:r>
            <w:r w:rsidRPr="00806776">
              <w:t xml:space="preserve">Este necesar de a analiza experienţa ţărilor UE referitor la acest capitol. </w:t>
            </w:r>
          </w:p>
        </w:tc>
        <w:tc>
          <w:tcPr>
            <w:tcW w:w="6541" w:type="dxa"/>
            <w:vMerge w:val="restart"/>
          </w:tcPr>
          <w:p w:rsidR="000B472D" w:rsidRPr="008D2EE9" w:rsidRDefault="00F7541A" w:rsidP="00897BB0">
            <w:pPr>
              <w:pStyle w:val="a9"/>
              <w:jc w:val="both"/>
              <w:rPr>
                <w:b/>
              </w:rPr>
            </w:pPr>
            <w:r w:rsidRPr="008D2EE9">
              <w:rPr>
                <w:b/>
              </w:rPr>
              <w:lastRenderedPageBreak/>
              <w:t>Se acceptă parţial</w:t>
            </w:r>
            <w:r w:rsidR="000B472D" w:rsidRPr="008D2EE9">
              <w:rPr>
                <w:b/>
              </w:rPr>
              <w:t>.</w:t>
            </w:r>
          </w:p>
          <w:p w:rsidR="000B472D" w:rsidRPr="00806776" w:rsidRDefault="008D0B4F" w:rsidP="00897BB0">
            <w:pPr>
              <w:pStyle w:val="a9"/>
              <w:jc w:val="both"/>
            </w:pPr>
            <w:r w:rsidRPr="00806776">
              <w:tab/>
            </w:r>
            <w:r w:rsidR="00272AF6" w:rsidRPr="00806776">
              <w:t xml:space="preserve">Metodologia de estimare a costurilor administrative prin </w:t>
            </w:r>
            <w:r w:rsidR="00272AF6" w:rsidRPr="00806776">
              <w:lastRenderedPageBreak/>
              <w:t xml:space="preserve">aplicarea Modelului Costului Standard stabileşte modalitatea de identificare şi cuantificare a </w:t>
            </w:r>
            <w:r w:rsidR="00272AF6" w:rsidRPr="00806776">
              <w:rPr>
                <w:b/>
              </w:rPr>
              <w:t>costurilor administrative suportate de către agenţii economici</w:t>
            </w:r>
            <w:r w:rsidR="00272AF6" w:rsidRPr="00806776">
              <w:t xml:space="preserve"> ca rezultat al necesităţii respectării prevederilor reglementărilor impuse de către instituţiile statului.</w:t>
            </w:r>
          </w:p>
          <w:p w:rsidR="00F7541A" w:rsidRPr="00806776" w:rsidRDefault="008B30D3" w:rsidP="00897BB0">
            <w:pPr>
              <w:pStyle w:val="a9"/>
              <w:jc w:val="both"/>
            </w:pPr>
            <w:r w:rsidRPr="00806776">
              <w:t xml:space="preserve">Evaluările obţinute în baza </w:t>
            </w:r>
            <w:r w:rsidR="00B64234" w:rsidRPr="00806776">
              <w:t>Metodologiei date</w:t>
            </w:r>
            <w:r w:rsidR="00FC62A1" w:rsidRPr="00806776">
              <w:t xml:space="preserve"> vor reflecta doar costurile suportate de către agenţii economici care</w:t>
            </w:r>
            <w:r w:rsidR="00AC0DD4" w:rsidRPr="00806776">
              <w:t xml:space="preserve"> </w:t>
            </w:r>
            <w:r w:rsidR="00B64234" w:rsidRPr="00806776">
              <w:t xml:space="preserve">nu au </w:t>
            </w:r>
            <w:r w:rsidR="00FC62A1" w:rsidRPr="00806776">
              <w:t xml:space="preserve">nici o </w:t>
            </w:r>
            <w:r w:rsidR="00B64234" w:rsidRPr="00806776">
              <w:t>tangenţă cu costurile administrative suportate de către instituţiile statului</w:t>
            </w:r>
            <w:r w:rsidR="00FA10D4" w:rsidRPr="00806776">
              <w:t>, care sunt finanţate din Bugetul de Stat.</w:t>
            </w:r>
          </w:p>
          <w:p w:rsidR="00F7541A" w:rsidRPr="00806776" w:rsidRDefault="00F7541A" w:rsidP="00897BB0">
            <w:pPr>
              <w:pStyle w:val="a9"/>
              <w:jc w:val="both"/>
            </w:pPr>
          </w:p>
        </w:tc>
      </w:tr>
      <w:tr w:rsidR="000B472D" w:rsidRPr="00806776" w:rsidTr="00A5702C">
        <w:trPr>
          <w:trHeight w:val="20"/>
        </w:trPr>
        <w:tc>
          <w:tcPr>
            <w:tcW w:w="392" w:type="dxa"/>
          </w:tcPr>
          <w:p w:rsidR="000B472D" w:rsidRPr="00806776" w:rsidRDefault="000B472D" w:rsidP="0054136A">
            <w:pPr>
              <w:pStyle w:val="a8"/>
              <w:numPr>
                <w:ilvl w:val="0"/>
                <w:numId w:val="8"/>
              </w:numPr>
              <w:spacing w:after="0" w:line="240" w:lineRule="auto"/>
              <w:ind w:left="0" w:firstLine="0"/>
            </w:pPr>
          </w:p>
        </w:tc>
        <w:tc>
          <w:tcPr>
            <w:tcW w:w="7796" w:type="dxa"/>
          </w:tcPr>
          <w:p w:rsidR="000B472D" w:rsidRPr="00806776" w:rsidRDefault="000B472D" w:rsidP="00897BB0">
            <w:pPr>
              <w:pStyle w:val="1"/>
              <w:spacing w:after="0" w:line="240" w:lineRule="auto"/>
              <w:ind w:left="0"/>
              <w:jc w:val="both"/>
            </w:pPr>
            <w:r w:rsidRPr="00806776">
              <w:tab/>
              <w:t>2</w:t>
            </w:r>
            <w:r w:rsidRPr="00806776">
              <w:rPr>
                <w:u w:val="single"/>
              </w:rPr>
              <w:t>. Problema costurilor suplimentare</w:t>
            </w:r>
            <w:r w:rsidRPr="00806776">
              <w:t xml:space="preserve"> trebuie să fie controlată, fiindcă cere acoperire cu mijloace bugetare.</w:t>
            </w:r>
          </w:p>
        </w:tc>
        <w:tc>
          <w:tcPr>
            <w:tcW w:w="6541" w:type="dxa"/>
            <w:vMerge/>
          </w:tcPr>
          <w:p w:rsidR="000B472D" w:rsidRPr="00806776" w:rsidRDefault="000B472D" w:rsidP="00897BB0">
            <w:pPr>
              <w:pStyle w:val="a9"/>
              <w:jc w:val="both"/>
            </w:pPr>
          </w:p>
        </w:tc>
      </w:tr>
      <w:tr w:rsidR="000B472D" w:rsidRPr="00806776" w:rsidTr="00A5702C">
        <w:trPr>
          <w:trHeight w:val="20"/>
        </w:trPr>
        <w:tc>
          <w:tcPr>
            <w:tcW w:w="392" w:type="dxa"/>
          </w:tcPr>
          <w:p w:rsidR="000B472D" w:rsidRPr="00806776" w:rsidRDefault="000B472D" w:rsidP="0054136A">
            <w:pPr>
              <w:pStyle w:val="a8"/>
              <w:numPr>
                <w:ilvl w:val="0"/>
                <w:numId w:val="8"/>
              </w:numPr>
              <w:spacing w:after="0" w:line="240" w:lineRule="auto"/>
              <w:ind w:left="0" w:firstLine="0"/>
            </w:pPr>
          </w:p>
        </w:tc>
        <w:tc>
          <w:tcPr>
            <w:tcW w:w="7796" w:type="dxa"/>
          </w:tcPr>
          <w:p w:rsidR="000B472D" w:rsidRPr="00806776" w:rsidRDefault="000B472D" w:rsidP="00897BB0">
            <w:pPr>
              <w:pStyle w:val="1"/>
              <w:spacing w:after="0" w:line="240" w:lineRule="auto"/>
              <w:ind w:left="0"/>
              <w:jc w:val="both"/>
            </w:pPr>
            <w:r w:rsidRPr="00806776">
              <w:tab/>
            </w:r>
            <w:r w:rsidRPr="00806776">
              <w:rPr>
                <w:u w:val="single"/>
              </w:rPr>
              <w:t xml:space="preserve">3. Recomandăm să fie elaborată o instrucţiune aparte, care va explica mecanismul constituirii şi utilizării alocaţiilor aprobate anual în bugetul de stat.  În acest caz, propunem ca </w:t>
            </w:r>
            <w:r w:rsidRPr="00806776">
              <w:t xml:space="preserve">agenţii economici  producători sau cu altă activitate, care au profit (trebuie să aibă profit!) să-şi </w:t>
            </w:r>
            <w:r w:rsidRPr="00806776">
              <w:rPr>
                <w:u w:val="single"/>
              </w:rPr>
              <w:t>creeze un fond de acoperire a acestor costuri</w:t>
            </w:r>
            <w:r w:rsidRPr="00806776">
              <w:t xml:space="preserve"> integral sau parţial </w:t>
            </w:r>
            <w:r w:rsidRPr="00806776">
              <w:rPr>
                <w:u w:val="single"/>
              </w:rPr>
              <w:t>din profitul net.</w:t>
            </w:r>
            <w:r w:rsidRPr="00806776">
              <w:t xml:space="preserve"> Considerăm, că prea mult se apasă asupra Bugetului de Stat, care mai are obligaţiunea şi necesitatea de a acoperi (echilibra) deficitele componentelor Bugetului Public Naţional.</w:t>
            </w:r>
          </w:p>
        </w:tc>
        <w:tc>
          <w:tcPr>
            <w:tcW w:w="6541" w:type="dxa"/>
            <w:vMerge/>
          </w:tcPr>
          <w:p w:rsidR="000B472D" w:rsidRPr="00806776" w:rsidRDefault="000B472D" w:rsidP="00897BB0">
            <w:pPr>
              <w:pStyle w:val="a9"/>
              <w:jc w:val="both"/>
            </w:pPr>
          </w:p>
        </w:tc>
      </w:tr>
      <w:tr w:rsidR="00871931" w:rsidRPr="00806776" w:rsidTr="00A5702C">
        <w:trPr>
          <w:trHeight w:val="20"/>
        </w:trPr>
        <w:tc>
          <w:tcPr>
            <w:tcW w:w="392" w:type="dxa"/>
          </w:tcPr>
          <w:p w:rsidR="00871931" w:rsidRPr="00806776" w:rsidRDefault="00871931" w:rsidP="0054136A">
            <w:pPr>
              <w:pStyle w:val="a8"/>
              <w:numPr>
                <w:ilvl w:val="0"/>
                <w:numId w:val="8"/>
              </w:numPr>
              <w:spacing w:after="0" w:line="240" w:lineRule="auto"/>
              <w:ind w:left="0" w:firstLine="0"/>
            </w:pPr>
          </w:p>
        </w:tc>
        <w:tc>
          <w:tcPr>
            <w:tcW w:w="7796" w:type="dxa"/>
          </w:tcPr>
          <w:p w:rsidR="00871931" w:rsidRPr="00806776" w:rsidRDefault="00871931" w:rsidP="00897BB0">
            <w:pPr>
              <w:pStyle w:val="1"/>
              <w:spacing w:after="0" w:line="240" w:lineRule="auto"/>
              <w:ind w:left="0"/>
              <w:jc w:val="both"/>
            </w:pPr>
            <w:r w:rsidRPr="00806776">
              <w:tab/>
              <w:t>În concluzie, putem afirma necesitatea şi import</w:t>
            </w:r>
            <w:r w:rsidR="0037739E" w:rsidRPr="00806776">
              <w:t xml:space="preserve">anţa acestui act normativ, iar </w:t>
            </w:r>
            <w:r w:rsidRPr="00806776">
              <w:t xml:space="preserve">Modelul Cost Standard trebuie să fie implementat. </w:t>
            </w:r>
          </w:p>
        </w:tc>
        <w:tc>
          <w:tcPr>
            <w:tcW w:w="6541" w:type="dxa"/>
          </w:tcPr>
          <w:p w:rsidR="00871931" w:rsidRPr="008D2EE9" w:rsidRDefault="000D7C18" w:rsidP="00897BB0">
            <w:pPr>
              <w:pStyle w:val="a9"/>
              <w:jc w:val="both"/>
              <w:rPr>
                <w:b/>
              </w:rPr>
            </w:pPr>
            <w:r w:rsidRPr="008D2EE9">
              <w:rPr>
                <w:b/>
              </w:rPr>
              <w:t>Se acceptă constatările expuse.</w:t>
            </w:r>
          </w:p>
        </w:tc>
      </w:tr>
      <w:tr w:rsidR="00871931" w:rsidRPr="00806776" w:rsidTr="00A5702C">
        <w:trPr>
          <w:trHeight w:val="20"/>
        </w:trPr>
        <w:tc>
          <w:tcPr>
            <w:tcW w:w="392" w:type="dxa"/>
          </w:tcPr>
          <w:p w:rsidR="00871931" w:rsidRPr="00806776" w:rsidRDefault="00871931" w:rsidP="00D354BE">
            <w:pPr>
              <w:pStyle w:val="a8"/>
              <w:spacing w:after="0" w:line="240" w:lineRule="auto"/>
              <w:ind w:left="0"/>
            </w:pPr>
          </w:p>
        </w:tc>
        <w:tc>
          <w:tcPr>
            <w:tcW w:w="7796" w:type="dxa"/>
          </w:tcPr>
          <w:p w:rsidR="00871931" w:rsidRPr="00806776" w:rsidRDefault="00871931" w:rsidP="00897BB0">
            <w:pPr>
              <w:jc w:val="both"/>
              <w:rPr>
                <w:b/>
              </w:rPr>
            </w:pPr>
            <w:r w:rsidRPr="00806776">
              <w:rPr>
                <w:b/>
              </w:rPr>
              <w:t>Casa Naţională de Asigurări Sociale</w:t>
            </w:r>
          </w:p>
          <w:p w:rsidR="00871931" w:rsidRPr="00806776" w:rsidRDefault="00871931" w:rsidP="00897BB0">
            <w:pPr>
              <w:jc w:val="both"/>
            </w:pPr>
            <w:r w:rsidRPr="00806776">
              <w:t>(nr. II-03/04-8578 din 19.09.2014)</w:t>
            </w:r>
          </w:p>
        </w:tc>
        <w:tc>
          <w:tcPr>
            <w:tcW w:w="6541" w:type="dxa"/>
          </w:tcPr>
          <w:p w:rsidR="00871931" w:rsidRPr="00806776" w:rsidRDefault="00871931" w:rsidP="00897BB0">
            <w:pPr>
              <w:pStyle w:val="a9"/>
              <w:jc w:val="both"/>
            </w:pPr>
          </w:p>
        </w:tc>
      </w:tr>
      <w:tr w:rsidR="00871931" w:rsidRPr="00806776" w:rsidTr="00A5702C">
        <w:trPr>
          <w:trHeight w:val="20"/>
        </w:trPr>
        <w:tc>
          <w:tcPr>
            <w:tcW w:w="392" w:type="dxa"/>
          </w:tcPr>
          <w:p w:rsidR="00871931" w:rsidRPr="00806776" w:rsidRDefault="00871931" w:rsidP="0054136A">
            <w:pPr>
              <w:pStyle w:val="a8"/>
              <w:numPr>
                <w:ilvl w:val="0"/>
                <w:numId w:val="8"/>
              </w:numPr>
              <w:spacing w:after="0" w:line="240" w:lineRule="auto"/>
              <w:ind w:left="0" w:firstLine="0"/>
            </w:pPr>
          </w:p>
        </w:tc>
        <w:tc>
          <w:tcPr>
            <w:tcW w:w="7796" w:type="dxa"/>
          </w:tcPr>
          <w:p w:rsidR="00871931" w:rsidRPr="00806776" w:rsidRDefault="00871931" w:rsidP="00897BB0">
            <w:pPr>
              <w:jc w:val="both"/>
            </w:pPr>
            <w:r w:rsidRPr="00806776">
              <w:tab/>
              <w:t>Pentru a asigura un grad înalt de obiectivitate şi imparţialitate în procesul evaluării costurilor administrative suportate de către agenţii economici, se propune ca Ministerul Economiei ca organ central, responsabil de reglementarea activităţii de întreprinzător, să efectueze asemenea evaluări cu atragerea altor instituţii fiind finanţaţi direct din bugetul de Stat.</w:t>
            </w:r>
          </w:p>
          <w:p w:rsidR="00871931" w:rsidRPr="00806776" w:rsidRDefault="00871931" w:rsidP="00897BB0">
            <w:pPr>
              <w:jc w:val="both"/>
            </w:pPr>
            <w:r w:rsidRPr="00806776">
              <w:tab/>
              <w:t>Astfel se propune ca la punctul doi al proiectului hotărîrii, sintagma „Ministerele, alte autorităţi administrative centrale, instituţii publice autonome cu atribuţii în domeniul reglementării activităţii de întreprinzător, separat sau în colaborare cu alte instituţii</w:t>
            </w:r>
            <w:r w:rsidR="00897BB0" w:rsidRPr="00806776">
              <w:t>”</w:t>
            </w:r>
            <w:r w:rsidRPr="00806776">
              <w:t xml:space="preserve"> de înlocuit cu „Ministerul Economiei</w:t>
            </w:r>
            <w:r w:rsidR="00897BB0" w:rsidRPr="00806776">
              <w:t>”</w:t>
            </w:r>
            <w:r w:rsidRPr="00806776">
              <w:t>, dat fiind faptul că instituţiile publice precum CNAS nu dispun de resurse umane, financiare pentru efectuarea unor asemenea evaluări.</w:t>
            </w:r>
          </w:p>
          <w:p w:rsidR="00871931" w:rsidRPr="00806776" w:rsidRDefault="00871931" w:rsidP="00897BB0">
            <w:pPr>
              <w:jc w:val="both"/>
            </w:pPr>
          </w:p>
        </w:tc>
        <w:tc>
          <w:tcPr>
            <w:tcW w:w="6541" w:type="dxa"/>
          </w:tcPr>
          <w:p w:rsidR="00871931" w:rsidRPr="00806776" w:rsidRDefault="00871931" w:rsidP="00897BB0">
            <w:pPr>
              <w:pStyle w:val="a9"/>
              <w:jc w:val="both"/>
              <w:rPr>
                <w:b/>
              </w:rPr>
            </w:pPr>
            <w:r w:rsidRPr="00806776">
              <w:rPr>
                <w:b/>
              </w:rPr>
              <w:t>Nu se acceptă.</w:t>
            </w:r>
          </w:p>
          <w:p w:rsidR="007D2E2D" w:rsidRPr="00806776" w:rsidRDefault="007D2E2D" w:rsidP="00897BB0">
            <w:pPr>
              <w:pStyle w:val="a9"/>
              <w:jc w:val="both"/>
            </w:pPr>
            <w:r w:rsidRPr="00806776">
              <w:tab/>
              <w:t>Potrivit prevederilor pct.5</w:t>
            </w:r>
            <w:r w:rsidRPr="00806776">
              <w:rPr>
                <w:vertAlign w:val="superscript"/>
              </w:rPr>
              <w:t>1</w:t>
            </w:r>
            <w:r w:rsidRPr="00806776">
              <w:t xml:space="preserve"> din Metodologia privind monitorizarea procesului de implementare a legislaţiei, aprobată prin </w:t>
            </w:r>
            <w:proofErr w:type="spellStart"/>
            <w:r w:rsidRPr="00806776">
              <w:t>Hotărîrea</w:t>
            </w:r>
            <w:proofErr w:type="spellEnd"/>
            <w:r w:rsidRPr="00806776">
              <w:t xml:space="preserve"> Guvernului nr.1181 din 22.12.2010 monitorizarea implementării actelor normative este efectuată de către organele centrale de specialitate ale administraţiei publice.</w:t>
            </w:r>
          </w:p>
          <w:p w:rsidR="007D2E2D" w:rsidRPr="00806776" w:rsidRDefault="007D2E2D" w:rsidP="00897BB0">
            <w:pPr>
              <w:pStyle w:val="a9"/>
              <w:jc w:val="both"/>
            </w:pPr>
            <w:r w:rsidRPr="00806776">
              <w:tab/>
              <w:t>Metodologia de estimare a costurilor administrative prin aplicarea Modelului Costului Standard va servi ca bază pentru determinarea indicatorilor cantitativi ale rezultatelor implementării actelor normative. Aceste date</w:t>
            </w:r>
            <w:r w:rsidR="00897BB0" w:rsidRPr="00806776">
              <w:t>,</w:t>
            </w:r>
            <w:r w:rsidRPr="00806776">
              <w:t xml:space="preserve"> de asemenea</w:t>
            </w:r>
            <w:r w:rsidR="00897BB0" w:rsidRPr="00806776">
              <w:t>,</w:t>
            </w:r>
            <w:r w:rsidRPr="00806776">
              <w:t xml:space="preserve"> vor </w:t>
            </w:r>
            <w:r w:rsidR="00897BB0" w:rsidRPr="00806776">
              <w:t>sta la</w:t>
            </w:r>
            <w:r w:rsidRPr="00806776">
              <w:t xml:space="preserve"> baza fundamentării economice şi a analizei impactului de reglementare pentru actele legislative în conformitate cu prevederile art.20 din Legea privind actele legislative nr.780-XV din 27.12.2001 şi pentru actele normative în conformitate cu prevederile art.37 din Legea privind actele normative ale Guvernului şi ale altor autorităţi ale administraţiei publice centrale şi locale nr.317-XV din 18.07.2003.</w:t>
            </w:r>
          </w:p>
          <w:p w:rsidR="007D2E2D" w:rsidRPr="00806776" w:rsidRDefault="007D2E2D" w:rsidP="00897BB0">
            <w:pPr>
              <w:pStyle w:val="a9"/>
              <w:jc w:val="both"/>
            </w:pPr>
            <w:r w:rsidRPr="00806776">
              <w:tab/>
              <w:t>În acest context, este necesar ca autorii reglementărilor să efectueze şi evaluările implementării acestora.</w:t>
            </w:r>
          </w:p>
          <w:p w:rsidR="00871931" w:rsidRPr="00806776" w:rsidRDefault="00871931" w:rsidP="00897BB0">
            <w:pPr>
              <w:pStyle w:val="a9"/>
              <w:jc w:val="both"/>
            </w:pPr>
            <w:r w:rsidRPr="00806776">
              <w:lastRenderedPageBreak/>
              <w:tab/>
              <w:t xml:space="preserve">De asemenea, este de menţionat că Planul de acţiuni pentru implementarea în anii 2013-2015 a Strategiei reformei cadrului de reglementare a activităţii de întreprinzător pentru anii 2013-2020, aprobat prin </w:t>
            </w:r>
            <w:proofErr w:type="spellStart"/>
            <w:r w:rsidRPr="00806776">
              <w:t>Hotărîrea</w:t>
            </w:r>
            <w:proofErr w:type="spellEnd"/>
            <w:r w:rsidRPr="00806776">
              <w:t xml:space="preserve"> Guvernului nr.1021 din 16.12.2013, prevede organizarea anuală </w:t>
            </w:r>
            <w:proofErr w:type="spellStart"/>
            <w:r w:rsidRPr="00806776">
              <w:t>începînd</w:t>
            </w:r>
            <w:proofErr w:type="spellEnd"/>
            <w:r w:rsidRPr="00806776">
              <w:t xml:space="preserve"> cu anul 2014 a următoarei acţiuni: „7. Elaborarea cursului privind analiza indicatorilor internaţionali şi a Modelului Costului Standard; organizarea acestui curs pentru reprezentanţii sectorului public şi privat”. În acest context, imediat ce proiectul de </w:t>
            </w:r>
            <w:proofErr w:type="spellStart"/>
            <w:r w:rsidRPr="00806776">
              <w:t>hotărîre</w:t>
            </w:r>
            <w:proofErr w:type="spellEnd"/>
            <w:r w:rsidRPr="00806776">
              <w:t xml:space="preserve"> de Guvern va fi aprobat, vor fi lansate instruiri în domeniu.</w:t>
            </w:r>
          </w:p>
        </w:tc>
      </w:tr>
      <w:tr w:rsidR="000A6BB3" w:rsidRPr="00806776" w:rsidTr="00A5702C">
        <w:trPr>
          <w:trHeight w:val="20"/>
        </w:trPr>
        <w:tc>
          <w:tcPr>
            <w:tcW w:w="392" w:type="dxa"/>
          </w:tcPr>
          <w:p w:rsidR="000A6BB3" w:rsidRPr="00806776" w:rsidRDefault="000A6BB3" w:rsidP="0054136A">
            <w:pPr>
              <w:pStyle w:val="a8"/>
              <w:numPr>
                <w:ilvl w:val="0"/>
                <w:numId w:val="8"/>
              </w:numPr>
              <w:spacing w:after="0" w:line="240" w:lineRule="auto"/>
              <w:ind w:left="0" w:firstLine="0"/>
            </w:pPr>
          </w:p>
        </w:tc>
        <w:tc>
          <w:tcPr>
            <w:tcW w:w="7796" w:type="dxa"/>
          </w:tcPr>
          <w:p w:rsidR="000A6BB3" w:rsidRPr="00806776" w:rsidRDefault="000A6BB3" w:rsidP="00897BB0">
            <w:pPr>
              <w:jc w:val="both"/>
            </w:pPr>
            <w:r w:rsidRPr="00806776">
              <w:tab/>
              <w:t xml:space="preserve">Cu referire la punctele 7, 8 şi 9 a Metodologiei de estimare a costurilor administrative prin aplicarea Modelului Costului Standard, comunicăm că instituţia publică pentru </w:t>
            </w:r>
            <w:proofErr w:type="spellStart"/>
            <w:r w:rsidRPr="00806776">
              <w:t>indentificarea</w:t>
            </w:r>
            <w:proofErr w:type="spellEnd"/>
            <w:r w:rsidRPr="00806776">
              <w:t xml:space="preserve"> obligaţiilor informaţionale, cerinţelor referitoare la date şi a activităţilor administrative, trebuie să deţină dreptul de acces la un vast volum de informaţie despre diferite aspecte a organizării activităţii economice şi administrative a întreprinderii. Cadrul legal în vigoare nu permite accesul instituţiilor publice la datele entităţilor, doar în cazurile prevăzute de Legea 131 din 8.06.2012 privind controlul de stat asupra activităţii de </w:t>
            </w:r>
            <w:proofErr w:type="spellStart"/>
            <w:r w:rsidRPr="00806776">
              <w:t>antreprinzător</w:t>
            </w:r>
            <w:proofErr w:type="spellEnd"/>
            <w:r w:rsidRPr="00806776">
              <w:t>.</w:t>
            </w:r>
          </w:p>
          <w:p w:rsidR="000A6BB3" w:rsidRPr="00806776" w:rsidRDefault="000A6BB3" w:rsidP="00897BB0">
            <w:pPr>
              <w:jc w:val="both"/>
            </w:pPr>
            <w:r w:rsidRPr="00806776">
              <w:tab/>
              <w:t>Deci CNAS, în limita competenţelor legale nu va avea posibilitatea de a efectua evaluarea anuală propusă.</w:t>
            </w:r>
          </w:p>
        </w:tc>
        <w:tc>
          <w:tcPr>
            <w:tcW w:w="6541" w:type="dxa"/>
          </w:tcPr>
          <w:p w:rsidR="000A6BB3" w:rsidRPr="00806776" w:rsidRDefault="00AF48F5" w:rsidP="00897BB0">
            <w:pPr>
              <w:pStyle w:val="a9"/>
              <w:jc w:val="both"/>
              <w:rPr>
                <w:b/>
              </w:rPr>
            </w:pPr>
            <w:r w:rsidRPr="00806776">
              <w:rPr>
                <w:b/>
              </w:rPr>
              <w:t>Nu se acceptă.</w:t>
            </w:r>
          </w:p>
          <w:p w:rsidR="004922C8" w:rsidRPr="00806776" w:rsidRDefault="002A03FA" w:rsidP="00897BB0">
            <w:pPr>
              <w:pStyle w:val="a9"/>
              <w:jc w:val="both"/>
            </w:pPr>
            <w:r w:rsidRPr="00806776">
              <w:tab/>
            </w:r>
            <w:r w:rsidR="00BB4E07" w:rsidRPr="00806776">
              <w:t>Instituţiile statului sunt obligate să cunoască toate obligaţiil</w:t>
            </w:r>
            <w:r w:rsidR="00373F66" w:rsidRPr="00806776">
              <w:t>e</w:t>
            </w:r>
            <w:r w:rsidR="00BB4E07" w:rsidRPr="00806776">
              <w:t xml:space="preserve"> informaţionale, cerinţel</w:t>
            </w:r>
            <w:r w:rsidR="00373F66" w:rsidRPr="00806776">
              <w:t xml:space="preserve">e </w:t>
            </w:r>
            <w:r w:rsidR="00BB4E07" w:rsidRPr="00806776">
              <w:t>referitoare la date şi</w:t>
            </w:r>
            <w:r w:rsidR="00897BB0" w:rsidRPr="00806776">
              <w:t xml:space="preserve"> </w:t>
            </w:r>
            <w:r w:rsidR="00BB4E07" w:rsidRPr="00806776">
              <w:t>activităţil</w:t>
            </w:r>
            <w:r w:rsidR="00373F66" w:rsidRPr="00806776">
              <w:t xml:space="preserve">e administrative pe care </w:t>
            </w:r>
            <w:r w:rsidR="001530DE" w:rsidRPr="00806776">
              <w:t>instituţiile statului le impun</w:t>
            </w:r>
            <w:r w:rsidR="004922C8" w:rsidRPr="00806776">
              <w:t xml:space="preserve"> agenţilor economici.</w:t>
            </w:r>
          </w:p>
          <w:p w:rsidR="004922C8" w:rsidRPr="00806776" w:rsidRDefault="002A03FA" w:rsidP="00897BB0">
            <w:pPr>
              <w:pStyle w:val="a9"/>
              <w:jc w:val="both"/>
            </w:pPr>
            <w:r w:rsidRPr="00806776">
              <w:tab/>
            </w:r>
            <w:r w:rsidR="004922C8" w:rsidRPr="00806776">
              <w:t xml:space="preserve">Necesitatea </w:t>
            </w:r>
            <w:r w:rsidR="00B736A2" w:rsidRPr="00806776">
              <w:t xml:space="preserve">efectuării interviurilor cu agenţii economici reiese din posibilitatea necunoaşterii subdiviziunii care va efectua analiza tuturor </w:t>
            </w:r>
            <w:r w:rsidRPr="00806776">
              <w:t>obligaţiilor şi cerinţelor impuse agenţilor economici de către alte subdiviziuni ale instituţiei.</w:t>
            </w:r>
          </w:p>
        </w:tc>
      </w:tr>
      <w:tr w:rsidR="00871931" w:rsidRPr="00806776" w:rsidTr="00A5702C">
        <w:trPr>
          <w:trHeight w:val="20"/>
        </w:trPr>
        <w:tc>
          <w:tcPr>
            <w:tcW w:w="392" w:type="dxa"/>
          </w:tcPr>
          <w:p w:rsidR="00871931" w:rsidRPr="00806776" w:rsidRDefault="00871931" w:rsidP="00D354BE">
            <w:pPr>
              <w:pStyle w:val="a8"/>
              <w:spacing w:after="0" w:line="240" w:lineRule="auto"/>
              <w:ind w:left="0"/>
            </w:pPr>
          </w:p>
        </w:tc>
        <w:tc>
          <w:tcPr>
            <w:tcW w:w="7796" w:type="dxa"/>
          </w:tcPr>
          <w:p w:rsidR="00871931" w:rsidRPr="00806776" w:rsidRDefault="00871931" w:rsidP="00897BB0">
            <w:pPr>
              <w:jc w:val="both"/>
              <w:rPr>
                <w:b/>
              </w:rPr>
            </w:pPr>
            <w:r w:rsidRPr="00806776">
              <w:rPr>
                <w:b/>
              </w:rPr>
              <w:t>Compania Naţională de Asigurări în Medicină</w:t>
            </w:r>
          </w:p>
          <w:p w:rsidR="00871931" w:rsidRPr="00806776" w:rsidRDefault="00C56961" w:rsidP="00897BB0">
            <w:pPr>
              <w:jc w:val="both"/>
            </w:pPr>
            <w:r w:rsidRPr="00806776">
              <w:t>(nr.04/02-10-230/1193 din 10.09.2014)</w:t>
            </w:r>
          </w:p>
        </w:tc>
        <w:tc>
          <w:tcPr>
            <w:tcW w:w="6541" w:type="dxa"/>
          </w:tcPr>
          <w:p w:rsidR="00871931" w:rsidRPr="00806776" w:rsidRDefault="00871931" w:rsidP="00897BB0">
            <w:pPr>
              <w:pStyle w:val="a9"/>
              <w:jc w:val="both"/>
            </w:pPr>
          </w:p>
        </w:tc>
      </w:tr>
      <w:tr w:rsidR="00871931" w:rsidRPr="00806776" w:rsidTr="00A5702C">
        <w:trPr>
          <w:trHeight w:val="20"/>
        </w:trPr>
        <w:tc>
          <w:tcPr>
            <w:tcW w:w="392" w:type="dxa"/>
          </w:tcPr>
          <w:p w:rsidR="00871931" w:rsidRPr="00806776" w:rsidRDefault="00871931" w:rsidP="0054136A">
            <w:pPr>
              <w:pStyle w:val="a8"/>
              <w:numPr>
                <w:ilvl w:val="0"/>
                <w:numId w:val="8"/>
              </w:numPr>
              <w:spacing w:after="0" w:line="240" w:lineRule="auto"/>
              <w:ind w:left="0" w:firstLine="0"/>
            </w:pPr>
          </w:p>
        </w:tc>
        <w:tc>
          <w:tcPr>
            <w:tcW w:w="7796" w:type="dxa"/>
          </w:tcPr>
          <w:p w:rsidR="00871931" w:rsidRPr="00806776" w:rsidRDefault="00C56961" w:rsidP="00897BB0">
            <w:pPr>
              <w:jc w:val="both"/>
            </w:pPr>
            <w:r w:rsidRPr="00806776">
              <w:t>Au comunicat lipsă de propuneri şi obiecţii.</w:t>
            </w:r>
          </w:p>
        </w:tc>
        <w:tc>
          <w:tcPr>
            <w:tcW w:w="6541" w:type="dxa"/>
          </w:tcPr>
          <w:p w:rsidR="00871931" w:rsidRPr="00806776" w:rsidRDefault="00871931" w:rsidP="00897BB0">
            <w:pPr>
              <w:pStyle w:val="a9"/>
              <w:jc w:val="both"/>
            </w:pPr>
          </w:p>
        </w:tc>
      </w:tr>
      <w:tr w:rsidR="00871931" w:rsidRPr="00806776" w:rsidTr="00A5702C">
        <w:trPr>
          <w:trHeight w:val="20"/>
        </w:trPr>
        <w:tc>
          <w:tcPr>
            <w:tcW w:w="392" w:type="dxa"/>
          </w:tcPr>
          <w:p w:rsidR="00871931" w:rsidRPr="00806776" w:rsidRDefault="00871931" w:rsidP="00D354BE">
            <w:pPr>
              <w:pStyle w:val="a8"/>
              <w:spacing w:after="0" w:line="240" w:lineRule="auto"/>
              <w:ind w:left="0"/>
            </w:pPr>
          </w:p>
        </w:tc>
        <w:tc>
          <w:tcPr>
            <w:tcW w:w="7796" w:type="dxa"/>
          </w:tcPr>
          <w:p w:rsidR="00871931" w:rsidRPr="00806776" w:rsidRDefault="00871931" w:rsidP="00897BB0">
            <w:pPr>
              <w:jc w:val="both"/>
              <w:rPr>
                <w:b/>
              </w:rPr>
            </w:pPr>
            <w:r w:rsidRPr="00806776">
              <w:rPr>
                <w:b/>
              </w:rPr>
              <w:t>Consiliul Concurenţei</w:t>
            </w:r>
          </w:p>
          <w:p w:rsidR="00871931" w:rsidRPr="00806776" w:rsidRDefault="00C56961" w:rsidP="00897BB0">
            <w:pPr>
              <w:jc w:val="both"/>
            </w:pPr>
            <w:r w:rsidRPr="00806776">
              <w:t>(nr.DJ-08/327-1402 din 29.09.2014)</w:t>
            </w:r>
          </w:p>
        </w:tc>
        <w:tc>
          <w:tcPr>
            <w:tcW w:w="6541" w:type="dxa"/>
          </w:tcPr>
          <w:p w:rsidR="00871931" w:rsidRPr="00806776" w:rsidRDefault="00871931" w:rsidP="00897BB0">
            <w:pPr>
              <w:jc w:val="both"/>
            </w:pPr>
          </w:p>
        </w:tc>
      </w:tr>
      <w:tr w:rsidR="00871931" w:rsidRPr="00806776" w:rsidTr="00A5702C">
        <w:trPr>
          <w:trHeight w:val="20"/>
        </w:trPr>
        <w:tc>
          <w:tcPr>
            <w:tcW w:w="392" w:type="dxa"/>
          </w:tcPr>
          <w:p w:rsidR="00871931" w:rsidRPr="00806776" w:rsidRDefault="00871931" w:rsidP="0054136A">
            <w:pPr>
              <w:pStyle w:val="a8"/>
              <w:numPr>
                <w:ilvl w:val="0"/>
                <w:numId w:val="8"/>
              </w:numPr>
              <w:spacing w:after="0" w:line="240" w:lineRule="auto"/>
              <w:ind w:left="0" w:firstLine="0"/>
            </w:pPr>
          </w:p>
        </w:tc>
        <w:tc>
          <w:tcPr>
            <w:tcW w:w="7796" w:type="dxa"/>
          </w:tcPr>
          <w:p w:rsidR="00871931" w:rsidRPr="00806776" w:rsidRDefault="00F16E3F" w:rsidP="00897BB0">
            <w:pPr>
              <w:jc w:val="both"/>
            </w:pPr>
            <w:r w:rsidRPr="00806776">
              <w:t>Au comunicat lipsă de propuneri şi obiecţii.</w:t>
            </w:r>
          </w:p>
        </w:tc>
        <w:tc>
          <w:tcPr>
            <w:tcW w:w="6541" w:type="dxa"/>
          </w:tcPr>
          <w:p w:rsidR="00871931" w:rsidRPr="00806776" w:rsidRDefault="00871931" w:rsidP="00897BB0">
            <w:pPr>
              <w:jc w:val="both"/>
            </w:pPr>
          </w:p>
        </w:tc>
      </w:tr>
      <w:tr w:rsidR="00871931" w:rsidRPr="00806776" w:rsidTr="00A5702C">
        <w:trPr>
          <w:trHeight w:val="20"/>
        </w:trPr>
        <w:tc>
          <w:tcPr>
            <w:tcW w:w="392" w:type="dxa"/>
          </w:tcPr>
          <w:p w:rsidR="00871931" w:rsidRPr="00806776" w:rsidRDefault="00871931" w:rsidP="0054136A"/>
        </w:tc>
        <w:tc>
          <w:tcPr>
            <w:tcW w:w="7796" w:type="dxa"/>
          </w:tcPr>
          <w:p w:rsidR="00871931" w:rsidRPr="00806776" w:rsidRDefault="00871931" w:rsidP="00897BB0">
            <w:pPr>
              <w:jc w:val="both"/>
              <w:rPr>
                <w:b/>
              </w:rPr>
            </w:pPr>
            <w:r w:rsidRPr="00806776">
              <w:rPr>
                <w:b/>
              </w:rPr>
              <w:t>Comisia Naţională a Pieţei Financiare</w:t>
            </w:r>
          </w:p>
          <w:p w:rsidR="00D45509" w:rsidRPr="00806776" w:rsidRDefault="00D45509" w:rsidP="00897BB0">
            <w:pPr>
              <w:jc w:val="both"/>
            </w:pPr>
            <w:r w:rsidRPr="00806776">
              <w:t>(nr.06-3099 din 29.08.2014)</w:t>
            </w:r>
          </w:p>
        </w:tc>
        <w:tc>
          <w:tcPr>
            <w:tcW w:w="6541" w:type="dxa"/>
          </w:tcPr>
          <w:p w:rsidR="00871931" w:rsidRPr="00806776" w:rsidRDefault="00871931" w:rsidP="00897BB0">
            <w:pPr>
              <w:pStyle w:val="a9"/>
              <w:jc w:val="both"/>
            </w:pPr>
          </w:p>
        </w:tc>
      </w:tr>
      <w:tr w:rsidR="00871931" w:rsidRPr="00806776" w:rsidTr="00A5702C">
        <w:trPr>
          <w:trHeight w:val="20"/>
        </w:trPr>
        <w:tc>
          <w:tcPr>
            <w:tcW w:w="392" w:type="dxa"/>
          </w:tcPr>
          <w:p w:rsidR="00871931" w:rsidRPr="00806776" w:rsidRDefault="00871931" w:rsidP="0054136A">
            <w:pPr>
              <w:pStyle w:val="a8"/>
              <w:numPr>
                <w:ilvl w:val="0"/>
                <w:numId w:val="8"/>
              </w:numPr>
              <w:spacing w:after="0" w:line="240" w:lineRule="auto"/>
              <w:ind w:left="0" w:firstLine="0"/>
            </w:pPr>
          </w:p>
        </w:tc>
        <w:tc>
          <w:tcPr>
            <w:tcW w:w="7796" w:type="dxa"/>
          </w:tcPr>
          <w:p w:rsidR="00871931" w:rsidRPr="00806776" w:rsidRDefault="007C1A25" w:rsidP="00897BB0">
            <w:pPr>
              <w:jc w:val="both"/>
              <w:rPr>
                <w:lang w:eastAsia="ru-RU"/>
              </w:rPr>
            </w:pPr>
            <w:r w:rsidRPr="00806776">
              <w:t>Au comunicat lipsă de propuneri şi obiecţii.</w:t>
            </w:r>
          </w:p>
        </w:tc>
        <w:tc>
          <w:tcPr>
            <w:tcW w:w="6541" w:type="dxa"/>
          </w:tcPr>
          <w:p w:rsidR="00871931" w:rsidRPr="00806776" w:rsidRDefault="00871931" w:rsidP="00897BB0">
            <w:pPr>
              <w:pStyle w:val="a9"/>
              <w:jc w:val="both"/>
            </w:pPr>
          </w:p>
        </w:tc>
      </w:tr>
      <w:tr w:rsidR="009C0CF7" w:rsidRPr="00806776" w:rsidTr="00A5702C">
        <w:trPr>
          <w:trHeight w:val="20"/>
        </w:trPr>
        <w:tc>
          <w:tcPr>
            <w:tcW w:w="392" w:type="dxa"/>
          </w:tcPr>
          <w:p w:rsidR="009C0CF7" w:rsidRPr="00806776" w:rsidRDefault="009C0CF7" w:rsidP="00D354BE">
            <w:pPr>
              <w:pStyle w:val="a8"/>
              <w:spacing w:after="0" w:line="240" w:lineRule="auto"/>
              <w:ind w:left="0"/>
            </w:pPr>
          </w:p>
        </w:tc>
        <w:tc>
          <w:tcPr>
            <w:tcW w:w="7796" w:type="dxa"/>
          </w:tcPr>
          <w:p w:rsidR="009C0CF7" w:rsidRPr="00806776" w:rsidRDefault="009C0CF7" w:rsidP="00897BB0">
            <w:pPr>
              <w:jc w:val="both"/>
              <w:rPr>
                <w:b/>
              </w:rPr>
            </w:pPr>
            <w:r w:rsidRPr="00806776">
              <w:rPr>
                <w:b/>
              </w:rPr>
              <w:t>Confederaţia Naţională a Sindicatelor</w:t>
            </w:r>
          </w:p>
          <w:p w:rsidR="009C0CF7" w:rsidRPr="00806776" w:rsidRDefault="009C0CF7" w:rsidP="00897BB0">
            <w:pPr>
              <w:jc w:val="both"/>
            </w:pPr>
            <w:r w:rsidRPr="00806776">
              <w:t>(nr.03-02/920 din 29.09.2014)</w:t>
            </w:r>
          </w:p>
        </w:tc>
        <w:tc>
          <w:tcPr>
            <w:tcW w:w="6541" w:type="dxa"/>
          </w:tcPr>
          <w:p w:rsidR="009C0CF7" w:rsidRPr="00806776" w:rsidRDefault="009C0CF7" w:rsidP="00897BB0">
            <w:pPr>
              <w:pStyle w:val="a9"/>
              <w:jc w:val="both"/>
            </w:pPr>
          </w:p>
        </w:tc>
      </w:tr>
      <w:tr w:rsidR="009C0CF7" w:rsidRPr="00806776" w:rsidTr="00A5702C">
        <w:trPr>
          <w:trHeight w:val="20"/>
        </w:trPr>
        <w:tc>
          <w:tcPr>
            <w:tcW w:w="392" w:type="dxa"/>
          </w:tcPr>
          <w:p w:rsidR="009C0CF7" w:rsidRPr="00806776" w:rsidRDefault="009C0CF7" w:rsidP="00D354BE">
            <w:pPr>
              <w:pStyle w:val="a8"/>
              <w:numPr>
                <w:ilvl w:val="0"/>
                <w:numId w:val="8"/>
              </w:numPr>
              <w:spacing w:after="0" w:line="240" w:lineRule="auto"/>
              <w:ind w:left="0" w:firstLine="0"/>
            </w:pPr>
          </w:p>
        </w:tc>
        <w:tc>
          <w:tcPr>
            <w:tcW w:w="7796" w:type="dxa"/>
          </w:tcPr>
          <w:p w:rsidR="009C0CF7" w:rsidRPr="00806776" w:rsidRDefault="009C0CF7" w:rsidP="00897BB0">
            <w:pPr>
              <w:pStyle w:val="a9"/>
              <w:jc w:val="both"/>
              <w:rPr>
                <w:b/>
              </w:rPr>
            </w:pPr>
            <w:r w:rsidRPr="00806776">
              <w:t>Au comunicat lipsă de propuneri şi obiecţii.</w:t>
            </w:r>
          </w:p>
        </w:tc>
        <w:tc>
          <w:tcPr>
            <w:tcW w:w="6541" w:type="dxa"/>
          </w:tcPr>
          <w:p w:rsidR="009C0CF7" w:rsidRPr="00806776" w:rsidRDefault="009C0CF7" w:rsidP="00897BB0">
            <w:pPr>
              <w:pStyle w:val="a9"/>
              <w:jc w:val="both"/>
            </w:pPr>
          </w:p>
        </w:tc>
      </w:tr>
      <w:tr w:rsidR="00B479C0" w:rsidRPr="00806776" w:rsidTr="00A5702C">
        <w:trPr>
          <w:trHeight w:val="20"/>
        </w:trPr>
        <w:tc>
          <w:tcPr>
            <w:tcW w:w="392" w:type="dxa"/>
          </w:tcPr>
          <w:p w:rsidR="00B479C0" w:rsidRPr="00806776" w:rsidRDefault="00B479C0" w:rsidP="0052643D">
            <w:pPr>
              <w:pStyle w:val="a8"/>
              <w:spacing w:after="0" w:line="240" w:lineRule="auto"/>
              <w:ind w:left="0"/>
            </w:pPr>
          </w:p>
        </w:tc>
        <w:tc>
          <w:tcPr>
            <w:tcW w:w="7796" w:type="dxa"/>
          </w:tcPr>
          <w:p w:rsidR="00B479C0" w:rsidRPr="00806776" w:rsidRDefault="00B479C0" w:rsidP="00897BB0">
            <w:pPr>
              <w:pStyle w:val="a9"/>
              <w:jc w:val="both"/>
            </w:pPr>
          </w:p>
        </w:tc>
        <w:tc>
          <w:tcPr>
            <w:tcW w:w="6541" w:type="dxa"/>
          </w:tcPr>
          <w:p w:rsidR="00B479C0" w:rsidRPr="00806776" w:rsidRDefault="00B479C0" w:rsidP="00897BB0">
            <w:pPr>
              <w:pStyle w:val="a9"/>
              <w:jc w:val="both"/>
            </w:pPr>
          </w:p>
        </w:tc>
      </w:tr>
    </w:tbl>
    <w:p w:rsidR="00B82C0A" w:rsidRPr="00806776" w:rsidRDefault="00B82C0A" w:rsidP="0054136A">
      <w:pPr>
        <w:rPr>
          <w:b/>
          <w:sz w:val="26"/>
          <w:szCs w:val="26"/>
        </w:rPr>
      </w:pPr>
    </w:p>
    <w:p w:rsidR="00D825C8" w:rsidRPr="00806776" w:rsidRDefault="00D825C8" w:rsidP="00B82C0A">
      <w:pPr>
        <w:rPr>
          <w:b/>
          <w:sz w:val="26"/>
          <w:szCs w:val="26"/>
        </w:rPr>
      </w:pPr>
    </w:p>
    <w:sectPr w:rsidR="00D825C8" w:rsidRPr="00806776" w:rsidSect="00262E36">
      <w:footerReference w:type="even" r:id="rId9"/>
      <w:footerReference w:type="default" r:id="rId10"/>
      <w:pgSz w:w="16838" w:h="11906" w:orient="landscape"/>
      <w:pgMar w:top="567" w:right="907" w:bottom="567" w:left="1418" w:header="709"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A6686" w:rsidRDefault="00BA6686" w:rsidP="00732549">
      <w:r>
        <w:separator/>
      </w:r>
    </w:p>
  </w:endnote>
  <w:endnote w:type="continuationSeparator" w:id="0">
    <w:p w:rsidR="00BA6686" w:rsidRDefault="00BA6686" w:rsidP="00732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CC"/>
    <w:family w:val="swiss"/>
    <w:pitch w:val="variable"/>
    <w:sig w:usb0="61002A87" w:usb1="80000000" w:usb2="00000008" w:usb3="00000000" w:csb0="000101FF" w:csb1="00000000"/>
  </w:font>
  <w:font w:name="Arial-BoldMT">
    <w:altName w:val="Arial Unicode MS"/>
    <w:panose1 w:val="00000000000000000000"/>
    <w:charset w:val="80"/>
    <w:family w:val="auto"/>
    <w:notTrueType/>
    <w:pitch w:val="default"/>
    <w:sig w:usb0="00000000" w:usb1="08070000" w:usb2="00000010" w:usb3="00000000" w:csb0="00020000" w:csb1="00000000"/>
  </w:font>
  <w:font w:name="ArialMT">
    <w:altName w:val="Arial Unicode MS"/>
    <w:panose1 w:val="00000000000000000000"/>
    <w:charset w:val="80"/>
    <w:family w:val="auto"/>
    <w:notTrueType/>
    <w:pitch w:val="default"/>
    <w:sig w:usb0="00000001" w:usb1="08070000" w:usb2="00000010" w:usb3="00000000" w:csb0="00020000" w:csb1="00000000"/>
  </w:font>
  <w:font w:name="Arial-BoldItalicMT">
    <w:altName w:val="Arial Unicode MS"/>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247A" w:rsidRDefault="00CB247A" w:rsidP="00262E3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CB247A" w:rsidRDefault="00CB247A" w:rsidP="00262E3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9929978"/>
      <w:docPartObj>
        <w:docPartGallery w:val="Page Numbers (Bottom of Page)"/>
        <w:docPartUnique/>
      </w:docPartObj>
    </w:sdtPr>
    <w:sdtEndPr/>
    <w:sdtContent>
      <w:p w:rsidR="004069BB" w:rsidRDefault="004069BB">
        <w:pPr>
          <w:pStyle w:val="a3"/>
          <w:jc w:val="right"/>
        </w:pPr>
        <w:r>
          <w:fldChar w:fldCharType="begin"/>
        </w:r>
        <w:r>
          <w:instrText>PAGE   \* MERGEFORMAT</w:instrText>
        </w:r>
        <w:r>
          <w:fldChar w:fldCharType="separate"/>
        </w:r>
        <w:r w:rsidR="001E336A" w:rsidRPr="001E336A">
          <w:rPr>
            <w:noProof/>
            <w:lang w:val="ru-RU"/>
          </w:rPr>
          <w:t>2</w:t>
        </w:r>
        <w:r>
          <w:fldChar w:fldCharType="end"/>
        </w:r>
      </w:p>
    </w:sdtContent>
  </w:sdt>
  <w:p w:rsidR="004069BB" w:rsidRDefault="004069B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A6686" w:rsidRDefault="00BA6686" w:rsidP="00732549">
      <w:r>
        <w:separator/>
      </w:r>
    </w:p>
  </w:footnote>
  <w:footnote w:type="continuationSeparator" w:id="0">
    <w:p w:rsidR="00BA6686" w:rsidRDefault="00BA6686" w:rsidP="007325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1">
    <w:nsid w:val="04D63FAA"/>
    <w:multiLevelType w:val="hybridMultilevel"/>
    <w:tmpl w:val="5FA6F3AA"/>
    <w:lvl w:ilvl="0" w:tplc="2820DFBA">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28B25EA9"/>
    <w:multiLevelType w:val="hybridMultilevel"/>
    <w:tmpl w:val="8EEC6F9A"/>
    <w:lvl w:ilvl="0" w:tplc="2820DFBA">
      <w:numFmt w:val="bullet"/>
      <w:lvlText w:val="-"/>
      <w:lvlJc w:val="left"/>
      <w:pPr>
        <w:ind w:left="846" w:hanging="360"/>
      </w:pPr>
      <w:rPr>
        <w:rFonts w:ascii="Times New Roman" w:eastAsia="Times New Roman" w:hAnsi="Times New Roman" w:cs="Times New Roman" w:hint="default"/>
      </w:rPr>
    </w:lvl>
    <w:lvl w:ilvl="1" w:tplc="04180003" w:tentative="1">
      <w:start w:val="1"/>
      <w:numFmt w:val="bullet"/>
      <w:lvlText w:val="o"/>
      <w:lvlJc w:val="left"/>
      <w:pPr>
        <w:ind w:left="1866" w:hanging="360"/>
      </w:pPr>
      <w:rPr>
        <w:rFonts w:ascii="Courier New" w:hAnsi="Courier New" w:cs="Courier New" w:hint="default"/>
      </w:rPr>
    </w:lvl>
    <w:lvl w:ilvl="2" w:tplc="04180005" w:tentative="1">
      <w:start w:val="1"/>
      <w:numFmt w:val="bullet"/>
      <w:lvlText w:val=""/>
      <w:lvlJc w:val="left"/>
      <w:pPr>
        <w:ind w:left="2586" w:hanging="360"/>
      </w:pPr>
      <w:rPr>
        <w:rFonts w:ascii="Wingdings" w:hAnsi="Wingdings" w:hint="default"/>
      </w:rPr>
    </w:lvl>
    <w:lvl w:ilvl="3" w:tplc="04180001" w:tentative="1">
      <w:start w:val="1"/>
      <w:numFmt w:val="bullet"/>
      <w:lvlText w:val=""/>
      <w:lvlJc w:val="left"/>
      <w:pPr>
        <w:ind w:left="3306" w:hanging="360"/>
      </w:pPr>
      <w:rPr>
        <w:rFonts w:ascii="Symbol" w:hAnsi="Symbol" w:hint="default"/>
      </w:rPr>
    </w:lvl>
    <w:lvl w:ilvl="4" w:tplc="04180003" w:tentative="1">
      <w:start w:val="1"/>
      <w:numFmt w:val="bullet"/>
      <w:lvlText w:val="o"/>
      <w:lvlJc w:val="left"/>
      <w:pPr>
        <w:ind w:left="4026" w:hanging="360"/>
      </w:pPr>
      <w:rPr>
        <w:rFonts w:ascii="Courier New" w:hAnsi="Courier New" w:cs="Courier New" w:hint="default"/>
      </w:rPr>
    </w:lvl>
    <w:lvl w:ilvl="5" w:tplc="04180005" w:tentative="1">
      <w:start w:val="1"/>
      <w:numFmt w:val="bullet"/>
      <w:lvlText w:val=""/>
      <w:lvlJc w:val="left"/>
      <w:pPr>
        <w:ind w:left="4746" w:hanging="360"/>
      </w:pPr>
      <w:rPr>
        <w:rFonts w:ascii="Wingdings" w:hAnsi="Wingdings" w:hint="default"/>
      </w:rPr>
    </w:lvl>
    <w:lvl w:ilvl="6" w:tplc="04180001" w:tentative="1">
      <w:start w:val="1"/>
      <w:numFmt w:val="bullet"/>
      <w:lvlText w:val=""/>
      <w:lvlJc w:val="left"/>
      <w:pPr>
        <w:ind w:left="5466" w:hanging="360"/>
      </w:pPr>
      <w:rPr>
        <w:rFonts w:ascii="Symbol" w:hAnsi="Symbol" w:hint="default"/>
      </w:rPr>
    </w:lvl>
    <w:lvl w:ilvl="7" w:tplc="04180003" w:tentative="1">
      <w:start w:val="1"/>
      <w:numFmt w:val="bullet"/>
      <w:lvlText w:val="o"/>
      <w:lvlJc w:val="left"/>
      <w:pPr>
        <w:ind w:left="6186" w:hanging="360"/>
      </w:pPr>
      <w:rPr>
        <w:rFonts w:ascii="Courier New" w:hAnsi="Courier New" w:cs="Courier New" w:hint="default"/>
      </w:rPr>
    </w:lvl>
    <w:lvl w:ilvl="8" w:tplc="04180005" w:tentative="1">
      <w:start w:val="1"/>
      <w:numFmt w:val="bullet"/>
      <w:lvlText w:val=""/>
      <w:lvlJc w:val="left"/>
      <w:pPr>
        <w:ind w:left="6906" w:hanging="360"/>
      </w:pPr>
      <w:rPr>
        <w:rFonts w:ascii="Wingdings" w:hAnsi="Wingdings" w:hint="default"/>
      </w:rPr>
    </w:lvl>
  </w:abstractNum>
  <w:abstractNum w:abstractNumId="3">
    <w:nsid w:val="39D84EFC"/>
    <w:multiLevelType w:val="hybridMultilevel"/>
    <w:tmpl w:val="74F8E462"/>
    <w:lvl w:ilvl="0" w:tplc="D0422114">
      <w:start w:val="1"/>
      <w:numFmt w:val="decimal"/>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4">
    <w:nsid w:val="4E153B26"/>
    <w:multiLevelType w:val="hybridMultilevel"/>
    <w:tmpl w:val="AEEC0B50"/>
    <w:lvl w:ilvl="0" w:tplc="2820DFBA">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569265E0"/>
    <w:multiLevelType w:val="hybridMultilevel"/>
    <w:tmpl w:val="EB7EF2CC"/>
    <w:lvl w:ilvl="0" w:tplc="8F809E0E">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6">
    <w:nsid w:val="5AD61A12"/>
    <w:multiLevelType w:val="hybridMultilevel"/>
    <w:tmpl w:val="80022C2C"/>
    <w:lvl w:ilvl="0" w:tplc="18CE100C">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817688"/>
    <w:multiLevelType w:val="hybridMultilevel"/>
    <w:tmpl w:val="3CF27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6237108"/>
    <w:multiLevelType w:val="hybridMultilevel"/>
    <w:tmpl w:val="A2B0A9B2"/>
    <w:lvl w:ilvl="0" w:tplc="2820DFBA">
      <w:numFmt w:val="bullet"/>
      <w:lvlText w:val="-"/>
      <w:lvlJc w:val="left"/>
      <w:pPr>
        <w:ind w:left="420" w:hanging="360"/>
      </w:pPr>
      <w:rPr>
        <w:rFonts w:ascii="Times New Roman" w:eastAsia="Times New Roman" w:hAnsi="Times New Roman" w:cs="Times New Roman" w:hint="default"/>
      </w:rPr>
    </w:lvl>
    <w:lvl w:ilvl="1" w:tplc="04180003" w:tentative="1">
      <w:start w:val="1"/>
      <w:numFmt w:val="bullet"/>
      <w:lvlText w:val="o"/>
      <w:lvlJc w:val="left"/>
      <w:pPr>
        <w:ind w:left="1140" w:hanging="360"/>
      </w:pPr>
      <w:rPr>
        <w:rFonts w:ascii="Courier New" w:hAnsi="Courier New" w:cs="Courier New" w:hint="default"/>
      </w:rPr>
    </w:lvl>
    <w:lvl w:ilvl="2" w:tplc="04180005" w:tentative="1">
      <w:start w:val="1"/>
      <w:numFmt w:val="bullet"/>
      <w:lvlText w:val=""/>
      <w:lvlJc w:val="left"/>
      <w:pPr>
        <w:ind w:left="1860" w:hanging="360"/>
      </w:pPr>
      <w:rPr>
        <w:rFonts w:ascii="Wingdings" w:hAnsi="Wingdings" w:hint="default"/>
      </w:rPr>
    </w:lvl>
    <w:lvl w:ilvl="3" w:tplc="04180001" w:tentative="1">
      <w:start w:val="1"/>
      <w:numFmt w:val="bullet"/>
      <w:lvlText w:val=""/>
      <w:lvlJc w:val="left"/>
      <w:pPr>
        <w:ind w:left="2580" w:hanging="360"/>
      </w:pPr>
      <w:rPr>
        <w:rFonts w:ascii="Symbol" w:hAnsi="Symbol" w:hint="default"/>
      </w:rPr>
    </w:lvl>
    <w:lvl w:ilvl="4" w:tplc="04180003" w:tentative="1">
      <w:start w:val="1"/>
      <w:numFmt w:val="bullet"/>
      <w:lvlText w:val="o"/>
      <w:lvlJc w:val="left"/>
      <w:pPr>
        <w:ind w:left="3300" w:hanging="360"/>
      </w:pPr>
      <w:rPr>
        <w:rFonts w:ascii="Courier New" w:hAnsi="Courier New" w:cs="Courier New" w:hint="default"/>
      </w:rPr>
    </w:lvl>
    <w:lvl w:ilvl="5" w:tplc="04180005" w:tentative="1">
      <w:start w:val="1"/>
      <w:numFmt w:val="bullet"/>
      <w:lvlText w:val=""/>
      <w:lvlJc w:val="left"/>
      <w:pPr>
        <w:ind w:left="4020" w:hanging="360"/>
      </w:pPr>
      <w:rPr>
        <w:rFonts w:ascii="Wingdings" w:hAnsi="Wingdings" w:hint="default"/>
      </w:rPr>
    </w:lvl>
    <w:lvl w:ilvl="6" w:tplc="04180001" w:tentative="1">
      <w:start w:val="1"/>
      <w:numFmt w:val="bullet"/>
      <w:lvlText w:val=""/>
      <w:lvlJc w:val="left"/>
      <w:pPr>
        <w:ind w:left="4740" w:hanging="360"/>
      </w:pPr>
      <w:rPr>
        <w:rFonts w:ascii="Symbol" w:hAnsi="Symbol" w:hint="default"/>
      </w:rPr>
    </w:lvl>
    <w:lvl w:ilvl="7" w:tplc="04180003" w:tentative="1">
      <w:start w:val="1"/>
      <w:numFmt w:val="bullet"/>
      <w:lvlText w:val="o"/>
      <w:lvlJc w:val="left"/>
      <w:pPr>
        <w:ind w:left="5460" w:hanging="360"/>
      </w:pPr>
      <w:rPr>
        <w:rFonts w:ascii="Courier New" w:hAnsi="Courier New" w:cs="Courier New" w:hint="default"/>
      </w:rPr>
    </w:lvl>
    <w:lvl w:ilvl="8" w:tplc="04180005" w:tentative="1">
      <w:start w:val="1"/>
      <w:numFmt w:val="bullet"/>
      <w:lvlText w:val=""/>
      <w:lvlJc w:val="left"/>
      <w:pPr>
        <w:ind w:left="6180" w:hanging="360"/>
      </w:pPr>
      <w:rPr>
        <w:rFonts w:ascii="Wingdings" w:hAnsi="Wingdings" w:hint="default"/>
      </w:rPr>
    </w:lvl>
  </w:abstractNum>
  <w:abstractNum w:abstractNumId="9">
    <w:nsid w:val="779B36A4"/>
    <w:multiLevelType w:val="hybridMultilevel"/>
    <w:tmpl w:val="7BD8A0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8"/>
  </w:num>
  <w:num w:numId="5">
    <w:abstractNumId w:val="2"/>
  </w:num>
  <w:num w:numId="6">
    <w:abstractNumId w:val="4"/>
  </w:num>
  <w:num w:numId="7">
    <w:abstractNumId w:val="1"/>
  </w:num>
  <w:num w:numId="8">
    <w:abstractNumId w:val="6"/>
  </w:num>
  <w:num w:numId="9">
    <w:abstractNumId w:val="9"/>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8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2C0A"/>
    <w:rsid w:val="00006FB3"/>
    <w:rsid w:val="00010AEF"/>
    <w:rsid w:val="0001150C"/>
    <w:rsid w:val="00013DBD"/>
    <w:rsid w:val="00017316"/>
    <w:rsid w:val="00026602"/>
    <w:rsid w:val="00032456"/>
    <w:rsid w:val="00036146"/>
    <w:rsid w:val="000406E4"/>
    <w:rsid w:val="0004142E"/>
    <w:rsid w:val="00042187"/>
    <w:rsid w:val="0004417D"/>
    <w:rsid w:val="00050E08"/>
    <w:rsid w:val="00052454"/>
    <w:rsid w:val="000531C0"/>
    <w:rsid w:val="0005449D"/>
    <w:rsid w:val="00054C30"/>
    <w:rsid w:val="00056100"/>
    <w:rsid w:val="00057ACC"/>
    <w:rsid w:val="00061047"/>
    <w:rsid w:val="0007517C"/>
    <w:rsid w:val="00090802"/>
    <w:rsid w:val="000922F4"/>
    <w:rsid w:val="00097892"/>
    <w:rsid w:val="000A4B01"/>
    <w:rsid w:val="000A6BB3"/>
    <w:rsid w:val="000B1BFE"/>
    <w:rsid w:val="000B22E9"/>
    <w:rsid w:val="000B472D"/>
    <w:rsid w:val="000B538C"/>
    <w:rsid w:val="000B6586"/>
    <w:rsid w:val="000D7C18"/>
    <w:rsid w:val="000F27E9"/>
    <w:rsid w:val="000F70D2"/>
    <w:rsid w:val="0010117D"/>
    <w:rsid w:val="00104FC6"/>
    <w:rsid w:val="001050BA"/>
    <w:rsid w:val="00117AF2"/>
    <w:rsid w:val="00121F46"/>
    <w:rsid w:val="00124F1A"/>
    <w:rsid w:val="00125050"/>
    <w:rsid w:val="001250E5"/>
    <w:rsid w:val="001276A4"/>
    <w:rsid w:val="00134D30"/>
    <w:rsid w:val="001427E1"/>
    <w:rsid w:val="0015220A"/>
    <w:rsid w:val="001530DE"/>
    <w:rsid w:val="001534FD"/>
    <w:rsid w:val="00157327"/>
    <w:rsid w:val="00160A99"/>
    <w:rsid w:val="00164590"/>
    <w:rsid w:val="001801B2"/>
    <w:rsid w:val="00181A5A"/>
    <w:rsid w:val="00191608"/>
    <w:rsid w:val="001942C8"/>
    <w:rsid w:val="00194E72"/>
    <w:rsid w:val="00195F41"/>
    <w:rsid w:val="001A1183"/>
    <w:rsid w:val="001C0740"/>
    <w:rsid w:val="001C258E"/>
    <w:rsid w:val="001C55B7"/>
    <w:rsid w:val="001C66E8"/>
    <w:rsid w:val="001D1C84"/>
    <w:rsid w:val="001D73D5"/>
    <w:rsid w:val="001E0AF1"/>
    <w:rsid w:val="001E297B"/>
    <w:rsid w:val="001E2E6B"/>
    <w:rsid w:val="001E336A"/>
    <w:rsid w:val="001E367C"/>
    <w:rsid w:val="001E3F36"/>
    <w:rsid w:val="001E7CA6"/>
    <w:rsid w:val="001F25B5"/>
    <w:rsid w:val="00203B32"/>
    <w:rsid w:val="00215F54"/>
    <w:rsid w:val="00217541"/>
    <w:rsid w:val="002208D0"/>
    <w:rsid w:val="00236DCB"/>
    <w:rsid w:val="00236E38"/>
    <w:rsid w:val="00244536"/>
    <w:rsid w:val="00245222"/>
    <w:rsid w:val="002504F5"/>
    <w:rsid w:val="00255206"/>
    <w:rsid w:val="00255BB5"/>
    <w:rsid w:val="00262E36"/>
    <w:rsid w:val="00272AF6"/>
    <w:rsid w:val="00275B26"/>
    <w:rsid w:val="00276F4B"/>
    <w:rsid w:val="0028002E"/>
    <w:rsid w:val="00282574"/>
    <w:rsid w:val="002859D1"/>
    <w:rsid w:val="00291041"/>
    <w:rsid w:val="0029693F"/>
    <w:rsid w:val="00296A6E"/>
    <w:rsid w:val="002A03FA"/>
    <w:rsid w:val="002A3EE1"/>
    <w:rsid w:val="002C02FB"/>
    <w:rsid w:val="002C3EB8"/>
    <w:rsid w:val="002D04CD"/>
    <w:rsid w:val="002D7274"/>
    <w:rsid w:val="002E0501"/>
    <w:rsid w:val="002E05D7"/>
    <w:rsid w:val="002E201E"/>
    <w:rsid w:val="002E2E07"/>
    <w:rsid w:val="002E3AC8"/>
    <w:rsid w:val="002E3CD2"/>
    <w:rsid w:val="002E53FE"/>
    <w:rsid w:val="002E5559"/>
    <w:rsid w:val="002E71FC"/>
    <w:rsid w:val="002F23FC"/>
    <w:rsid w:val="002F31C8"/>
    <w:rsid w:val="00304747"/>
    <w:rsid w:val="00304CD0"/>
    <w:rsid w:val="00307302"/>
    <w:rsid w:val="00314048"/>
    <w:rsid w:val="003206BD"/>
    <w:rsid w:val="00320F73"/>
    <w:rsid w:val="00325919"/>
    <w:rsid w:val="00340468"/>
    <w:rsid w:val="00342409"/>
    <w:rsid w:val="003427EC"/>
    <w:rsid w:val="00343EE1"/>
    <w:rsid w:val="0034672A"/>
    <w:rsid w:val="00361B3E"/>
    <w:rsid w:val="0036347E"/>
    <w:rsid w:val="003637A2"/>
    <w:rsid w:val="00364701"/>
    <w:rsid w:val="00365905"/>
    <w:rsid w:val="00366175"/>
    <w:rsid w:val="00370798"/>
    <w:rsid w:val="00370CC5"/>
    <w:rsid w:val="003715A6"/>
    <w:rsid w:val="00373F66"/>
    <w:rsid w:val="0037553C"/>
    <w:rsid w:val="0037739E"/>
    <w:rsid w:val="00380467"/>
    <w:rsid w:val="0038133D"/>
    <w:rsid w:val="003827B5"/>
    <w:rsid w:val="00384F06"/>
    <w:rsid w:val="003857BA"/>
    <w:rsid w:val="00387407"/>
    <w:rsid w:val="00387CAF"/>
    <w:rsid w:val="00393EB3"/>
    <w:rsid w:val="00394892"/>
    <w:rsid w:val="003A0276"/>
    <w:rsid w:val="003A0BB7"/>
    <w:rsid w:val="003A109A"/>
    <w:rsid w:val="003A137D"/>
    <w:rsid w:val="003A6C73"/>
    <w:rsid w:val="003B2805"/>
    <w:rsid w:val="003B58CA"/>
    <w:rsid w:val="003B6593"/>
    <w:rsid w:val="003B6CDF"/>
    <w:rsid w:val="003B6E69"/>
    <w:rsid w:val="003B7929"/>
    <w:rsid w:val="003C1179"/>
    <w:rsid w:val="003C5352"/>
    <w:rsid w:val="003C7C15"/>
    <w:rsid w:val="003E1B38"/>
    <w:rsid w:val="003E2098"/>
    <w:rsid w:val="003E3301"/>
    <w:rsid w:val="003F4B40"/>
    <w:rsid w:val="00400172"/>
    <w:rsid w:val="00400BC9"/>
    <w:rsid w:val="004013F3"/>
    <w:rsid w:val="004028EA"/>
    <w:rsid w:val="004069BB"/>
    <w:rsid w:val="00407EB2"/>
    <w:rsid w:val="0041130A"/>
    <w:rsid w:val="004151AE"/>
    <w:rsid w:val="004200E8"/>
    <w:rsid w:val="00422125"/>
    <w:rsid w:val="004406E6"/>
    <w:rsid w:val="00444112"/>
    <w:rsid w:val="00446258"/>
    <w:rsid w:val="00453598"/>
    <w:rsid w:val="00455AF9"/>
    <w:rsid w:val="00462BAB"/>
    <w:rsid w:val="00463446"/>
    <w:rsid w:val="00463A30"/>
    <w:rsid w:val="00466876"/>
    <w:rsid w:val="00473D8B"/>
    <w:rsid w:val="00484FB9"/>
    <w:rsid w:val="00485D75"/>
    <w:rsid w:val="00486807"/>
    <w:rsid w:val="004922C8"/>
    <w:rsid w:val="00493804"/>
    <w:rsid w:val="00495421"/>
    <w:rsid w:val="004A25F9"/>
    <w:rsid w:val="004C03B7"/>
    <w:rsid w:val="004C2021"/>
    <w:rsid w:val="004C3DA7"/>
    <w:rsid w:val="004C63CC"/>
    <w:rsid w:val="004D2811"/>
    <w:rsid w:val="004D4DF5"/>
    <w:rsid w:val="004D5D42"/>
    <w:rsid w:val="004E1349"/>
    <w:rsid w:val="004E2F0E"/>
    <w:rsid w:val="004E48A7"/>
    <w:rsid w:val="004E5F8B"/>
    <w:rsid w:val="004F0C0E"/>
    <w:rsid w:val="004F0DEA"/>
    <w:rsid w:val="004F441D"/>
    <w:rsid w:val="004F73B2"/>
    <w:rsid w:val="005034E3"/>
    <w:rsid w:val="00503C18"/>
    <w:rsid w:val="00504C6D"/>
    <w:rsid w:val="00507C92"/>
    <w:rsid w:val="00510016"/>
    <w:rsid w:val="00515462"/>
    <w:rsid w:val="00516C16"/>
    <w:rsid w:val="005172E2"/>
    <w:rsid w:val="005233FC"/>
    <w:rsid w:val="00526273"/>
    <w:rsid w:val="0052643D"/>
    <w:rsid w:val="00537B2D"/>
    <w:rsid w:val="0054136A"/>
    <w:rsid w:val="00550590"/>
    <w:rsid w:val="00551049"/>
    <w:rsid w:val="00554E8A"/>
    <w:rsid w:val="00556FEB"/>
    <w:rsid w:val="00564687"/>
    <w:rsid w:val="00576D6C"/>
    <w:rsid w:val="00583BDC"/>
    <w:rsid w:val="005847BB"/>
    <w:rsid w:val="00585E15"/>
    <w:rsid w:val="00594CC0"/>
    <w:rsid w:val="005A0E63"/>
    <w:rsid w:val="005B4F89"/>
    <w:rsid w:val="005B601B"/>
    <w:rsid w:val="005D0EEC"/>
    <w:rsid w:val="005D35F2"/>
    <w:rsid w:val="005D37C5"/>
    <w:rsid w:val="005D3D72"/>
    <w:rsid w:val="005E4597"/>
    <w:rsid w:val="005E51BC"/>
    <w:rsid w:val="005F2A03"/>
    <w:rsid w:val="005F2A82"/>
    <w:rsid w:val="005F4E8D"/>
    <w:rsid w:val="0061064B"/>
    <w:rsid w:val="00610B81"/>
    <w:rsid w:val="00615FEB"/>
    <w:rsid w:val="00616E16"/>
    <w:rsid w:val="00620707"/>
    <w:rsid w:val="00622375"/>
    <w:rsid w:val="00630E90"/>
    <w:rsid w:val="00632876"/>
    <w:rsid w:val="00635ADE"/>
    <w:rsid w:val="00642BA0"/>
    <w:rsid w:val="006463D2"/>
    <w:rsid w:val="00647861"/>
    <w:rsid w:val="00647EAE"/>
    <w:rsid w:val="00650551"/>
    <w:rsid w:val="006521BF"/>
    <w:rsid w:val="00652D1F"/>
    <w:rsid w:val="006539FC"/>
    <w:rsid w:val="00662121"/>
    <w:rsid w:val="00663DEB"/>
    <w:rsid w:val="00666A7F"/>
    <w:rsid w:val="00671498"/>
    <w:rsid w:val="00671FB6"/>
    <w:rsid w:val="00683F70"/>
    <w:rsid w:val="00683FDF"/>
    <w:rsid w:val="006842DC"/>
    <w:rsid w:val="0068472A"/>
    <w:rsid w:val="00684DE4"/>
    <w:rsid w:val="00687A78"/>
    <w:rsid w:val="0069190D"/>
    <w:rsid w:val="00693CF0"/>
    <w:rsid w:val="00695383"/>
    <w:rsid w:val="006B382F"/>
    <w:rsid w:val="006B58FD"/>
    <w:rsid w:val="006C3CF2"/>
    <w:rsid w:val="006C4718"/>
    <w:rsid w:val="006C5B6F"/>
    <w:rsid w:val="006C7F8C"/>
    <w:rsid w:val="006D0AE3"/>
    <w:rsid w:val="006D1FE1"/>
    <w:rsid w:val="006D7FE0"/>
    <w:rsid w:val="006E1D6F"/>
    <w:rsid w:val="006E5962"/>
    <w:rsid w:val="006F0486"/>
    <w:rsid w:val="006F10E8"/>
    <w:rsid w:val="006F14F6"/>
    <w:rsid w:val="006F5771"/>
    <w:rsid w:val="006F7599"/>
    <w:rsid w:val="007030B5"/>
    <w:rsid w:val="007040B9"/>
    <w:rsid w:val="007068E0"/>
    <w:rsid w:val="0071143C"/>
    <w:rsid w:val="00713077"/>
    <w:rsid w:val="00714942"/>
    <w:rsid w:val="0072034A"/>
    <w:rsid w:val="00721A90"/>
    <w:rsid w:val="00722A6D"/>
    <w:rsid w:val="0072423C"/>
    <w:rsid w:val="00726BFB"/>
    <w:rsid w:val="00727F91"/>
    <w:rsid w:val="00732549"/>
    <w:rsid w:val="00740909"/>
    <w:rsid w:val="007475A5"/>
    <w:rsid w:val="00750935"/>
    <w:rsid w:val="00753DFC"/>
    <w:rsid w:val="00754697"/>
    <w:rsid w:val="00754AFB"/>
    <w:rsid w:val="007618D1"/>
    <w:rsid w:val="007669B5"/>
    <w:rsid w:val="007715D4"/>
    <w:rsid w:val="00780EE0"/>
    <w:rsid w:val="00781A16"/>
    <w:rsid w:val="00784A70"/>
    <w:rsid w:val="00786DF2"/>
    <w:rsid w:val="00787952"/>
    <w:rsid w:val="00790096"/>
    <w:rsid w:val="00790BE7"/>
    <w:rsid w:val="007918A0"/>
    <w:rsid w:val="00795769"/>
    <w:rsid w:val="007A307C"/>
    <w:rsid w:val="007A3FA0"/>
    <w:rsid w:val="007A79B2"/>
    <w:rsid w:val="007B24BB"/>
    <w:rsid w:val="007B28DF"/>
    <w:rsid w:val="007C1A25"/>
    <w:rsid w:val="007C2B64"/>
    <w:rsid w:val="007C36ED"/>
    <w:rsid w:val="007D2E2D"/>
    <w:rsid w:val="007D33E1"/>
    <w:rsid w:val="007D6BAA"/>
    <w:rsid w:val="007D7DB8"/>
    <w:rsid w:val="007E4BAF"/>
    <w:rsid w:val="007E68DC"/>
    <w:rsid w:val="007E76B8"/>
    <w:rsid w:val="007F047E"/>
    <w:rsid w:val="007F0896"/>
    <w:rsid w:val="007F2E23"/>
    <w:rsid w:val="007F35A9"/>
    <w:rsid w:val="007F39D1"/>
    <w:rsid w:val="007F7A6E"/>
    <w:rsid w:val="00801FB9"/>
    <w:rsid w:val="00806776"/>
    <w:rsid w:val="00811057"/>
    <w:rsid w:val="0081453D"/>
    <w:rsid w:val="00825428"/>
    <w:rsid w:val="00825E05"/>
    <w:rsid w:val="0083051D"/>
    <w:rsid w:val="0084694A"/>
    <w:rsid w:val="00863513"/>
    <w:rsid w:val="00864B93"/>
    <w:rsid w:val="00864FC8"/>
    <w:rsid w:val="00866BE0"/>
    <w:rsid w:val="00867D73"/>
    <w:rsid w:val="00871931"/>
    <w:rsid w:val="008726BD"/>
    <w:rsid w:val="00874EE9"/>
    <w:rsid w:val="008764A5"/>
    <w:rsid w:val="00877AD4"/>
    <w:rsid w:val="0088118E"/>
    <w:rsid w:val="00883DCC"/>
    <w:rsid w:val="008844C4"/>
    <w:rsid w:val="008969F3"/>
    <w:rsid w:val="00897BB0"/>
    <w:rsid w:val="008A47AC"/>
    <w:rsid w:val="008A669F"/>
    <w:rsid w:val="008A6EFA"/>
    <w:rsid w:val="008B30D3"/>
    <w:rsid w:val="008B4810"/>
    <w:rsid w:val="008C4018"/>
    <w:rsid w:val="008C4296"/>
    <w:rsid w:val="008C5EA9"/>
    <w:rsid w:val="008D0B4F"/>
    <w:rsid w:val="008D2172"/>
    <w:rsid w:val="008D2EE9"/>
    <w:rsid w:val="008E0E0C"/>
    <w:rsid w:val="008E22D6"/>
    <w:rsid w:val="008E243B"/>
    <w:rsid w:val="008E417D"/>
    <w:rsid w:val="008E5411"/>
    <w:rsid w:val="008E7B61"/>
    <w:rsid w:val="008F7E32"/>
    <w:rsid w:val="00904720"/>
    <w:rsid w:val="00913866"/>
    <w:rsid w:val="00922913"/>
    <w:rsid w:val="00923AE1"/>
    <w:rsid w:val="00932BFA"/>
    <w:rsid w:val="009345AF"/>
    <w:rsid w:val="009356C3"/>
    <w:rsid w:val="00936CEF"/>
    <w:rsid w:val="00942EFE"/>
    <w:rsid w:val="009454DB"/>
    <w:rsid w:val="00963833"/>
    <w:rsid w:val="00981506"/>
    <w:rsid w:val="00982A95"/>
    <w:rsid w:val="00984722"/>
    <w:rsid w:val="0099269A"/>
    <w:rsid w:val="00993156"/>
    <w:rsid w:val="00995701"/>
    <w:rsid w:val="00996B60"/>
    <w:rsid w:val="00997BC8"/>
    <w:rsid w:val="009A2C92"/>
    <w:rsid w:val="009A5AFD"/>
    <w:rsid w:val="009A6A01"/>
    <w:rsid w:val="009A778E"/>
    <w:rsid w:val="009C0CF7"/>
    <w:rsid w:val="009C2177"/>
    <w:rsid w:val="009C5A43"/>
    <w:rsid w:val="009D3D9F"/>
    <w:rsid w:val="009D5B4A"/>
    <w:rsid w:val="009E0CD5"/>
    <w:rsid w:val="009E7FC3"/>
    <w:rsid w:val="00A0396E"/>
    <w:rsid w:val="00A04FF0"/>
    <w:rsid w:val="00A20683"/>
    <w:rsid w:val="00A23D37"/>
    <w:rsid w:val="00A24213"/>
    <w:rsid w:val="00A25A7B"/>
    <w:rsid w:val="00A25B84"/>
    <w:rsid w:val="00A328E6"/>
    <w:rsid w:val="00A3600E"/>
    <w:rsid w:val="00A40925"/>
    <w:rsid w:val="00A40C0C"/>
    <w:rsid w:val="00A42644"/>
    <w:rsid w:val="00A50287"/>
    <w:rsid w:val="00A5702C"/>
    <w:rsid w:val="00A57088"/>
    <w:rsid w:val="00A8376B"/>
    <w:rsid w:val="00A91039"/>
    <w:rsid w:val="00A93429"/>
    <w:rsid w:val="00A9492C"/>
    <w:rsid w:val="00A95EE0"/>
    <w:rsid w:val="00AA1E2C"/>
    <w:rsid w:val="00AA49B5"/>
    <w:rsid w:val="00AB1C82"/>
    <w:rsid w:val="00AC0DD4"/>
    <w:rsid w:val="00AC42F1"/>
    <w:rsid w:val="00AD3567"/>
    <w:rsid w:val="00AD77B4"/>
    <w:rsid w:val="00AE5DB6"/>
    <w:rsid w:val="00AF0193"/>
    <w:rsid w:val="00AF08E2"/>
    <w:rsid w:val="00AF48F5"/>
    <w:rsid w:val="00B02FBD"/>
    <w:rsid w:val="00B04319"/>
    <w:rsid w:val="00B050B1"/>
    <w:rsid w:val="00B07585"/>
    <w:rsid w:val="00B07A7F"/>
    <w:rsid w:val="00B110CE"/>
    <w:rsid w:val="00B12509"/>
    <w:rsid w:val="00B135EE"/>
    <w:rsid w:val="00B17FBC"/>
    <w:rsid w:val="00B2299B"/>
    <w:rsid w:val="00B30C5A"/>
    <w:rsid w:val="00B352C8"/>
    <w:rsid w:val="00B37D47"/>
    <w:rsid w:val="00B40264"/>
    <w:rsid w:val="00B421CB"/>
    <w:rsid w:val="00B464CA"/>
    <w:rsid w:val="00B479C0"/>
    <w:rsid w:val="00B52D25"/>
    <w:rsid w:val="00B57D7D"/>
    <w:rsid w:val="00B6195D"/>
    <w:rsid w:val="00B64234"/>
    <w:rsid w:val="00B65668"/>
    <w:rsid w:val="00B6698E"/>
    <w:rsid w:val="00B736A2"/>
    <w:rsid w:val="00B748C5"/>
    <w:rsid w:val="00B75E68"/>
    <w:rsid w:val="00B813F1"/>
    <w:rsid w:val="00B81595"/>
    <w:rsid w:val="00B821D1"/>
    <w:rsid w:val="00B82C0A"/>
    <w:rsid w:val="00B8427A"/>
    <w:rsid w:val="00B85A4E"/>
    <w:rsid w:val="00B91C17"/>
    <w:rsid w:val="00B95C3C"/>
    <w:rsid w:val="00BA02B7"/>
    <w:rsid w:val="00BA12A2"/>
    <w:rsid w:val="00BA1615"/>
    <w:rsid w:val="00BA646D"/>
    <w:rsid w:val="00BA6686"/>
    <w:rsid w:val="00BB1D0F"/>
    <w:rsid w:val="00BB31F0"/>
    <w:rsid w:val="00BB46BA"/>
    <w:rsid w:val="00BB4E07"/>
    <w:rsid w:val="00BB694A"/>
    <w:rsid w:val="00BC06BE"/>
    <w:rsid w:val="00BC4316"/>
    <w:rsid w:val="00BC4B7E"/>
    <w:rsid w:val="00BD25EA"/>
    <w:rsid w:val="00BD3C19"/>
    <w:rsid w:val="00BD7B35"/>
    <w:rsid w:val="00BE1D0C"/>
    <w:rsid w:val="00BE2060"/>
    <w:rsid w:val="00BE2BCA"/>
    <w:rsid w:val="00BE6209"/>
    <w:rsid w:val="00BF45FB"/>
    <w:rsid w:val="00C009E8"/>
    <w:rsid w:val="00C0115B"/>
    <w:rsid w:val="00C03D48"/>
    <w:rsid w:val="00C21571"/>
    <w:rsid w:val="00C2616C"/>
    <w:rsid w:val="00C30F3B"/>
    <w:rsid w:val="00C35F6C"/>
    <w:rsid w:val="00C4128F"/>
    <w:rsid w:val="00C42937"/>
    <w:rsid w:val="00C42F2B"/>
    <w:rsid w:val="00C43084"/>
    <w:rsid w:val="00C50347"/>
    <w:rsid w:val="00C51B9B"/>
    <w:rsid w:val="00C53071"/>
    <w:rsid w:val="00C537B4"/>
    <w:rsid w:val="00C542AD"/>
    <w:rsid w:val="00C562BC"/>
    <w:rsid w:val="00C56961"/>
    <w:rsid w:val="00C56F94"/>
    <w:rsid w:val="00C56F9A"/>
    <w:rsid w:val="00C67AA8"/>
    <w:rsid w:val="00C744C0"/>
    <w:rsid w:val="00C759C6"/>
    <w:rsid w:val="00C764F8"/>
    <w:rsid w:val="00C80BB7"/>
    <w:rsid w:val="00C81433"/>
    <w:rsid w:val="00C83AC1"/>
    <w:rsid w:val="00C84CFD"/>
    <w:rsid w:val="00C97EE0"/>
    <w:rsid w:val="00CA41AA"/>
    <w:rsid w:val="00CA4791"/>
    <w:rsid w:val="00CB247A"/>
    <w:rsid w:val="00CC43C2"/>
    <w:rsid w:val="00CC491E"/>
    <w:rsid w:val="00CD2EB5"/>
    <w:rsid w:val="00CE212D"/>
    <w:rsid w:val="00CE3F11"/>
    <w:rsid w:val="00CE4752"/>
    <w:rsid w:val="00CF08AA"/>
    <w:rsid w:val="00CF139A"/>
    <w:rsid w:val="00CF60B9"/>
    <w:rsid w:val="00CF73D7"/>
    <w:rsid w:val="00D000F9"/>
    <w:rsid w:val="00D005B1"/>
    <w:rsid w:val="00D13234"/>
    <w:rsid w:val="00D14B33"/>
    <w:rsid w:val="00D2386D"/>
    <w:rsid w:val="00D27F8D"/>
    <w:rsid w:val="00D31776"/>
    <w:rsid w:val="00D34213"/>
    <w:rsid w:val="00D354BE"/>
    <w:rsid w:val="00D3567E"/>
    <w:rsid w:val="00D45509"/>
    <w:rsid w:val="00D4615C"/>
    <w:rsid w:val="00D47F1F"/>
    <w:rsid w:val="00D52567"/>
    <w:rsid w:val="00D52F36"/>
    <w:rsid w:val="00D5349C"/>
    <w:rsid w:val="00D53556"/>
    <w:rsid w:val="00D55CF5"/>
    <w:rsid w:val="00D62BBC"/>
    <w:rsid w:val="00D7499C"/>
    <w:rsid w:val="00D75B09"/>
    <w:rsid w:val="00D81989"/>
    <w:rsid w:val="00D825C8"/>
    <w:rsid w:val="00D85820"/>
    <w:rsid w:val="00D92A77"/>
    <w:rsid w:val="00D92F37"/>
    <w:rsid w:val="00D977F8"/>
    <w:rsid w:val="00DA36EB"/>
    <w:rsid w:val="00DA36F7"/>
    <w:rsid w:val="00DB63C0"/>
    <w:rsid w:val="00DB7C62"/>
    <w:rsid w:val="00DC0210"/>
    <w:rsid w:val="00DC4D14"/>
    <w:rsid w:val="00DC5DA3"/>
    <w:rsid w:val="00DD524C"/>
    <w:rsid w:val="00DD6857"/>
    <w:rsid w:val="00DD7A73"/>
    <w:rsid w:val="00DE2199"/>
    <w:rsid w:val="00DE44E9"/>
    <w:rsid w:val="00DF2CED"/>
    <w:rsid w:val="00DF4BC6"/>
    <w:rsid w:val="00E03428"/>
    <w:rsid w:val="00E1284A"/>
    <w:rsid w:val="00E1462D"/>
    <w:rsid w:val="00E25CCA"/>
    <w:rsid w:val="00E31712"/>
    <w:rsid w:val="00E330AD"/>
    <w:rsid w:val="00E44ED8"/>
    <w:rsid w:val="00E478F5"/>
    <w:rsid w:val="00E54FBE"/>
    <w:rsid w:val="00E64B8D"/>
    <w:rsid w:val="00E6733D"/>
    <w:rsid w:val="00E81AE9"/>
    <w:rsid w:val="00E8760F"/>
    <w:rsid w:val="00E9678C"/>
    <w:rsid w:val="00EA5B2C"/>
    <w:rsid w:val="00EA6188"/>
    <w:rsid w:val="00EB62A8"/>
    <w:rsid w:val="00EB6408"/>
    <w:rsid w:val="00EC151E"/>
    <w:rsid w:val="00EC3C0F"/>
    <w:rsid w:val="00EC3F9E"/>
    <w:rsid w:val="00ED0604"/>
    <w:rsid w:val="00ED5CF6"/>
    <w:rsid w:val="00EF57EE"/>
    <w:rsid w:val="00EF7BA6"/>
    <w:rsid w:val="00F00A1A"/>
    <w:rsid w:val="00F01B50"/>
    <w:rsid w:val="00F05608"/>
    <w:rsid w:val="00F11525"/>
    <w:rsid w:val="00F15445"/>
    <w:rsid w:val="00F15CE6"/>
    <w:rsid w:val="00F16E3F"/>
    <w:rsid w:val="00F22AFF"/>
    <w:rsid w:val="00F23792"/>
    <w:rsid w:val="00F24CEE"/>
    <w:rsid w:val="00F25A5D"/>
    <w:rsid w:val="00F26C4F"/>
    <w:rsid w:val="00F305A3"/>
    <w:rsid w:val="00F30A09"/>
    <w:rsid w:val="00F31407"/>
    <w:rsid w:val="00F320CA"/>
    <w:rsid w:val="00F338F0"/>
    <w:rsid w:val="00F372E3"/>
    <w:rsid w:val="00F37A44"/>
    <w:rsid w:val="00F5030D"/>
    <w:rsid w:val="00F5035C"/>
    <w:rsid w:val="00F51980"/>
    <w:rsid w:val="00F66D4F"/>
    <w:rsid w:val="00F715A8"/>
    <w:rsid w:val="00F7541A"/>
    <w:rsid w:val="00F7799A"/>
    <w:rsid w:val="00F8283D"/>
    <w:rsid w:val="00F86E4A"/>
    <w:rsid w:val="00F878A4"/>
    <w:rsid w:val="00F878A8"/>
    <w:rsid w:val="00F90BB0"/>
    <w:rsid w:val="00F92C79"/>
    <w:rsid w:val="00F947BF"/>
    <w:rsid w:val="00F97413"/>
    <w:rsid w:val="00FA00D4"/>
    <w:rsid w:val="00FA10D4"/>
    <w:rsid w:val="00FA4574"/>
    <w:rsid w:val="00FA4773"/>
    <w:rsid w:val="00FA4AB8"/>
    <w:rsid w:val="00FA660D"/>
    <w:rsid w:val="00FA71B4"/>
    <w:rsid w:val="00FB0ABC"/>
    <w:rsid w:val="00FB42F2"/>
    <w:rsid w:val="00FB5ED4"/>
    <w:rsid w:val="00FC1800"/>
    <w:rsid w:val="00FC23BD"/>
    <w:rsid w:val="00FC62A1"/>
    <w:rsid w:val="00FD6354"/>
    <w:rsid w:val="00FE08E1"/>
    <w:rsid w:val="00FE4759"/>
    <w:rsid w:val="00FE5EBF"/>
    <w:rsid w:val="00FF0B34"/>
    <w:rsid w:val="00FF1CFE"/>
    <w:rsid w:val="00FF30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B2"/>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82C0A"/>
    <w:pPr>
      <w:tabs>
        <w:tab w:val="center" w:pos="4677"/>
        <w:tab w:val="right" w:pos="9355"/>
      </w:tabs>
    </w:pPr>
  </w:style>
  <w:style w:type="character" w:customStyle="1" w:styleId="a4">
    <w:name w:val="Нижний колонтитул Знак"/>
    <w:basedOn w:val="a0"/>
    <w:link w:val="a3"/>
    <w:uiPriority w:val="99"/>
    <w:rsid w:val="00B82C0A"/>
    <w:rPr>
      <w:rFonts w:ascii="Times New Roman" w:eastAsia="Times New Roman" w:hAnsi="Times New Roman" w:cs="Times New Roman"/>
      <w:sz w:val="24"/>
      <w:szCs w:val="24"/>
      <w:lang w:val="ro-RO"/>
    </w:rPr>
  </w:style>
  <w:style w:type="character" w:styleId="a5">
    <w:name w:val="page number"/>
    <w:uiPriority w:val="99"/>
    <w:rsid w:val="00B82C0A"/>
    <w:rPr>
      <w:rFonts w:cs="Times New Roman"/>
    </w:rPr>
  </w:style>
  <w:style w:type="paragraph" w:styleId="a6">
    <w:name w:val="Normal (Web)"/>
    <w:basedOn w:val="a"/>
    <w:uiPriority w:val="99"/>
    <w:rsid w:val="00B82C0A"/>
    <w:pPr>
      <w:ind w:firstLine="567"/>
      <w:jc w:val="both"/>
    </w:pPr>
    <w:rPr>
      <w:lang w:val="ru-RU" w:eastAsia="ru-RU"/>
    </w:rPr>
  </w:style>
  <w:style w:type="character" w:styleId="a7">
    <w:name w:val="Hyperlink"/>
    <w:rsid w:val="00291041"/>
    <w:rPr>
      <w:color w:val="0000FF"/>
      <w:u w:val="single"/>
    </w:rPr>
  </w:style>
  <w:style w:type="paragraph" w:customStyle="1" w:styleId="Default">
    <w:name w:val="Default"/>
    <w:rsid w:val="005F2A82"/>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5F2A82"/>
    <w:rPr>
      <w:rFonts w:cstheme="minorBidi"/>
      <w:color w:val="auto"/>
    </w:rPr>
  </w:style>
  <w:style w:type="paragraph" w:customStyle="1" w:styleId="CM3">
    <w:name w:val="CM3"/>
    <w:basedOn w:val="Default"/>
    <w:next w:val="Default"/>
    <w:uiPriority w:val="99"/>
    <w:rsid w:val="005F2A82"/>
    <w:rPr>
      <w:rFonts w:cstheme="minorBidi"/>
      <w:color w:val="auto"/>
    </w:rPr>
  </w:style>
  <w:style w:type="paragraph" w:customStyle="1" w:styleId="CM4">
    <w:name w:val="CM4"/>
    <w:basedOn w:val="Default"/>
    <w:next w:val="Default"/>
    <w:uiPriority w:val="99"/>
    <w:rsid w:val="005F2A82"/>
    <w:rPr>
      <w:rFonts w:cstheme="minorBidi"/>
      <w:color w:val="auto"/>
    </w:rPr>
  </w:style>
  <w:style w:type="paragraph" w:styleId="a8">
    <w:name w:val="List Paragraph"/>
    <w:basedOn w:val="a"/>
    <w:qFormat/>
    <w:rsid w:val="000406E4"/>
    <w:pPr>
      <w:suppressAutoHyphens/>
      <w:spacing w:after="200" w:line="276" w:lineRule="auto"/>
      <w:ind w:left="720"/>
    </w:pPr>
    <w:rPr>
      <w:rFonts w:ascii="Calibri" w:eastAsia="Calibri" w:hAnsi="Calibri"/>
      <w:sz w:val="22"/>
      <w:szCs w:val="22"/>
      <w:lang w:eastAsia="ar-SA"/>
    </w:rPr>
  </w:style>
  <w:style w:type="paragraph" w:styleId="a9">
    <w:name w:val="No Spacing"/>
    <w:uiPriority w:val="1"/>
    <w:qFormat/>
    <w:rsid w:val="001E297B"/>
    <w:pPr>
      <w:spacing w:after="0" w:line="240" w:lineRule="auto"/>
    </w:pPr>
    <w:rPr>
      <w:rFonts w:ascii="Times New Roman" w:eastAsia="Times New Roman" w:hAnsi="Times New Roman" w:cs="Times New Roman"/>
      <w:sz w:val="24"/>
      <w:szCs w:val="24"/>
      <w:lang w:val="ro-RO"/>
    </w:rPr>
  </w:style>
  <w:style w:type="numbering" w:customStyle="1" w:styleId="ListNo">
    <w:name w:val="List No"/>
    <w:uiPriority w:val="99"/>
    <w:semiHidden/>
    <w:unhideWhenUsed/>
    <w:rsid w:val="00684DE4"/>
  </w:style>
  <w:style w:type="character" w:customStyle="1" w:styleId="4">
    <w:name w:val="Основной текст (4)_"/>
    <w:basedOn w:val="a0"/>
    <w:link w:val="40"/>
    <w:rsid w:val="0029693F"/>
    <w:rPr>
      <w:rFonts w:ascii="Times New Roman" w:eastAsia="Times New Roman" w:hAnsi="Times New Roman" w:cs="Times New Roman"/>
      <w:sz w:val="26"/>
      <w:szCs w:val="26"/>
      <w:shd w:val="clear" w:color="auto" w:fill="FFFFFF"/>
    </w:rPr>
  </w:style>
  <w:style w:type="character" w:customStyle="1" w:styleId="6">
    <w:name w:val="Основной текст (6) + Не полужирный;Не курсив"/>
    <w:basedOn w:val="a0"/>
    <w:rsid w:val="0029693F"/>
    <w:rPr>
      <w:rFonts w:ascii="Times New Roman" w:eastAsia="Times New Roman" w:hAnsi="Times New Roman" w:cs="Times New Roman"/>
      <w:b/>
      <w:bCs/>
      <w:i/>
      <w:iCs/>
      <w:sz w:val="26"/>
      <w:szCs w:val="26"/>
      <w:shd w:val="clear" w:color="auto" w:fill="FFFFFF"/>
    </w:rPr>
  </w:style>
  <w:style w:type="character" w:customStyle="1" w:styleId="41">
    <w:name w:val="Основной текст (4) + Полужирный;Курсив"/>
    <w:basedOn w:val="4"/>
    <w:rsid w:val="0029693F"/>
    <w:rPr>
      <w:rFonts w:ascii="Times New Roman" w:eastAsia="Times New Roman" w:hAnsi="Times New Roman" w:cs="Times New Roman"/>
      <w:b/>
      <w:bCs/>
      <w:i/>
      <w:iCs/>
      <w:sz w:val="26"/>
      <w:szCs w:val="26"/>
      <w:shd w:val="clear" w:color="auto" w:fill="FFFFFF"/>
    </w:rPr>
  </w:style>
  <w:style w:type="character" w:customStyle="1" w:styleId="42">
    <w:name w:val="Основной текст (4) + Курсив"/>
    <w:basedOn w:val="4"/>
    <w:rsid w:val="0029693F"/>
    <w:rPr>
      <w:rFonts w:ascii="Times New Roman" w:eastAsia="Times New Roman" w:hAnsi="Times New Roman" w:cs="Times New Roman"/>
      <w:i/>
      <w:iCs/>
      <w:sz w:val="26"/>
      <w:szCs w:val="26"/>
      <w:shd w:val="clear" w:color="auto" w:fill="FFFFFF"/>
    </w:rPr>
  </w:style>
  <w:style w:type="paragraph" w:customStyle="1" w:styleId="40">
    <w:name w:val="Основной текст (4)"/>
    <w:basedOn w:val="a"/>
    <w:link w:val="4"/>
    <w:rsid w:val="0029693F"/>
    <w:pPr>
      <w:shd w:val="clear" w:color="auto" w:fill="FFFFFF"/>
      <w:spacing w:before="540" w:line="466" w:lineRule="exact"/>
      <w:ind w:hanging="340"/>
      <w:jc w:val="both"/>
    </w:pPr>
    <w:rPr>
      <w:sz w:val="26"/>
      <w:szCs w:val="26"/>
      <w:lang w:val="ru-RU"/>
    </w:rPr>
  </w:style>
  <w:style w:type="character" w:customStyle="1" w:styleId="5">
    <w:name w:val="Основной текст (5)_"/>
    <w:basedOn w:val="a0"/>
    <w:link w:val="50"/>
    <w:rsid w:val="0029693F"/>
    <w:rPr>
      <w:rFonts w:ascii="Times New Roman" w:eastAsia="Times New Roman" w:hAnsi="Times New Roman" w:cs="Times New Roman"/>
      <w:sz w:val="26"/>
      <w:szCs w:val="26"/>
      <w:shd w:val="clear" w:color="auto" w:fill="FFFFFF"/>
    </w:rPr>
  </w:style>
  <w:style w:type="paragraph" w:customStyle="1" w:styleId="50">
    <w:name w:val="Основной текст (5)"/>
    <w:basedOn w:val="a"/>
    <w:link w:val="5"/>
    <w:rsid w:val="0029693F"/>
    <w:pPr>
      <w:shd w:val="clear" w:color="auto" w:fill="FFFFFF"/>
      <w:spacing w:line="0" w:lineRule="atLeast"/>
    </w:pPr>
    <w:rPr>
      <w:sz w:val="26"/>
      <w:szCs w:val="26"/>
      <w:lang w:val="ru-RU"/>
    </w:rPr>
  </w:style>
  <w:style w:type="character" w:customStyle="1" w:styleId="aa">
    <w:name w:val="Основной текст_"/>
    <w:basedOn w:val="a0"/>
    <w:link w:val="8"/>
    <w:rsid w:val="0036347E"/>
    <w:rPr>
      <w:rFonts w:ascii="Times New Roman" w:eastAsia="Times New Roman" w:hAnsi="Times New Roman" w:cs="Times New Roman"/>
      <w:sz w:val="23"/>
      <w:szCs w:val="23"/>
      <w:shd w:val="clear" w:color="auto" w:fill="FFFFFF"/>
    </w:rPr>
  </w:style>
  <w:style w:type="paragraph" w:customStyle="1" w:styleId="8">
    <w:name w:val="Основной текст8"/>
    <w:basedOn w:val="a"/>
    <w:link w:val="aa"/>
    <w:rsid w:val="0036347E"/>
    <w:pPr>
      <w:shd w:val="clear" w:color="auto" w:fill="FFFFFF"/>
      <w:spacing w:before="360" w:line="269" w:lineRule="exact"/>
      <w:jc w:val="both"/>
    </w:pPr>
    <w:rPr>
      <w:sz w:val="23"/>
      <w:szCs w:val="23"/>
      <w:lang w:val="ru-RU"/>
    </w:rPr>
  </w:style>
  <w:style w:type="character" w:customStyle="1" w:styleId="ab">
    <w:name w:val="Основной текст + Курсив"/>
    <w:basedOn w:val="aa"/>
    <w:rsid w:val="0036347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11pt">
    <w:name w:val="Основной текст + 11 pt;Полужирный"/>
    <w:basedOn w:val="aa"/>
    <w:rsid w:val="0036347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2">
    <w:name w:val="Основной текст (2)_"/>
    <w:basedOn w:val="a0"/>
    <w:link w:val="20"/>
    <w:rsid w:val="0036347E"/>
    <w:rPr>
      <w:rFonts w:ascii="Times New Roman" w:eastAsia="Times New Roman" w:hAnsi="Times New Roman" w:cs="Times New Roman"/>
      <w:shd w:val="clear" w:color="auto" w:fill="FFFFFF"/>
    </w:rPr>
  </w:style>
  <w:style w:type="character" w:customStyle="1" w:styleId="420">
    <w:name w:val="Основной текст (42)_"/>
    <w:basedOn w:val="a0"/>
    <w:link w:val="421"/>
    <w:rsid w:val="0036347E"/>
    <w:rPr>
      <w:rFonts w:ascii="Times New Roman" w:eastAsia="Times New Roman" w:hAnsi="Times New Roman" w:cs="Times New Roman"/>
      <w:sz w:val="23"/>
      <w:szCs w:val="23"/>
      <w:shd w:val="clear" w:color="auto" w:fill="FFFFFF"/>
    </w:rPr>
  </w:style>
  <w:style w:type="character" w:customStyle="1" w:styleId="51">
    <w:name w:val="Основной текст5"/>
    <w:basedOn w:val="aa"/>
    <w:rsid w:val="0036347E"/>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ac">
    <w:name w:val="Основной текст + Полужирный;Курсив"/>
    <w:basedOn w:val="aa"/>
    <w:rsid w:val="0036347E"/>
    <w:rPr>
      <w:rFonts w:ascii="Times New Roman" w:eastAsia="Times New Roman" w:hAnsi="Times New Roman" w:cs="Times New Roman"/>
      <w:b/>
      <w:bCs/>
      <w:i/>
      <w:iCs/>
      <w:smallCaps w:val="0"/>
      <w:strike w:val="0"/>
      <w:spacing w:val="0"/>
      <w:sz w:val="23"/>
      <w:szCs w:val="23"/>
      <w:shd w:val="clear" w:color="auto" w:fill="FFFFFF"/>
    </w:rPr>
  </w:style>
  <w:style w:type="paragraph" w:customStyle="1" w:styleId="20">
    <w:name w:val="Основной текст (2)"/>
    <w:basedOn w:val="a"/>
    <w:link w:val="2"/>
    <w:rsid w:val="0036347E"/>
    <w:pPr>
      <w:shd w:val="clear" w:color="auto" w:fill="FFFFFF"/>
      <w:spacing w:after="120" w:line="240" w:lineRule="exact"/>
      <w:jc w:val="center"/>
    </w:pPr>
    <w:rPr>
      <w:sz w:val="22"/>
      <w:szCs w:val="22"/>
      <w:lang w:val="ru-RU"/>
    </w:rPr>
  </w:style>
  <w:style w:type="paragraph" w:customStyle="1" w:styleId="421">
    <w:name w:val="Основной текст (42)"/>
    <w:basedOn w:val="a"/>
    <w:link w:val="420"/>
    <w:rsid w:val="0036347E"/>
    <w:pPr>
      <w:shd w:val="clear" w:color="auto" w:fill="FFFFFF"/>
      <w:spacing w:line="274" w:lineRule="exact"/>
    </w:pPr>
    <w:rPr>
      <w:sz w:val="23"/>
      <w:szCs w:val="23"/>
      <w:lang w:val="ru-RU"/>
    </w:rPr>
  </w:style>
  <w:style w:type="character" w:customStyle="1" w:styleId="60">
    <w:name w:val="Основной текст6"/>
    <w:basedOn w:val="aa"/>
    <w:rsid w:val="0036347E"/>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43">
    <w:name w:val="Основной текст (43)_"/>
    <w:basedOn w:val="a0"/>
    <w:link w:val="430"/>
    <w:rsid w:val="00B75E68"/>
    <w:rPr>
      <w:rFonts w:ascii="Times New Roman" w:eastAsia="Times New Roman" w:hAnsi="Times New Roman" w:cs="Times New Roman"/>
      <w:sz w:val="23"/>
      <w:szCs w:val="23"/>
      <w:shd w:val="clear" w:color="auto" w:fill="FFFFFF"/>
    </w:rPr>
  </w:style>
  <w:style w:type="character" w:customStyle="1" w:styleId="431">
    <w:name w:val="Основной текст (43) + Не курсив"/>
    <w:basedOn w:val="43"/>
    <w:rsid w:val="00B75E68"/>
    <w:rPr>
      <w:rFonts w:ascii="Times New Roman" w:eastAsia="Times New Roman" w:hAnsi="Times New Roman" w:cs="Times New Roman"/>
      <w:i/>
      <w:iCs/>
      <w:sz w:val="23"/>
      <w:szCs w:val="23"/>
      <w:shd w:val="clear" w:color="auto" w:fill="FFFFFF"/>
    </w:rPr>
  </w:style>
  <w:style w:type="character" w:customStyle="1" w:styleId="432">
    <w:name w:val="Основной текст (43) + Полужирный"/>
    <w:basedOn w:val="43"/>
    <w:rsid w:val="00B75E68"/>
    <w:rPr>
      <w:rFonts w:ascii="Times New Roman" w:eastAsia="Times New Roman" w:hAnsi="Times New Roman" w:cs="Times New Roman"/>
      <w:b/>
      <w:bCs/>
      <w:sz w:val="23"/>
      <w:szCs w:val="23"/>
      <w:shd w:val="clear" w:color="auto" w:fill="FFFFFF"/>
    </w:rPr>
  </w:style>
  <w:style w:type="paragraph" w:customStyle="1" w:styleId="430">
    <w:name w:val="Основной текст (43)"/>
    <w:basedOn w:val="a"/>
    <w:link w:val="43"/>
    <w:rsid w:val="00B75E68"/>
    <w:pPr>
      <w:shd w:val="clear" w:color="auto" w:fill="FFFFFF"/>
      <w:spacing w:line="274" w:lineRule="exact"/>
    </w:pPr>
    <w:rPr>
      <w:sz w:val="23"/>
      <w:szCs w:val="23"/>
      <w:lang w:val="ru-RU"/>
    </w:rPr>
  </w:style>
  <w:style w:type="character" w:customStyle="1" w:styleId="4311pt">
    <w:name w:val="Основной текст (43) + 11 pt;Полужирный;Не курсив"/>
    <w:basedOn w:val="43"/>
    <w:rsid w:val="00B75E68"/>
    <w:rPr>
      <w:rFonts w:ascii="Times New Roman" w:eastAsia="Times New Roman" w:hAnsi="Times New Roman" w:cs="Times New Roman"/>
      <w:b/>
      <w:bCs/>
      <w:i/>
      <w:iCs/>
      <w:sz w:val="22"/>
      <w:szCs w:val="22"/>
      <w:shd w:val="clear" w:color="auto" w:fill="FFFFFF"/>
    </w:rPr>
  </w:style>
  <w:style w:type="character" w:customStyle="1" w:styleId="43Arial95pt0pt">
    <w:name w:val="Основной текст (43) + Arial;9;5 pt;Не курсив;Интервал 0 pt"/>
    <w:basedOn w:val="43"/>
    <w:rsid w:val="00B75E68"/>
    <w:rPr>
      <w:rFonts w:ascii="Arial" w:eastAsia="Arial" w:hAnsi="Arial" w:cs="Arial"/>
      <w:i/>
      <w:iCs/>
      <w:spacing w:val="10"/>
      <w:sz w:val="19"/>
      <w:szCs w:val="19"/>
      <w:shd w:val="clear" w:color="auto" w:fill="FFFFFF"/>
    </w:rPr>
  </w:style>
  <w:style w:type="character" w:customStyle="1" w:styleId="1pt">
    <w:name w:val="Основной текст + Интервал 1 pt"/>
    <w:basedOn w:val="aa"/>
    <w:rsid w:val="00B75E68"/>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7">
    <w:name w:val="Основной текст7"/>
    <w:basedOn w:val="aa"/>
    <w:rsid w:val="00B75E68"/>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432pt">
    <w:name w:val="Основной текст (43) + Интервал 2 pt"/>
    <w:basedOn w:val="43"/>
    <w:rsid w:val="00B75E68"/>
    <w:rPr>
      <w:rFonts w:ascii="Times New Roman" w:eastAsia="Times New Roman" w:hAnsi="Times New Roman" w:cs="Times New Roman"/>
      <w:spacing w:val="40"/>
      <w:sz w:val="23"/>
      <w:szCs w:val="23"/>
      <w:shd w:val="clear" w:color="auto" w:fill="FFFFFF"/>
    </w:rPr>
  </w:style>
  <w:style w:type="table" w:styleId="ad">
    <w:name w:val="Table Grid"/>
    <w:basedOn w:val="a1"/>
    <w:uiPriority w:val="59"/>
    <w:rsid w:val="003C7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3A137D"/>
    <w:pPr>
      <w:spacing w:after="160" w:line="240" w:lineRule="exact"/>
    </w:pPr>
    <w:rPr>
      <w:rFonts w:ascii="Arial" w:eastAsia="Batang" w:hAnsi="Arial" w:cs="Arial"/>
      <w:sz w:val="20"/>
      <w:szCs w:val="20"/>
      <w:lang w:val="en-US"/>
    </w:rPr>
  </w:style>
  <w:style w:type="paragraph" w:styleId="ae">
    <w:name w:val="header"/>
    <w:basedOn w:val="a"/>
    <w:link w:val="af"/>
    <w:uiPriority w:val="99"/>
    <w:unhideWhenUsed/>
    <w:rsid w:val="004069BB"/>
    <w:pPr>
      <w:tabs>
        <w:tab w:val="center" w:pos="4677"/>
        <w:tab w:val="right" w:pos="9355"/>
      </w:tabs>
    </w:pPr>
  </w:style>
  <w:style w:type="character" w:customStyle="1" w:styleId="af">
    <w:name w:val="Верхний колонтитул Знак"/>
    <w:basedOn w:val="a0"/>
    <w:link w:val="ae"/>
    <w:uiPriority w:val="99"/>
    <w:rsid w:val="004069BB"/>
    <w:rPr>
      <w:rFonts w:ascii="Times New Roman" w:eastAsia="Times New Roman" w:hAnsi="Times New Roman" w:cs="Times New Roman"/>
      <w:sz w:val="24"/>
      <w:szCs w:val="24"/>
      <w:lang w:val="ro-RO"/>
    </w:rPr>
  </w:style>
  <w:style w:type="paragraph" w:styleId="af0">
    <w:name w:val="Balloon Text"/>
    <w:basedOn w:val="a"/>
    <w:link w:val="af1"/>
    <w:uiPriority w:val="99"/>
    <w:semiHidden/>
    <w:unhideWhenUsed/>
    <w:rsid w:val="00516C16"/>
    <w:rPr>
      <w:rFonts w:ascii="Tahoma" w:hAnsi="Tahoma" w:cs="Tahoma"/>
      <w:sz w:val="16"/>
      <w:szCs w:val="16"/>
    </w:rPr>
  </w:style>
  <w:style w:type="character" w:customStyle="1" w:styleId="af1">
    <w:name w:val="Текст выноски Знак"/>
    <w:basedOn w:val="a0"/>
    <w:link w:val="af0"/>
    <w:uiPriority w:val="99"/>
    <w:semiHidden/>
    <w:rsid w:val="00516C16"/>
    <w:rPr>
      <w:rFonts w:ascii="Tahoma" w:eastAsia="Times New Roman" w:hAnsi="Tahoma" w:cs="Tahoma"/>
      <w:sz w:val="16"/>
      <w:szCs w:val="16"/>
      <w:lang w:val="ro-RO"/>
    </w:rPr>
  </w:style>
  <w:style w:type="paragraph" w:customStyle="1" w:styleId="1">
    <w:name w:val="Абзац списка1"/>
    <w:basedOn w:val="a"/>
    <w:rsid w:val="00A42644"/>
    <w:pPr>
      <w:spacing w:after="200" w:line="276" w:lineRule="auto"/>
      <w:ind w:left="720"/>
    </w:pPr>
  </w:style>
  <w:style w:type="character" w:customStyle="1" w:styleId="apple-converted-space">
    <w:name w:val="apple-converted-space"/>
    <w:basedOn w:val="a0"/>
    <w:rsid w:val="00DC4D14"/>
  </w:style>
  <w:style w:type="character" w:customStyle="1" w:styleId="docbody">
    <w:name w:val="doc_body"/>
    <w:basedOn w:val="a0"/>
    <w:rsid w:val="00DC4D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B2"/>
    <w:pPr>
      <w:spacing w:after="0" w:line="240" w:lineRule="auto"/>
    </w:pPr>
    <w:rPr>
      <w:rFonts w:ascii="Times New Roman" w:eastAsia="Times New Roman" w:hAnsi="Times New Roman" w:cs="Times New Roman"/>
      <w:sz w:val="24"/>
      <w:szCs w:val="24"/>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B82C0A"/>
    <w:pPr>
      <w:tabs>
        <w:tab w:val="center" w:pos="4677"/>
        <w:tab w:val="right" w:pos="9355"/>
      </w:tabs>
    </w:pPr>
  </w:style>
  <w:style w:type="character" w:customStyle="1" w:styleId="a4">
    <w:name w:val="Нижний колонтитул Знак"/>
    <w:basedOn w:val="a0"/>
    <w:link w:val="a3"/>
    <w:uiPriority w:val="99"/>
    <w:rsid w:val="00B82C0A"/>
    <w:rPr>
      <w:rFonts w:ascii="Times New Roman" w:eastAsia="Times New Roman" w:hAnsi="Times New Roman" w:cs="Times New Roman"/>
      <w:sz w:val="24"/>
      <w:szCs w:val="24"/>
      <w:lang w:val="ro-RO"/>
    </w:rPr>
  </w:style>
  <w:style w:type="character" w:styleId="a5">
    <w:name w:val="page number"/>
    <w:uiPriority w:val="99"/>
    <w:rsid w:val="00B82C0A"/>
    <w:rPr>
      <w:rFonts w:cs="Times New Roman"/>
    </w:rPr>
  </w:style>
  <w:style w:type="paragraph" w:styleId="a6">
    <w:name w:val="Normal (Web)"/>
    <w:basedOn w:val="a"/>
    <w:uiPriority w:val="99"/>
    <w:rsid w:val="00B82C0A"/>
    <w:pPr>
      <w:ind w:firstLine="567"/>
      <w:jc w:val="both"/>
    </w:pPr>
    <w:rPr>
      <w:lang w:val="ru-RU" w:eastAsia="ru-RU"/>
    </w:rPr>
  </w:style>
  <w:style w:type="character" w:styleId="a7">
    <w:name w:val="Hyperlink"/>
    <w:rsid w:val="00291041"/>
    <w:rPr>
      <w:color w:val="0000FF"/>
      <w:u w:val="single"/>
    </w:rPr>
  </w:style>
  <w:style w:type="paragraph" w:customStyle="1" w:styleId="Default">
    <w:name w:val="Default"/>
    <w:rsid w:val="005F2A82"/>
    <w:pPr>
      <w:autoSpaceDE w:val="0"/>
      <w:autoSpaceDN w:val="0"/>
      <w:adjustRightInd w:val="0"/>
      <w:spacing w:after="0" w:line="240" w:lineRule="auto"/>
    </w:pPr>
    <w:rPr>
      <w:rFonts w:ascii="EUAlbertina" w:hAnsi="EUAlbertina" w:cs="EUAlbertina"/>
      <w:color w:val="000000"/>
      <w:sz w:val="24"/>
      <w:szCs w:val="24"/>
    </w:rPr>
  </w:style>
  <w:style w:type="paragraph" w:customStyle="1" w:styleId="CM1">
    <w:name w:val="CM1"/>
    <w:basedOn w:val="Default"/>
    <w:next w:val="Default"/>
    <w:uiPriority w:val="99"/>
    <w:rsid w:val="005F2A82"/>
    <w:rPr>
      <w:rFonts w:cstheme="minorBidi"/>
      <w:color w:val="auto"/>
    </w:rPr>
  </w:style>
  <w:style w:type="paragraph" w:customStyle="1" w:styleId="CM3">
    <w:name w:val="CM3"/>
    <w:basedOn w:val="Default"/>
    <w:next w:val="Default"/>
    <w:uiPriority w:val="99"/>
    <w:rsid w:val="005F2A82"/>
    <w:rPr>
      <w:rFonts w:cstheme="minorBidi"/>
      <w:color w:val="auto"/>
    </w:rPr>
  </w:style>
  <w:style w:type="paragraph" w:customStyle="1" w:styleId="CM4">
    <w:name w:val="CM4"/>
    <w:basedOn w:val="Default"/>
    <w:next w:val="Default"/>
    <w:uiPriority w:val="99"/>
    <w:rsid w:val="005F2A82"/>
    <w:rPr>
      <w:rFonts w:cstheme="minorBidi"/>
      <w:color w:val="auto"/>
    </w:rPr>
  </w:style>
  <w:style w:type="paragraph" w:styleId="a8">
    <w:name w:val="List Paragraph"/>
    <w:basedOn w:val="a"/>
    <w:qFormat/>
    <w:rsid w:val="000406E4"/>
    <w:pPr>
      <w:suppressAutoHyphens/>
      <w:spacing w:after="200" w:line="276" w:lineRule="auto"/>
      <w:ind w:left="720"/>
    </w:pPr>
    <w:rPr>
      <w:rFonts w:ascii="Calibri" w:eastAsia="Calibri" w:hAnsi="Calibri"/>
      <w:sz w:val="22"/>
      <w:szCs w:val="22"/>
      <w:lang w:eastAsia="ar-SA"/>
    </w:rPr>
  </w:style>
  <w:style w:type="paragraph" w:styleId="a9">
    <w:name w:val="No Spacing"/>
    <w:uiPriority w:val="1"/>
    <w:qFormat/>
    <w:rsid w:val="001E297B"/>
    <w:pPr>
      <w:spacing w:after="0" w:line="240" w:lineRule="auto"/>
    </w:pPr>
    <w:rPr>
      <w:rFonts w:ascii="Times New Roman" w:eastAsia="Times New Roman" w:hAnsi="Times New Roman" w:cs="Times New Roman"/>
      <w:sz w:val="24"/>
      <w:szCs w:val="24"/>
      <w:lang w:val="ro-RO"/>
    </w:rPr>
  </w:style>
  <w:style w:type="numbering" w:customStyle="1" w:styleId="ListNo">
    <w:name w:val="List No"/>
    <w:uiPriority w:val="99"/>
    <w:semiHidden/>
    <w:unhideWhenUsed/>
    <w:rsid w:val="00684DE4"/>
  </w:style>
  <w:style w:type="character" w:customStyle="1" w:styleId="4">
    <w:name w:val="Основной текст (4)_"/>
    <w:basedOn w:val="a0"/>
    <w:link w:val="40"/>
    <w:rsid w:val="0029693F"/>
    <w:rPr>
      <w:rFonts w:ascii="Times New Roman" w:eastAsia="Times New Roman" w:hAnsi="Times New Roman" w:cs="Times New Roman"/>
      <w:sz w:val="26"/>
      <w:szCs w:val="26"/>
      <w:shd w:val="clear" w:color="auto" w:fill="FFFFFF"/>
    </w:rPr>
  </w:style>
  <w:style w:type="character" w:customStyle="1" w:styleId="6">
    <w:name w:val="Основной текст (6) + Не полужирный;Не курсив"/>
    <w:basedOn w:val="a0"/>
    <w:rsid w:val="0029693F"/>
    <w:rPr>
      <w:rFonts w:ascii="Times New Roman" w:eastAsia="Times New Roman" w:hAnsi="Times New Roman" w:cs="Times New Roman"/>
      <w:b/>
      <w:bCs/>
      <w:i/>
      <w:iCs/>
      <w:sz w:val="26"/>
      <w:szCs w:val="26"/>
      <w:shd w:val="clear" w:color="auto" w:fill="FFFFFF"/>
    </w:rPr>
  </w:style>
  <w:style w:type="character" w:customStyle="1" w:styleId="41">
    <w:name w:val="Основной текст (4) + Полужирный;Курсив"/>
    <w:basedOn w:val="4"/>
    <w:rsid w:val="0029693F"/>
    <w:rPr>
      <w:rFonts w:ascii="Times New Roman" w:eastAsia="Times New Roman" w:hAnsi="Times New Roman" w:cs="Times New Roman"/>
      <w:b/>
      <w:bCs/>
      <w:i/>
      <w:iCs/>
      <w:sz w:val="26"/>
      <w:szCs w:val="26"/>
      <w:shd w:val="clear" w:color="auto" w:fill="FFFFFF"/>
    </w:rPr>
  </w:style>
  <w:style w:type="character" w:customStyle="1" w:styleId="42">
    <w:name w:val="Основной текст (4) + Курсив"/>
    <w:basedOn w:val="4"/>
    <w:rsid w:val="0029693F"/>
    <w:rPr>
      <w:rFonts w:ascii="Times New Roman" w:eastAsia="Times New Roman" w:hAnsi="Times New Roman" w:cs="Times New Roman"/>
      <w:i/>
      <w:iCs/>
      <w:sz w:val="26"/>
      <w:szCs w:val="26"/>
      <w:shd w:val="clear" w:color="auto" w:fill="FFFFFF"/>
    </w:rPr>
  </w:style>
  <w:style w:type="paragraph" w:customStyle="1" w:styleId="40">
    <w:name w:val="Основной текст (4)"/>
    <w:basedOn w:val="a"/>
    <w:link w:val="4"/>
    <w:rsid w:val="0029693F"/>
    <w:pPr>
      <w:shd w:val="clear" w:color="auto" w:fill="FFFFFF"/>
      <w:spacing w:before="540" w:line="466" w:lineRule="exact"/>
      <w:ind w:hanging="340"/>
      <w:jc w:val="both"/>
    </w:pPr>
    <w:rPr>
      <w:sz w:val="26"/>
      <w:szCs w:val="26"/>
      <w:lang w:val="ru-RU"/>
    </w:rPr>
  </w:style>
  <w:style w:type="character" w:customStyle="1" w:styleId="5">
    <w:name w:val="Основной текст (5)_"/>
    <w:basedOn w:val="a0"/>
    <w:link w:val="50"/>
    <w:rsid w:val="0029693F"/>
    <w:rPr>
      <w:rFonts w:ascii="Times New Roman" w:eastAsia="Times New Roman" w:hAnsi="Times New Roman" w:cs="Times New Roman"/>
      <w:sz w:val="26"/>
      <w:szCs w:val="26"/>
      <w:shd w:val="clear" w:color="auto" w:fill="FFFFFF"/>
    </w:rPr>
  </w:style>
  <w:style w:type="paragraph" w:customStyle="1" w:styleId="50">
    <w:name w:val="Основной текст (5)"/>
    <w:basedOn w:val="a"/>
    <w:link w:val="5"/>
    <w:rsid w:val="0029693F"/>
    <w:pPr>
      <w:shd w:val="clear" w:color="auto" w:fill="FFFFFF"/>
      <w:spacing w:line="0" w:lineRule="atLeast"/>
    </w:pPr>
    <w:rPr>
      <w:sz w:val="26"/>
      <w:szCs w:val="26"/>
      <w:lang w:val="ru-RU"/>
    </w:rPr>
  </w:style>
  <w:style w:type="character" w:customStyle="1" w:styleId="aa">
    <w:name w:val="Основной текст_"/>
    <w:basedOn w:val="a0"/>
    <w:link w:val="8"/>
    <w:rsid w:val="0036347E"/>
    <w:rPr>
      <w:rFonts w:ascii="Times New Roman" w:eastAsia="Times New Roman" w:hAnsi="Times New Roman" w:cs="Times New Roman"/>
      <w:sz w:val="23"/>
      <w:szCs w:val="23"/>
      <w:shd w:val="clear" w:color="auto" w:fill="FFFFFF"/>
    </w:rPr>
  </w:style>
  <w:style w:type="paragraph" w:customStyle="1" w:styleId="8">
    <w:name w:val="Основной текст8"/>
    <w:basedOn w:val="a"/>
    <w:link w:val="aa"/>
    <w:rsid w:val="0036347E"/>
    <w:pPr>
      <w:shd w:val="clear" w:color="auto" w:fill="FFFFFF"/>
      <w:spacing w:before="360" w:line="269" w:lineRule="exact"/>
      <w:jc w:val="both"/>
    </w:pPr>
    <w:rPr>
      <w:sz w:val="23"/>
      <w:szCs w:val="23"/>
      <w:lang w:val="ru-RU"/>
    </w:rPr>
  </w:style>
  <w:style w:type="character" w:customStyle="1" w:styleId="ab">
    <w:name w:val="Основной текст + Курсив"/>
    <w:basedOn w:val="aa"/>
    <w:rsid w:val="0036347E"/>
    <w:rPr>
      <w:rFonts w:ascii="Times New Roman" w:eastAsia="Times New Roman" w:hAnsi="Times New Roman" w:cs="Times New Roman"/>
      <w:b w:val="0"/>
      <w:bCs w:val="0"/>
      <w:i/>
      <w:iCs/>
      <w:smallCaps w:val="0"/>
      <w:strike w:val="0"/>
      <w:spacing w:val="0"/>
      <w:sz w:val="23"/>
      <w:szCs w:val="23"/>
      <w:shd w:val="clear" w:color="auto" w:fill="FFFFFF"/>
    </w:rPr>
  </w:style>
  <w:style w:type="character" w:customStyle="1" w:styleId="11pt">
    <w:name w:val="Основной текст + 11 pt;Полужирный"/>
    <w:basedOn w:val="aa"/>
    <w:rsid w:val="0036347E"/>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2">
    <w:name w:val="Основной текст (2)_"/>
    <w:basedOn w:val="a0"/>
    <w:link w:val="20"/>
    <w:rsid w:val="0036347E"/>
    <w:rPr>
      <w:rFonts w:ascii="Times New Roman" w:eastAsia="Times New Roman" w:hAnsi="Times New Roman" w:cs="Times New Roman"/>
      <w:shd w:val="clear" w:color="auto" w:fill="FFFFFF"/>
    </w:rPr>
  </w:style>
  <w:style w:type="character" w:customStyle="1" w:styleId="420">
    <w:name w:val="Основной текст (42)_"/>
    <w:basedOn w:val="a0"/>
    <w:link w:val="421"/>
    <w:rsid w:val="0036347E"/>
    <w:rPr>
      <w:rFonts w:ascii="Times New Roman" w:eastAsia="Times New Roman" w:hAnsi="Times New Roman" w:cs="Times New Roman"/>
      <w:sz w:val="23"/>
      <w:szCs w:val="23"/>
      <w:shd w:val="clear" w:color="auto" w:fill="FFFFFF"/>
    </w:rPr>
  </w:style>
  <w:style w:type="character" w:customStyle="1" w:styleId="51">
    <w:name w:val="Основной текст5"/>
    <w:basedOn w:val="aa"/>
    <w:rsid w:val="0036347E"/>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ac">
    <w:name w:val="Основной текст + Полужирный;Курсив"/>
    <w:basedOn w:val="aa"/>
    <w:rsid w:val="0036347E"/>
    <w:rPr>
      <w:rFonts w:ascii="Times New Roman" w:eastAsia="Times New Roman" w:hAnsi="Times New Roman" w:cs="Times New Roman"/>
      <w:b/>
      <w:bCs/>
      <w:i/>
      <w:iCs/>
      <w:smallCaps w:val="0"/>
      <w:strike w:val="0"/>
      <w:spacing w:val="0"/>
      <w:sz w:val="23"/>
      <w:szCs w:val="23"/>
      <w:shd w:val="clear" w:color="auto" w:fill="FFFFFF"/>
    </w:rPr>
  </w:style>
  <w:style w:type="paragraph" w:customStyle="1" w:styleId="20">
    <w:name w:val="Основной текст (2)"/>
    <w:basedOn w:val="a"/>
    <w:link w:val="2"/>
    <w:rsid w:val="0036347E"/>
    <w:pPr>
      <w:shd w:val="clear" w:color="auto" w:fill="FFFFFF"/>
      <w:spacing w:after="120" w:line="240" w:lineRule="exact"/>
      <w:jc w:val="center"/>
    </w:pPr>
    <w:rPr>
      <w:sz w:val="22"/>
      <w:szCs w:val="22"/>
      <w:lang w:val="ru-RU"/>
    </w:rPr>
  </w:style>
  <w:style w:type="paragraph" w:customStyle="1" w:styleId="421">
    <w:name w:val="Основной текст (42)"/>
    <w:basedOn w:val="a"/>
    <w:link w:val="420"/>
    <w:rsid w:val="0036347E"/>
    <w:pPr>
      <w:shd w:val="clear" w:color="auto" w:fill="FFFFFF"/>
      <w:spacing w:line="274" w:lineRule="exact"/>
    </w:pPr>
    <w:rPr>
      <w:sz w:val="23"/>
      <w:szCs w:val="23"/>
      <w:lang w:val="ru-RU"/>
    </w:rPr>
  </w:style>
  <w:style w:type="character" w:customStyle="1" w:styleId="60">
    <w:name w:val="Основной текст6"/>
    <w:basedOn w:val="aa"/>
    <w:rsid w:val="0036347E"/>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43">
    <w:name w:val="Основной текст (43)_"/>
    <w:basedOn w:val="a0"/>
    <w:link w:val="430"/>
    <w:rsid w:val="00B75E68"/>
    <w:rPr>
      <w:rFonts w:ascii="Times New Roman" w:eastAsia="Times New Roman" w:hAnsi="Times New Roman" w:cs="Times New Roman"/>
      <w:sz w:val="23"/>
      <w:szCs w:val="23"/>
      <w:shd w:val="clear" w:color="auto" w:fill="FFFFFF"/>
    </w:rPr>
  </w:style>
  <w:style w:type="character" w:customStyle="1" w:styleId="431">
    <w:name w:val="Основной текст (43) + Не курсив"/>
    <w:basedOn w:val="43"/>
    <w:rsid w:val="00B75E68"/>
    <w:rPr>
      <w:rFonts w:ascii="Times New Roman" w:eastAsia="Times New Roman" w:hAnsi="Times New Roman" w:cs="Times New Roman"/>
      <w:i/>
      <w:iCs/>
      <w:sz w:val="23"/>
      <w:szCs w:val="23"/>
      <w:shd w:val="clear" w:color="auto" w:fill="FFFFFF"/>
    </w:rPr>
  </w:style>
  <w:style w:type="character" w:customStyle="1" w:styleId="432">
    <w:name w:val="Основной текст (43) + Полужирный"/>
    <w:basedOn w:val="43"/>
    <w:rsid w:val="00B75E68"/>
    <w:rPr>
      <w:rFonts w:ascii="Times New Roman" w:eastAsia="Times New Roman" w:hAnsi="Times New Roman" w:cs="Times New Roman"/>
      <w:b/>
      <w:bCs/>
      <w:sz w:val="23"/>
      <w:szCs w:val="23"/>
      <w:shd w:val="clear" w:color="auto" w:fill="FFFFFF"/>
    </w:rPr>
  </w:style>
  <w:style w:type="paragraph" w:customStyle="1" w:styleId="430">
    <w:name w:val="Основной текст (43)"/>
    <w:basedOn w:val="a"/>
    <w:link w:val="43"/>
    <w:rsid w:val="00B75E68"/>
    <w:pPr>
      <w:shd w:val="clear" w:color="auto" w:fill="FFFFFF"/>
      <w:spacing w:line="274" w:lineRule="exact"/>
    </w:pPr>
    <w:rPr>
      <w:sz w:val="23"/>
      <w:szCs w:val="23"/>
      <w:lang w:val="ru-RU"/>
    </w:rPr>
  </w:style>
  <w:style w:type="character" w:customStyle="1" w:styleId="4311pt">
    <w:name w:val="Основной текст (43) + 11 pt;Полужирный;Не курсив"/>
    <w:basedOn w:val="43"/>
    <w:rsid w:val="00B75E68"/>
    <w:rPr>
      <w:rFonts w:ascii="Times New Roman" w:eastAsia="Times New Roman" w:hAnsi="Times New Roman" w:cs="Times New Roman"/>
      <w:b/>
      <w:bCs/>
      <w:i/>
      <w:iCs/>
      <w:sz w:val="22"/>
      <w:szCs w:val="22"/>
      <w:shd w:val="clear" w:color="auto" w:fill="FFFFFF"/>
    </w:rPr>
  </w:style>
  <w:style w:type="character" w:customStyle="1" w:styleId="43Arial95pt0pt">
    <w:name w:val="Основной текст (43) + Arial;9;5 pt;Не курсив;Интервал 0 pt"/>
    <w:basedOn w:val="43"/>
    <w:rsid w:val="00B75E68"/>
    <w:rPr>
      <w:rFonts w:ascii="Arial" w:eastAsia="Arial" w:hAnsi="Arial" w:cs="Arial"/>
      <w:i/>
      <w:iCs/>
      <w:spacing w:val="10"/>
      <w:sz w:val="19"/>
      <w:szCs w:val="19"/>
      <w:shd w:val="clear" w:color="auto" w:fill="FFFFFF"/>
    </w:rPr>
  </w:style>
  <w:style w:type="character" w:customStyle="1" w:styleId="1pt">
    <w:name w:val="Основной текст + Интервал 1 pt"/>
    <w:basedOn w:val="aa"/>
    <w:rsid w:val="00B75E68"/>
    <w:rPr>
      <w:rFonts w:ascii="Times New Roman" w:eastAsia="Times New Roman" w:hAnsi="Times New Roman" w:cs="Times New Roman"/>
      <w:b w:val="0"/>
      <w:bCs w:val="0"/>
      <w:i w:val="0"/>
      <w:iCs w:val="0"/>
      <w:smallCaps w:val="0"/>
      <w:strike w:val="0"/>
      <w:spacing w:val="20"/>
      <w:sz w:val="23"/>
      <w:szCs w:val="23"/>
      <w:shd w:val="clear" w:color="auto" w:fill="FFFFFF"/>
    </w:rPr>
  </w:style>
  <w:style w:type="character" w:customStyle="1" w:styleId="7">
    <w:name w:val="Основной текст7"/>
    <w:basedOn w:val="aa"/>
    <w:rsid w:val="00B75E68"/>
    <w:rPr>
      <w:rFonts w:ascii="Times New Roman" w:eastAsia="Times New Roman" w:hAnsi="Times New Roman" w:cs="Times New Roman"/>
      <w:b w:val="0"/>
      <w:bCs w:val="0"/>
      <w:i w:val="0"/>
      <w:iCs w:val="0"/>
      <w:smallCaps w:val="0"/>
      <w:strike w:val="0"/>
      <w:spacing w:val="0"/>
      <w:sz w:val="23"/>
      <w:szCs w:val="23"/>
      <w:u w:val="single"/>
      <w:shd w:val="clear" w:color="auto" w:fill="FFFFFF"/>
    </w:rPr>
  </w:style>
  <w:style w:type="character" w:customStyle="1" w:styleId="432pt">
    <w:name w:val="Основной текст (43) + Интервал 2 pt"/>
    <w:basedOn w:val="43"/>
    <w:rsid w:val="00B75E68"/>
    <w:rPr>
      <w:rFonts w:ascii="Times New Roman" w:eastAsia="Times New Roman" w:hAnsi="Times New Roman" w:cs="Times New Roman"/>
      <w:spacing w:val="40"/>
      <w:sz w:val="23"/>
      <w:szCs w:val="23"/>
      <w:shd w:val="clear" w:color="auto" w:fill="FFFFFF"/>
    </w:rPr>
  </w:style>
  <w:style w:type="table" w:styleId="ad">
    <w:name w:val="Table Grid"/>
    <w:basedOn w:val="a1"/>
    <w:uiPriority w:val="59"/>
    <w:rsid w:val="003C7C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3A137D"/>
    <w:pPr>
      <w:spacing w:after="160" w:line="240" w:lineRule="exact"/>
    </w:pPr>
    <w:rPr>
      <w:rFonts w:ascii="Arial" w:eastAsia="Batang" w:hAnsi="Arial" w:cs="Arial"/>
      <w:sz w:val="20"/>
      <w:szCs w:val="20"/>
      <w:lang w:val="en-US"/>
    </w:rPr>
  </w:style>
  <w:style w:type="paragraph" w:styleId="ae">
    <w:name w:val="header"/>
    <w:basedOn w:val="a"/>
    <w:link w:val="af"/>
    <w:uiPriority w:val="99"/>
    <w:unhideWhenUsed/>
    <w:rsid w:val="004069BB"/>
    <w:pPr>
      <w:tabs>
        <w:tab w:val="center" w:pos="4677"/>
        <w:tab w:val="right" w:pos="9355"/>
      </w:tabs>
    </w:pPr>
  </w:style>
  <w:style w:type="character" w:customStyle="1" w:styleId="af">
    <w:name w:val="Верхний колонтитул Знак"/>
    <w:basedOn w:val="a0"/>
    <w:link w:val="ae"/>
    <w:uiPriority w:val="99"/>
    <w:rsid w:val="004069BB"/>
    <w:rPr>
      <w:rFonts w:ascii="Times New Roman" w:eastAsia="Times New Roman" w:hAnsi="Times New Roman" w:cs="Times New Roman"/>
      <w:sz w:val="24"/>
      <w:szCs w:val="24"/>
      <w:lang w:val="ro-RO"/>
    </w:rPr>
  </w:style>
  <w:style w:type="paragraph" w:styleId="af0">
    <w:name w:val="Balloon Text"/>
    <w:basedOn w:val="a"/>
    <w:link w:val="af1"/>
    <w:uiPriority w:val="99"/>
    <w:semiHidden/>
    <w:unhideWhenUsed/>
    <w:rsid w:val="00516C16"/>
    <w:rPr>
      <w:rFonts w:ascii="Tahoma" w:hAnsi="Tahoma" w:cs="Tahoma"/>
      <w:sz w:val="16"/>
      <w:szCs w:val="16"/>
    </w:rPr>
  </w:style>
  <w:style w:type="character" w:customStyle="1" w:styleId="af1">
    <w:name w:val="Текст выноски Знак"/>
    <w:basedOn w:val="a0"/>
    <w:link w:val="af0"/>
    <w:uiPriority w:val="99"/>
    <w:semiHidden/>
    <w:rsid w:val="00516C16"/>
    <w:rPr>
      <w:rFonts w:ascii="Tahoma" w:eastAsia="Times New Roman" w:hAnsi="Tahoma" w:cs="Tahoma"/>
      <w:sz w:val="16"/>
      <w:szCs w:val="16"/>
      <w:lang w:val="ro-RO"/>
    </w:rPr>
  </w:style>
  <w:style w:type="paragraph" w:customStyle="1" w:styleId="1">
    <w:name w:val="Абзац списка1"/>
    <w:basedOn w:val="a"/>
    <w:rsid w:val="00A42644"/>
    <w:pPr>
      <w:spacing w:after="200" w:line="276" w:lineRule="auto"/>
      <w:ind w:left="720"/>
    </w:pPr>
  </w:style>
  <w:style w:type="character" w:customStyle="1" w:styleId="apple-converted-space">
    <w:name w:val="apple-converted-space"/>
    <w:basedOn w:val="a0"/>
    <w:rsid w:val="00DC4D14"/>
  </w:style>
  <w:style w:type="character" w:customStyle="1" w:styleId="docbody">
    <w:name w:val="doc_body"/>
    <w:basedOn w:val="a0"/>
    <w:rsid w:val="00DC4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989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F674B-91CF-4A6A-8C02-6B3AC7753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TotalTime>
  <Pages>10</Pages>
  <Words>4457</Words>
  <Characters>25410</Characters>
  <Application>Microsoft Office Word</Application>
  <DocSecurity>0</DocSecurity>
  <Lines>211</Lines>
  <Paragraphs>59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29808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Lilia Dabija</dc:creator>
  <cp:lastModifiedBy>Mihai</cp:lastModifiedBy>
  <cp:revision>166</cp:revision>
  <cp:lastPrinted>2014-11-27T14:27:00Z</cp:lastPrinted>
  <dcterms:created xsi:type="dcterms:W3CDTF">2014-10-20T12:26:00Z</dcterms:created>
  <dcterms:modified xsi:type="dcterms:W3CDTF">2015-05-07T12:48:00Z</dcterms:modified>
</cp:coreProperties>
</file>