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617" w:rsidRDefault="00EE3617" w:rsidP="00EE3617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NOTĂ INFORMATIVĂ</w:t>
      </w:r>
    </w:p>
    <w:p w:rsidR="00EE3617" w:rsidRDefault="00EE3617" w:rsidP="00EE3617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la proiectul </w:t>
      </w:r>
      <w:proofErr w:type="spellStart"/>
      <w:r>
        <w:rPr>
          <w:rFonts w:ascii="Times New Roman" w:hAnsi="Times New Roman"/>
          <w:b/>
          <w:sz w:val="28"/>
          <w:szCs w:val="28"/>
          <w:lang w:val="ro-RO"/>
        </w:rPr>
        <w:t>hotărîrii</w:t>
      </w:r>
      <w:proofErr w:type="spellEnd"/>
      <w:r>
        <w:rPr>
          <w:rFonts w:ascii="Times New Roman" w:hAnsi="Times New Roman"/>
          <w:b/>
          <w:sz w:val="28"/>
          <w:szCs w:val="28"/>
          <w:lang w:val="ro-RO"/>
        </w:rPr>
        <w:t xml:space="preserve"> de Guvern </w:t>
      </w:r>
    </w:p>
    <w:p w:rsidR="00EE3617" w:rsidRDefault="00EE3617" w:rsidP="00EE3617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„Cu privire la </w:t>
      </w:r>
      <w:proofErr w:type="spellStart"/>
      <w:r w:rsidRPr="00CB6DBC">
        <w:rPr>
          <w:rFonts w:ascii="Times New Roman" w:hAnsi="Times New Roman"/>
          <w:b/>
          <w:sz w:val="28"/>
          <w:szCs w:val="28"/>
          <w:lang w:val="en-US"/>
        </w:rPr>
        <w:t>reorganizarea</w:t>
      </w:r>
      <w:proofErr w:type="spellEnd"/>
      <w:r w:rsidRPr="00CB6DB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b/>
          <w:sz w:val="28"/>
          <w:szCs w:val="28"/>
          <w:lang w:val="en-US"/>
        </w:rPr>
        <w:t>unor</w:t>
      </w:r>
      <w:proofErr w:type="spellEnd"/>
      <w:r w:rsidRPr="00CB6DB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b/>
          <w:sz w:val="28"/>
          <w:szCs w:val="28"/>
          <w:lang w:val="en-US"/>
        </w:rPr>
        <w:t>institu</w:t>
      </w:r>
      <w:r>
        <w:rPr>
          <w:rFonts w:ascii="Cambria Math" w:hAnsi="Cambria Math" w:cs="Cambria Math"/>
          <w:b/>
          <w:sz w:val="28"/>
          <w:szCs w:val="28"/>
          <w:lang w:val="ro-RO"/>
        </w:rPr>
        <w:t>ț</w:t>
      </w:r>
      <w:r>
        <w:rPr>
          <w:rFonts w:ascii="Times New Roman" w:hAnsi="Times New Roman"/>
          <w:b/>
          <w:sz w:val="28"/>
          <w:szCs w:val="28"/>
          <w:lang w:val="ro-RO"/>
        </w:rPr>
        <w:t>ii</w:t>
      </w:r>
      <w:proofErr w:type="spellEnd"/>
      <w:r>
        <w:rPr>
          <w:rFonts w:ascii="Times New Roman" w:hAnsi="Times New Roman"/>
          <w:b/>
          <w:sz w:val="28"/>
          <w:szCs w:val="28"/>
          <w:lang w:val="ro-RO"/>
        </w:rPr>
        <w:t>”</w:t>
      </w:r>
    </w:p>
    <w:p w:rsidR="00EE3617" w:rsidRDefault="00EE3617" w:rsidP="00EE3617">
      <w:pPr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EE3617" w:rsidRDefault="00EE3617" w:rsidP="00EE3617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Condiţiile ce au impus elaborarea proiectului</w:t>
      </w:r>
      <w:r>
        <w:rPr>
          <w:rFonts w:ascii="Times New Roman" w:hAnsi="Times New Roman"/>
          <w:sz w:val="28"/>
          <w:szCs w:val="28"/>
          <w:lang w:val="ro-RO"/>
        </w:rPr>
        <w:t>:</w:t>
      </w:r>
    </w:p>
    <w:p w:rsidR="00EE3617" w:rsidRDefault="00EE3617" w:rsidP="00EE3617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Sistemul naţional de transfuzie a sângelui constituie prin activitatea specifică un domeniu strategic naţional, impunându-se recunoaşterea acestuia ca un sistem medical de urgenţă, întrucât solicitările de sânge şi componente sanguine sunt permanente. Siguranţa terapiei </w:t>
      </w:r>
      <w:proofErr w:type="spellStart"/>
      <w:r>
        <w:rPr>
          <w:sz w:val="28"/>
          <w:szCs w:val="28"/>
        </w:rPr>
        <w:t>hemotransfuzionale</w:t>
      </w:r>
      <w:proofErr w:type="spellEnd"/>
      <w:r>
        <w:rPr>
          <w:sz w:val="28"/>
          <w:szCs w:val="28"/>
        </w:rPr>
        <w:t xml:space="preserve"> este esenţial legată de asigurarea unui grad echivalent de calitate şi </w:t>
      </w:r>
      <w:proofErr w:type="spellStart"/>
      <w:r>
        <w:rPr>
          <w:sz w:val="28"/>
          <w:szCs w:val="28"/>
        </w:rPr>
        <w:t>biosecuritate</w:t>
      </w:r>
      <w:proofErr w:type="spellEnd"/>
      <w:r>
        <w:rPr>
          <w:sz w:val="28"/>
          <w:szCs w:val="28"/>
        </w:rPr>
        <w:t xml:space="preserve">, iar securitatea </w:t>
      </w:r>
      <w:proofErr w:type="spellStart"/>
      <w:r>
        <w:rPr>
          <w:sz w:val="28"/>
          <w:szCs w:val="28"/>
        </w:rPr>
        <w:t>transfuzională</w:t>
      </w:r>
      <w:proofErr w:type="spellEnd"/>
      <w:r>
        <w:rPr>
          <w:sz w:val="28"/>
          <w:szCs w:val="28"/>
        </w:rPr>
        <w:t xml:space="preserve"> este parte componentă a </w:t>
      </w:r>
      <w:proofErr w:type="spellStart"/>
      <w:r>
        <w:rPr>
          <w:sz w:val="28"/>
          <w:szCs w:val="28"/>
        </w:rPr>
        <w:t>securită</w:t>
      </w:r>
      <w:r>
        <w:rPr>
          <w:rFonts w:ascii="Cambria Math" w:hAnsi="Cambria Math" w:cs="Cambria Math"/>
          <w:sz w:val="28"/>
          <w:szCs w:val="28"/>
        </w:rPr>
        <w:t>ț</w:t>
      </w:r>
      <w:r>
        <w:rPr>
          <w:sz w:val="28"/>
          <w:szCs w:val="28"/>
        </w:rPr>
        <w:t>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r>
        <w:rPr>
          <w:rFonts w:ascii="Cambria Math" w:hAnsi="Cambria Math" w:cs="Cambria Math"/>
          <w:sz w:val="28"/>
          <w:szCs w:val="28"/>
        </w:rPr>
        <w:t>ț</w:t>
      </w:r>
      <w:r>
        <w:rPr>
          <w:sz w:val="28"/>
          <w:szCs w:val="28"/>
        </w:rPr>
        <w:t>ionale</w:t>
      </w:r>
      <w:proofErr w:type="spellEnd"/>
      <w:r>
        <w:rPr>
          <w:sz w:val="28"/>
          <w:szCs w:val="28"/>
        </w:rPr>
        <w:t xml:space="preserve">.   </w:t>
      </w:r>
    </w:p>
    <w:p w:rsidR="00EE3617" w:rsidRDefault="00EE3617" w:rsidP="00EE3617">
      <w:pPr>
        <w:pStyle w:val="a3"/>
        <w:spacing w:line="276" w:lineRule="auto"/>
        <w:ind w:firstLine="708"/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În prezent reţeaua naţională de transfuzie sanguină din Republica Moldova este reprezentată de 3 centre de transfuzie a sângelui: Centrul Naţional de Transfuzie a Sângelui </w:t>
      </w:r>
      <w:proofErr w:type="spellStart"/>
      <w:r>
        <w:rPr>
          <w:rFonts w:ascii="Cambria Math" w:hAnsi="Cambria Math" w:cs="Cambria Math"/>
          <w:sz w:val="28"/>
          <w:szCs w:val="28"/>
        </w:rPr>
        <w:t>ș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cele 2 Centre Regionale de Transfuzie a Sângelui (</w:t>
      </w:r>
      <w:proofErr w:type="spellStart"/>
      <w:r>
        <w:rPr>
          <w:sz w:val="28"/>
          <w:szCs w:val="28"/>
        </w:rPr>
        <w:t>Băl</w:t>
      </w:r>
      <w:r>
        <w:rPr>
          <w:rFonts w:ascii="Cambria Math" w:hAnsi="Cambria Math" w:cs="Cambria Math"/>
          <w:sz w:val="28"/>
          <w:szCs w:val="28"/>
        </w:rPr>
        <w:t>ț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Cambria Math" w:hAnsi="Cambria Math" w:cs="Cambria Math"/>
          <w:sz w:val="28"/>
          <w:szCs w:val="28"/>
        </w:rPr>
        <w:t>ș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Cahul</w:t>
      </w:r>
      <w:proofErr w:type="spellEnd"/>
      <w:r>
        <w:rPr>
          <w:sz w:val="28"/>
          <w:szCs w:val="28"/>
        </w:rPr>
        <w:t xml:space="preserve">).      Centrele de transfuzie a sângelui sunt instituţii medico-sanitare cu statut exclusiv public şi nonprofit în sfera donării, colectării sângelui </w:t>
      </w:r>
      <w:proofErr w:type="spellStart"/>
      <w:r>
        <w:rPr>
          <w:rFonts w:ascii="Cambria Math" w:hAnsi="Cambria Math" w:cs="Cambria Math"/>
          <w:sz w:val="28"/>
          <w:szCs w:val="28"/>
        </w:rPr>
        <w:t>ș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producerii componentelor, preparatelor diagnostice </w:t>
      </w:r>
      <w:proofErr w:type="spellStart"/>
      <w:r>
        <w:rPr>
          <w:rFonts w:ascii="Cambria Math" w:hAnsi="Cambria Math" w:cs="Cambria Math"/>
          <w:sz w:val="28"/>
          <w:szCs w:val="28"/>
        </w:rPr>
        <w:t>ș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biomedicale din sânge, transfuziei sanguine</w:t>
      </w:r>
      <w:r>
        <w:t>.</w:t>
      </w:r>
      <w:r>
        <w:rPr>
          <w:rFonts w:ascii="Arial" w:hAnsi="Arial" w:cs="Arial"/>
        </w:rPr>
        <w:t xml:space="preserve"> </w:t>
      </w:r>
    </w:p>
    <w:p w:rsidR="00EE3617" w:rsidRDefault="00EE3617" w:rsidP="00EE361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/>
          <w:sz w:val="28"/>
          <w:szCs w:val="28"/>
          <w:lang w:val="ro-RO"/>
        </w:rPr>
        <w:t>De</w:t>
      </w:r>
      <w:r>
        <w:rPr>
          <w:rFonts w:ascii="Cambria Math" w:hAnsi="Cambria Math" w:cs="Cambria Math"/>
          <w:sz w:val="28"/>
          <w:szCs w:val="28"/>
          <w:lang w:val="ro-RO"/>
        </w:rPr>
        <w:t>ș</w:t>
      </w:r>
      <w:r>
        <w:rPr>
          <w:rFonts w:ascii="Times New Roman" w:hAnsi="Times New Roman"/>
          <w:sz w:val="28"/>
          <w:szCs w:val="28"/>
          <w:lang w:val="ro-RO"/>
        </w:rPr>
        <w:t>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genul de activitate este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acela</w:t>
      </w:r>
      <w:r>
        <w:rPr>
          <w:rFonts w:ascii="Cambria Math" w:hAnsi="Cambria Math" w:cs="Cambria Math"/>
          <w:sz w:val="28"/>
          <w:szCs w:val="28"/>
          <w:lang w:val="ro-RO"/>
        </w:rPr>
        <w:t>ș</w:t>
      </w:r>
      <w:r>
        <w:rPr>
          <w:rFonts w:ascii="Times New Roman" w:hAnsi="Times New Roman"/>
          <w:sz w:val="28"/>
          <w:szCs w:val="28"/>
          <w:lang w:val="ro-RO"/>
        </w:rPr>
        <w:t>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în toate centrele,  se constată diferenţe în calitatea prestării serviciilor, abordare neuniformă a politicilor şi reformelor, diferenţe în cheltuieli, inclusiv </w:t>
      </w:r>
      <w:proofErr w:type="spellStart"/>
      <w:r>
        <w:rPr>
          <w:rFonts w:ascii="Cambria Math" w:hAnsi="Cambria Math" w:cs="Cambria Math"/>
          <w:sz w:val="28"/>
          <w:szCs w:val="28"/>
          <w:lang w:val="ro-RO"/>
        </w:rPr>
        <w:t>ș</w:t>
      </w:r>
      <w:r>
        <w:rPr>
          <w:rFonts w:ascii="Times New Roman" w:hAnsi="Times New Roman"/>
          <w:sz w:val="28"/>
          <w:szCs w:val="28"/>
          <w:lang w:val="ro-RO"/>
        </w:rPr>
        <w:t>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pentru întreţinerea aparatului administrativ. </w:t>
      </w:r>
    </w:p>
    <w:p w:rsidR="00EE3617" w:rsidRDefault="00EE3617" w:rsidP="00EE3617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 xml:space="preserve">În scopul asigurării unui sistem de sănătate cost-eficient, implementării </w:t>
      </w:r>
      <w:proofErr w:type="spellStart"/>
      <w:r>
        <w:rPr>
          <w:rFonts w:ascii="Cambria Math" w:hAnsi="Cambria Math" w:cs="Cambria Math"/>
          <w:sz w:val="28"/>
          <w:szCs w:val="28"/>
          <w:lang w:val="ro-RO"/>
        </w:rPr>
        <w:t>ș</w:t>
      </w:r>
      <w:r>
        <w:rPr>
          <w:rFonts w:ascii="Times New Roman" w:hAnsi="Times New Roman"/>
          <w:sz w:val="28"/>
          <w:szCs w:val="28"/>
          <w:lang w:val="ro-RO"/>
        </w:rPr>
        <w:t>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asigurării managementului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calită</w:t>
      </w:r>
      <w:r>
        <w:rPr>
          <w:rFonts w:ascii="Cambria Math" w:hAnsi="Cambria Math" w:cs="Cambria Math"/>
          <w:sz w:val="28"/>
          <w:szCs w:val="28"/>
          <w:lang w:val="ro-RO"/>
        </w:rPr>
        <w:t>ț</w:t>
      </w:r>
      <w:r>
        <w:rPr>
          <w:rFonts w:ascii="Times New Roman" w:hAnsi="Times New Roman"/>
          <w:sz w:val="28"/>
          <w:szCs w:val="28"/>
          <w:lang w:val="ro-RO"/>
        </w:rPr>
        <w:t>ii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Cambria Math" w:hAnsi="Cambria Math" w:cs="Cambria Math"/>
          <w:sz w:val="28"/>
          <w:szCs w:val="28"/>
          <w:lang w:val="ro-RO"/>
        </w:rPr>
        <w:t>ș</w:t>
      </w:r>
      <w:r>
        <w:rPr>
          <w:rFonts w:ascii="Times New Roman" w:hAnsi="Times New Roman"/>
          <w:sz w:val="28"/>
          <w:szCs w:val="28"/>
          <w:lang w:val="ro-RO"/>
        </w:rPr>
        <w:t>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biosecurită</w:t>
      </w:r>
      <w:r>
        <w:rPr>
          <w:rFonts w:ascii="Cambria Math" w:hAnsi="Cambria Math" w:cs="Cambria Math"/>
          <w:sz w:val="28"/>
          <w:szCs w:val="28"/>
          <w:lang w:val="ro-RO"/>
        </w:rPr>
        <w:t>ț</w:t>
      </w:r>
      <w:r>
        <w:rPr>
          <w:rFonts w:ascii="Times New Roman" w:hAnsi="Times New Roman"/>
          <w:sz w:val="28"/>
          <w:szCs w:val="28"/>
          <w:lang w:val="ro-RO"/>
        </w:rPr>
        <w:t>ii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produselor sanguine, racordare la cerinţele directivelor europene, se prevede reorganizarea sistemului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na</w:t>
      </w:r>
      <w:r>
        <w:rPr>
          <w:rFonts w:ascii="Cambria Math" w:hAnsi="Cambria Math" w:cs="Cambria Math"/>
          <w:sz w:val="28"/>
          <w:szCs w:val="28"/>
          <w:lang w:val="ro-RO"/>
        </w:rPr>
        <w:t>ț</w:t>
      </w:r>
      <w:r>
        <w:rPr>
          <w:rFonts w:ascii="Times New Roman" w:hAnsi="Times New Roman"/>
          <w:sz w:val="28"/>
          <w:szCs w:val="28"/>
          <w:lang w:val="ro-RO"/>
        </w:rPr>
        <w:t>ional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de transfuzie a sângelui şi gestionarea eficientă a viitoarelor investiţii în sector.</w:t>
      </w:r>
    </w:p>
    <w:p w:rsidR="00EE3617" w:rsidRDefault="00EE3617" w:rsidP="00EE361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E3617" w:rsidRDefault="00EE3617" w:rsidP="00EE361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Principalele prevederi, elementele noi</w:t>
      </w:r>
      <w:r>
        <w:rPr>
          <w:rFonts w:ascii="Times New Roman" w:hAnsi="Times New Roman"/>
          <w:sz w:val="28"/>
          <w:szCs w:val="28"/>
          <w:lang w:val="ro-RO"/>
        </w:rPr>
        <w:t>:</w:t>
      </w:r>
    </w:p>
    <w:p w:rsidR="00EE3617" w:rsidRDefault="00EE3617" w:rsidP="00EE361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Proiectul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hotărîrii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Guvernului în cauză prevede reorganizarea Centrului Naţional de Transfuzie a Sângelui prin fuziune (absorbţie) a Centrului  Regional de Transfuzie a Sângelui mun. Bălţi şi a Centrului Regional de Transfuzie a Sângelui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Cahul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. Astfel, va fi creată o structură consolidată, un sistem bine organizat la nivel naţional, care va asigura </w:t>
      </w:r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administrarea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eficientă a cadrelor de donatori </w:t>
      </w:r>
      <w:proofErr w:type="spellStart"/>
      <w:r>
        <w:rPr>
          <w:rFonts w:ascii="Cambria Math" w:hAnsi="Cambria Math" w:cs="Cambria Math"/>
          <w:sz w:val="28"/>
          <w:szCs w:val="28"/>
          <w:lang w:val="ro-RO"/>
        </w:rPr>
        <w:t>ș</w:t>
      </w:r>
      <w:r>
        <w:rPr>
          <w:rFonts w:ascii="Times New Roman" w:hAnsi="Times New Roman"/>
          <w:sz w:val="28"/>
          <w:szCs w:val="28"/>
          <w:lang w:val="ro-RO"/>
        </w:rPr>
        <w:t>i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a </w:t>
      </w:r>
      <w:r>
        <w:rPr>
          <w:rFonts w:ascii="Times New Roman" w:hAnsi="Times New Roman"/>
          <w:sz w:val="28"/>
          <w:szCs w:val="28"/>
          <w:lang w:val="ro-RO"/>
        </w:rPr>
        <w:t xml:space="preserve">sângelui (materie primă pentru producerea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derivatelor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preparatelor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biomedicale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sânge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), </w:t>
      </w:r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menţinerea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unui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înalt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nivel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protecţie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sănătăţii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populaţiei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CB6DBC">
        <w:rPr>
          <w:rFonts w:ascii="Times New Roman" w:hAnsi="Times New Roman"/>
          <w:sz w:val="28"/>
          <w:szCs w:val="28"/>
          <w:lang w:val="en-US"/>
        </w:rPr>
        <w:t xml:space="preserve">o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abordare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unitară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o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gestiune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coordonată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vederea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respectării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standardelor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calitate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,</w:t>
      </w:r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stocurilor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naţionale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sânge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, componente</w:t>
      </w:r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alte</w:t>
      </w:r>
      <w:r w:rsidRPr="00CB6DBC">
        <w:rPr>
          <w:rFonts w:ascii="Times New Roman" w:hAnsi="Times New Roman"/>
          <w:sz w:val="28"/>
          <w:szCs w:val="28"/>
          <w:lang w:val="en-US"/>
        </w:rPr>
        <w:t xml:space="preserve"> derivate din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sânge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sensul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autosuficienţei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de </w:t>
      </w:r>
      <w:r>
        <w:rPr>
          <w:rFonts w:ascii="Times New Roman" w:hAnsi="Times New Roman"/>
          <w:sz w:val="28"/>
          <w:szCs w:val="28"/>
          <w:lang w:val="ro-RO"/>
        </w:rPr>
        <w:t>produse</w:t>
      </w:r>
      <w:r w:rsidRPr="00CB6DBC">
        <w:rPr>
          <w:rFonts w:ascii="Times New Roman" w:hAnsi="Times New Roman"/>
          <w:sz w:val="28"/>
          <w:szCs w:val="28"/>
          <w:lang w:val="en-US"/>
        </w:rPr>
        <w:t xml:space="preserve"> sanguine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:rsidR="00EE3617" w:rsidRDefault="00EE3617" w:rsidP="00EE361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lastRenderedPageBreak/>
        <w:t>De asemenea, se vor reduce considerabil cheltuielile pentru aparatele administrative, dat fiind faptul că noua structură va avea un singur conducător, o singură contabilitate, serviciu resurse umane, juridic etc.</w:t>
      </w:r>
    </w:p>
    <w:p w:rsidR="00EE3617" w:rsidRDefault="00EE3617" w:rsidP="00EE361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E3617" w:rsidRDefault="00EE3617" w:rsidP="00EE361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Gradul compatibilităţii actului normativ cu reglementările legislaţiei comunitare</w:t>
      </w:r>
      <w:r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:rsidR="00EE3617" w:rsidRDefault="00EE3617" w:rsidP="00EE3617">
      <w:pPr>
        <w:spacing w:after="0"/>
        <w:ind w:firstLine="708"/>
        <w:jc w:val="both"/>
        <w:rPr>
          <w:rFonts w:ascii="Arial" w:hAnsi="Arial" w:cs="Arial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Proiectul în cauză se încadrează perfect în reformele propuse de către comunitatea internaţională şi partenerii de dezvoltare pentru sistemul de sănătate. </w:t>
      </w:r>
      <w:proofErr w:type="spellStart"/>
      <w:proofErr w:type="gramStart"/>
      <w:r w:rsidRPr="00CB6DBC">
        <w:rPr>
          <w:rFonts w:ascii="Times New Roman" w:hAnsi="Times New Roman"/>
          <w:sz w:val="28"/>
          <w:szCs w:val="28"/>
          <w:lang w:val="en-US"/>
        </w:rPr>
        <w:t>Adaptează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sistemul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legislativ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domeniul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transfuziei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sanguine la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cerinţele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reglementărilor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Comunităţii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Europene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CB6DBC"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aliniază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Directivei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2002/98/CE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standardele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calitate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securitate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colectarea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testarea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procesarea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stocarea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distribuţia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sângelui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uman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componentelor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sanguine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transpusă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Legea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donarea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sînge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transfuzia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sanguine,</w:t>
      </w:r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nr. 241 din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  20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noiembrie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2008 </w:t>
      </w:r>
      <w:proofErr w:type="spellStart"/>
      <w:r>
        <w:rPr>
          <w:rFonts w:ascii="Cambria Math" w:hAnsi="Cambria Math" w:cs="Cambria Math"/>
          <w:sz w:val="28"/>
          <w:szCs w:val="28"/>
          <w:lang w:val="ro-RO"/>
        </w:rPr>
        <w:t>ș</w:t>
      </w:r>
      <w:r>
        <w:rPr>
          <w:rFonts w:ascii="Times New Roman" w:hAnsi="Times New Roman"/>
          <w:sz w:val="28"/>
          <w:szCs w:val="28"/>
          <w:lang w:val="ro-RO"/>
        </w:rPr>
        <w:t>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în alte acte normative.</w:t>
      </w:r>
    </w:p>
    <w:p w:rsidR="00EE3617" w:rsidRDefault="00EE3617" w:rsidP="00EE361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E3617" w:rsidRDefault="00EE3617" w:rsidP="00EE3617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Fundamentarea economico-financiară: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EE3617" w:rsidRDefault="00EE3617" w:rsidP="00EE3617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Implementarea proiectului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hotărîrii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de Guvern cu privire la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reorganizarea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unor</w:t>
      </w:r>
      <w:proofErr w:type="spellEnd"/>
      <w:r w:rsidRPr="00CB6DB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B6DBC">
        <w:rPr>
          <w:rFonts w:ascii="Times New Roman" w:hAnsi="Times New Roman"/>
          <w:sz w:val="28"/>
          <w:szCs w:val="28"/>
          <w:lang w:val="en-US"/>
        </w:rPr>
        <w:t>institu</w:t>
      </w:r>
      <w:r>
        <w:rPr>
          <w:rFonts w:ascii="Cambria Math" w:hAnsi="Cambria Math" w:cs="Cambria Math"/>
          <w:sz w:val="28"/>
          <w:szCs w:val="28"/>
          <w:lang w:val="ro-RO"/>
        </w:rPr>
        <w:t>ț</w:t>
      </w:r>
      <w:r>
        <w:rPr>
          <w:rFonts w:ascii="Times New Roman" w:hAnsi="Times New Roman"/>
          <w:sz w:val="28"/>
          <w:szCs w:val="28"/>
          <w:lang w:val="ro-RO"/>
        </w:rPr>
        <w:t>ii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nu va genera cheltuieli financiare suplimentare, ba dimpotrivă, va genera economii datorită reducerii aparatului administrativ la 2 instituţii.</w:t>
      </w:r>
    </w:p>
    <w:p w:rsidR="00EE3617" w:rsidRDefault="00EE3617" w:rsidP="00EE3617">
      <w:pPr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EE3617" w:rsidRDefault="00EE3617" w:rsidP="00EE361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E3617" w:rsidRDefault="00EE3617" w:rsidP="00EE3617">
      <w:pPr>
        <w:rPr>
          <w:rFonts w:ascii="Times New Roman" w:hAnsi="Times New Roman"/>
          <w:lang w:val="ro-RO"/>
        </w:rPr>
      </w:pPr>
    </w:p>
    <w:p w:rsidR="00EE3617" w:rsidRDefault="00EE3617" w:rsidP="00EE3617">
      <w:pPr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Ministru                                                                      Mircea BUGA</w:t>
      </w:r>
    </w:p>
    <w:p w:rsidR="00EE3617" w:rsidRDefault="00EE3617" w:rsidP="00EE3617">
      <w:pPr>
        <w:rPr>
          <w:rFonts w:ascii="Times New Roman" w:hAnsi="Times New Roman"/>
          <w:lang w:val="ro-RO"/>
        </w:rPr>
      </w:pPr>
    </w:p>
    <w:p w:rsidR="00677D24" w:rsidRDefault="00677D24"/>
    <w:sectPr w:rsidR="00677D24" w:rsidSect="0067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617"/>
    <w:rsid w:val="000E1AB2"/>
    <w:rsid w:val="00195E20"/>
    <w:rsid w:val="001B6642"/>
    <w:rsid w:val="003C3BC5"/>
    <w:rsid w:val="004A7551"/>
    <w:rsid w:val="004D6559"/>
    <w:rsid w:val="006437B1"/>
    <w:rsid w:val="00677D24"/>
    <w:rsid w:val="006A41B1"/>
    <w:rsid w:val="006C61FA"/>
    <w:rsid w:val="008466B5"/>
    <w:rsid w:val="00A7698A"/>
    <w:rsid w:val="00B44674"/>
    <w:rsid w:val="00C470AA"/>
    <w:rsid w:val="00DC20A8"/>
    <w:rsid w:val="00DE5FB8"/>
    <w:rsid w:val="00E7761F"/>
    <w:rsid w:val="00E85814"/>
    <w:rsid w:val="00E858B7"/>
    <w:rsid w:val="00EE3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61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3194</Characters>
  <Application>Microsoft Office Word</Application>
  <DocSecurity>0</DocSecurity>
  <Lines>26</Lines>
  <Paragraphs>7</Paragraphs>
  <ScaleCrop>false</ScaleCrop>
  <Company>Krokoz™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abucur</dc:creator>
  <cp:keywords/>
  <dc:description/>
  <cp:lastModifiedBy>abucur</cp:lastModifiedBy>
  <cp:revision>1</cp:revision>
  <dcterms:created xsi:type="dcterms:W3CDTF">2015-05-19T13:31:00Z</dcterms:created>
  <dcterms:modified xsi:type="dcterms:W3CDTF">2015-05-19T13:32:00Z</dcterms:modified>
</cp:coreProperties>
</file>