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55"/>
      </w:tblGrid>
      <w:tr w:rsidR="00DD3A5C" w:rsidRPr="00DD3A5C" w:rsidTr="00DD3A5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A5C" w:rsidRPr="00DD3A5C" w:rsidRDefault="00DD3A5C" w:rsidP="00DD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drawing>
                <wp:inline distT="0" distB="0" distL="0" distR="0">
                  <wp:extent cx="494030" cy="593090"/>
                  <wp:effectExtent l="0" t="0" r="1270" b="0"/>
                  <wp:docPr id="1" name="Рисунок 1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Republica Moldova</w:t>
            </w:r>
          </w:p>
        </w:tc>
      </w:tr>
      <w:tr w:rsidR="00DD3A5C" w:rsidRPr="00DD3A5C" w:rsidTr="00DD3A5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A5C" w:rsidRPr="00DD3A5C" w:rsidRDefault="00DD3A5C" w:rsidP="00DD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GUVERNUL</w:t>
            </w:r>
          </w:p>
        </w:tc>
      </w:tr>
      <w:tr w:rsidR="00DD3A5C" w:rsidRPr="00DD3A5C" w:rsidTr="00DD3A5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A5C" w:rsidRDefault="00DD3A5C" w:rsidP="00DD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HOTĂRÎRE</w:t>
            </w:r>
            <w:r w:rsidRPr="00DD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Nr. </w:t>
            </w:r>
            <w:r w:rsidRPr="00DD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</w:t>
            </w:r>
          </w:p>
          <w:p w:rsidR="00DD3A5C" w:rsidRPr="00DD3A5C" w:rsidRDefault="00DD3A5C" w:rsidP="00DD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D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din  </w:t>
            </w:r>
          </w:p>
        </w:tc>
      </w:tr>
      <w:tr w:rsidR="00DD3A5C" w:rsidRPr="00DD3A5C" w:rsidTr="00DD3A5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C86" w:rsidRDefault="00DD3A5C" w:rsidP="0064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cu privire la aprobarea modificărilor şi completărilor</w:t>
            </w: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br/>
              <w:t xml:space="preserve">ce se operează în </w:t>
            </w:r>
            <w:r w:rsidR="006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anexele nr.1 și nr.2 din </w:t>
            </w:r>
            <w:proofErr w:type="spellStart"/>
            <w:r w:rsidR="00A17814"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Hotărîr</w:t>
            </w:r>
            <w:r w:rsidR="006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ea</w:t>
            </w:r>
            <w:proofErr w:type="spellEnd"/>
            <w:r w:rsidR="00A17814"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Guvernului</w:t>
            </w:r>
          </w:p>
          <w:p w:rsidR="00DD3A5C" w:rsidRPr="00DD3A5C" w:rsidRDefault="00DD3A5C" w:rsidP="0064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nr.765 din 18 septembrie 2014</w:t>
            </w:r>
          </w:p>
        </w:tc>
      </w:tr>
      <w:tr w:rsidR="00DD3A5C" w:rsidRPr="00DD3A5C" w:rsidTr="00DD3A5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A5C" w:rsidRPr="00DD3A5C" w:rsidRDefault="00DD3A5C" w:rsidP="00C1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D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Publicat :</w:t>
            </w:r>
            <w:r w:rsidR="00C11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______</w:t>
            </w:r>
            <w:r w:rsidRPr="00DD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în Monitorul Oficial Nr.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_______</w:t>
            </w:r>
            <w:r w:rsidR="00C11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D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art</w:t>
            </w:r>
            <w:proofErr w:type="spellEnd"/>
            <w:r w:rsidRPr="00DD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Nr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______</w:t>
            </w:r>
          </w:p>
        </w:tc>
      </w:tr>
      <w:tr w:rsidR="00DD3A5C" w:rsidRPr="00DD3A5C" w:rsidTr="00DD3A5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A2E" w:rsidRPr="00A17814" w:rsidRDefault="00A27A2E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1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Guvernul HOTĂRĂŞTE:</w:t>
            </w:r>
          </w:p>
          <w:p w:rsidR="00A65C82" w:rsidRDefault="00A65C82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A1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Hotărîrea</w:t>
            </w:r>
            <w:proofErr w:type="spellEnd"/>
            <w:r w:rsidRPr="00A1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Guvernului nr.765 din 18 septembrie 2014 </w:t>
            </w:r>
            <w:r w:rsidRPr="00A178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cu privire la aprobarea listei documentelor de călătorie acceptate pentru traversarea de către străini a frontierei de stat a Republicii Moldova (</w:t>
            </w:r>
            <w:r w:rsidRPr="00A1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Monitorul Oficial al Republicii Moldova, 2014, nr.282-289, art.817</w:t>
            </w:r>
            <w:r w:rsidRPr="00A178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),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se modifică și se completează după cum urmează:</w:t>
            </w:r>
          </w:p>
          <w:p w:rsidR="00A65C82" w:rsidRDefault="00F16DD7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1. </w:t>
            </w:r>
            <w:r w:rsidR="00376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La p</w:t>
            </w:r>
            <w:r w:rsidR="00A6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ct.1 </w:t>
            </w:r>
            <w:r w:rsidR="0074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sintagma </w:t>
            </w:r>
            <w:r w:rsidR="0074182A" w:rsidRPr="007418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o-RO"/>
              </w:rPr>
              <w:t>„</w:t>
            </w:r>
            <w:r w:rsidR="007418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o-RO"/>
              </w:rPr>
              <w:t xml:space="preserve">și </w:t>
            </w:r>
            <w:r w:rsidR="0074182A" w:rsidRPr="0074182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entităţi</w:t>
            </w:r>
            <w:r w:rsidR="0074182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teritoriale</w:t>
            </w:r>
            <w:r w:rsidR="0074182A" w:rsidRPr="007418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o-RO"/>
              </w:rPr>
              <w:t>”</w:t>
            </w:r>
            <w:r w:rsidR="003760CB" w:rsidRPr="0074182A">
              <w:rPr>
                <w:rFonts w:ascii="Times New Roman" w:eastAsia="Times New Roman" w:hAnsi="Times New Roman" w:cs="Times New Roman"/>
                <w:color w:val="000000"/>
                <w:szCs w:val="24"/>
                <w:lang w:eastAsia="ro-RO"/>
              </w:rPr>
              <w:t xml:space="preserve"> </w:t>
            </w:r>
            <w:r w:rsidR="00A65C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se </w:t>
            </w:r>
            <w:r w:rsidR="0074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substituie </w:t>
            </w:r>
            <w:r w:rsidR="00A65C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cu </w:t>
            </w:r>
            <w:r w:rsidR="0074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sintagma „ , entități și </w:t>
            </w:r>
            <w:r w:rsidR="00A65C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autorități teritoriale</w:t>
            </w:r>
            <w:r w:rsidR="00741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”</w:t>
            </w:r>
            <w:r w:rsidR="00A65C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.</w:t>
            </w:r>
          </w:p>
          <w:p w:rsidR="00DD3A5C" w:rsidRPr="00A17814" w:rsidRDefault="00A65C82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2. </w:t>
            </w:r>
            <w:r w:rsidR="00447F84" w:rsidRPr="00A1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Anexele nr.1 și 2 </w:t>
            </w:r>
            <w:r w:rsidR="00A17814" w:rsidRPr="00A1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se modifică și se completează după cum urmează:</w:t>
            </w:r>
          </w:p>
          <w:p w:rsidR="00467290" w:rsidRDefault="00A17814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1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1) La anexa nr.1</w:t>
            </w:r>
            <w:r w:rsidR="0046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:</w:t>
            </w:r>
          </w:p>
          <w:p w:rsidR="00467290" w:rsidRDefault="00467290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titlul se modifică și va avea următorul cuprins:</w:t>
            </w:r>
          </w:p>
          <w:p w:rsidR="00A17814" w:rsidRPr="00A17814" w:rsidRDefault="00A17814" w:rsidP="00A17814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„</w:t>
            </w:r>
            <w:r w:rsidRPr="00A1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Lista documentelor de călătorie emise de ţări terţe</w:t>
            </w:r>
            <w:r w:rsidR="0046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1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entităţi </w:t>
            </w:r>
            <w:r w:rsidR="0046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și autorități </w:t>
            </w:r>
            <w:r w:rsidRPr="00A1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teritoriale, acceptate de Republica Moldova”:</w:t>
            </w:r>
          </w:p>
          <w:p w:rsidR="00A17814" w:rsidRDefault="00A17814" w:rsidP="00A17814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 tot parcursul textului, cuvintele „Carte de identitate </w:t>
            </w:r>
            <w:proofErr w:type="spellStart"/>
            <w:r w:rsidRPr="0042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biometrică</w:t>
            </w:r>
            <w:proofErr w:type="spellEnd"/>
            <w:r w:rsidRPr="0042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se substituie cu cuvintele „Carte de identitate</w:t>
            </w:r>
            <w:r w:rsidR="002F71F8" w:rsidRPr="0042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formatul ID1, ID2, inclusiv </w:t>
            </w:r>
            <w:proofErr w:type="spellStart"/>
            <w:r w:rsidR="002F71F8" w:rsidRPr="0042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biometrică</w:t>
            </w:r>
            <w:proofErr w:type="spellEnd"/>
            <w:r w:rsidRPr="0042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”;</w:t>
            </w:r>
          </w:p>
          <w:p w:rsidR="00A17814" w:rsidRDefault="00933EF5" w:rsidP="00A17814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poziția „</w:t>
            </w:r>
            <w:r w:rsidR="00285C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Principatul Liechtenstein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466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modifică și va avea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următorul cuprins:</w:t>
            </w:r>
          </w:p>
          <w:tbl>
            <w:tblPr>
              <w:tblStyle w:val="a6"/>
              <w:tblW w:w="8784" w:type="dxa"/>
              <w:tblLook w:val="04A0" w:firstRow="1" w:lastRow="0" w:firstColumn="1" w:lastColumn="0" w:noHBand="0" w:noVBand="1"/>
            </w:tblPr>
            <w:tblGrid>
              <w:gridCol w:w="1555"/>
              <w:gridCol w:w="5953"/>
              <w:gridCol w:w="1276"/>
            </w:tblGrid>
            <w:tr w:rsidR="007A7C56" w:rsidTr="00294C05">
              <w:tc>
                <w:tcPr>
                  <w:tcW w:w="1555" w:type="dxa"/>
                  <w:vMerge w:val="restart"/>
                </w:tcPr>
                <w:p w:rsidR="007A7C56" w:rsidRDefault="00285C55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Principatul Liechtenstein</w:t>
                  </w:r>
                </w:p>
              </w:tc>
              <w:tc>
                <w:tcPr>
                  <w:tcW w:w="5953" w:type="dxa"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Pașaport ordinar</w:t>
                  </w:r>
                </w:p>
              </w:tc>
              <w:tc>
                <w:tcPr>
                  <w:tcW w:w="1276" w:type="dxa"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7A7C56" w:rsidTr="00294C05">
              <w:tc>
                <w:tcPr>
                  <w:tcW w:w="1555" w:type="dxa"/>
                  <w:vMerge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Pașaport diplomatic</w:t>
                  </w:r>
                </w:p>
              </w:tc>
              <w:tc>
                <w:tcPr>
                  <w:tcW w:w="1276" w:type="dxa"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7A7C56" w:rsidTr="00294C05">
              <w:tc>
                <w:tcPr>
                  <w:tcW w:w="1555" w:type="dxa"/>
                  <w:vMerge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Pașaport de serviciu</w:t>
                  </w:r>
                </w:p>
              </w:tc>
              <w:tc>
                <w:tcPr>
                  <w:tcW w:w="1276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7A7C56" w:rsidTr="00294C05">
              <w:tc>
                <w:tcPr>
                  <w:tcW w:w="1555" w:type="dxa"/>
                  <w:vMerge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7A7C56" w:rsidP="00712EC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 xml:space="preserve">Document de călătorie pentru refugiați </w:t>
                  </w:r>
                  <w:r w:rsidRPr="0045177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o-RO"/>
                    </w:rPr>
                    <w:t>(Convenția privind statutul refugiaților din 28 iulie 1951)</w:t>
                  </w:r>
                </w:p>
              </w:tc>
              <w:tc>
                <w:tcPr>
                  <w:tcW w:w="1276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7A7C56" w:rsidTr="00294C05">
              <w:tc>
                <w:tcPr>
                  <w:tcW w:w="1555" w:type="dxa"/>
                  <w:vMerge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 xml:space="preserve">Document de călătorie pentru apatrizi </w:t>
                  </w:r>
                  <w:r w:rsidRPr="00712EC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o-RO"/>
                    </w:rPr>
                    <w:t>(Convenția privind statutul apatrizilor din 28 septembrie 1954)</w:t>
                  </w:r>
                </w:p>
              </w:tc>
              <w:tc>
                <w:tcPr>
                  <w:tcW w:w="1276" w:type="dxa"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7A7C56" w:rsidTr="00294C05">
              <w:tc>
                <w:tcPr>
                  <w:tcW w:w="1555" w:type="dxa"/>
                  <w:vMerge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9B584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4216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Carte de identitate de formatul ID1, ID2, inclusiv </w:t>
                  </w:r>
                  <w:proofErr w:type="spellStart"/>
                  <w:r w:rsidRPr="004216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biometrică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A7C56" w:rsidRDefault="007A7C56" w:rsidP="00A178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</w:tbl>
          <w:p w:rsidR="00933EF5" w:rsidRDefault="003C4B42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poziția „Bulgaria” </w:t>
            </w:r>
            <w:r w:rsidR="007A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se completează </w:t>
            </w:r>
            <w:r w:rsidR="0046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cu </w:t>
            </w:r>
            <w:r w:rsidR="007A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următorul </w:t>
            </w:r>
            <w:r w:rsidR="003F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cuprins</w:t>
            </w:r>
            <w:r w:rsidR="007A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Style w:val="a6"/>
              <w:tblW w:w="8784" w:type="dxa"/>
              <w:tblLook w:val="04A0" w:firstRow="1" w:lastRow="0" w:firstColumn="1" w:lastColumn="0" w:noHBand="0" w:noVBand="1"/>
            </w:tblPr>
            <w:tblGrid>
              <w:gridCol w:w="1555"/>
              <w:gridCol w:w="5953"/>
              <w:gridCol w:w="1276"/>
            </w:tblGrid>
            <w:tr w:rsidR="007A7C56" w:rsidTr="00BD4761">
              <w:tc>
                <w:tcPr>
                  <w:tcW w:w="1555" w:type="dxa"/>
                  <w:vMerge w:val="restart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 xml:space="preserve">Document de călătorie pentru refugiați </w:t>
                  </w:r>
                  <w:r w:rsidRPr="0045177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o-RO"/>
                    </w:rPr>
                    <w:t>(Convenția privind statutul refugiaților din 28 iulie 1951)</w:t>
                  </w:r>
                </w:p>
              </w:tc>
              <w:tc>
                <w:tcPr>
                  <w:tcW w:w="1276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7A7C56" w:rsidTr="00BD4761">
              <w:tc>
                <w:tcPr>
                  <w:tcW w:w="1555" w:type="dxa"/>
                  <w:vMerge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 xml:space="preserve">Document de călătorie pentru apatrizi </w:t>
                  </w:r>
                  <w:r w:rsidRPr="00712EC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o-RO"/>
                    </w:rPr>
                    <w:t>(Convenția privind statutul apatrizilor din 28 septembrie 1954)</w:t>
                  </w:r>
                </w:p>
              </w:tc>
              <w:tc>
                <w:tcPr>
                  <w:tcW w:w="1276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</w:tbl>
          <w:p w:rsidR="00242D33" w:rsidRDefault="007A7C56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</w:t>
            </w:r>
            <w:r w:rsidR="0024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 poziția „Uniunea Australiei” </w:t>
            </w:r>
            <w:r w:rsidR="00CC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pentru</w:t>
            </w:r>
            <w:r w:rsidR="0024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rubrica „Document de </w:t>
            </w:r>
            <w:r w:rsidR="00A90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călătorie de </w:t>
            </w:r>
            <w:r w:rsidR="0024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întoarcere în </w:t>
            </w:r>
            <w:r w:rsidR="0024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 xml:space="preserve">Australia” </w:t>
            </w:r>
            <w:r w:rsidR="00CC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în coloana „Documentele de călătorie acceptate de Republica Moldova” se introduce semnul asterisc „*”.</w:t>
            </w:r>
          </w:p>
          <w:p w:rsidR="00242D33" w:rsidRDefault="007A7C56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la </w:t>
            </w:r>
            <w:r w:rsidR="003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poziția „Marele Ducat de Luxemburg” după rubrica „Pașaport de serviciu” se completează cu două rubrici noi cu următorul cuprins:</w:t>
            </w:r>
          </w:p>
          <w:tbl>
            <w:tblPr>
              <w:tblStyle w:val="a6"/>
              <w:tblW w:w="8784" w:type="dxa"/>
              <w:tblLook w:val="04A0" w:firstRow="1" w:lastRow="0" w:firstColumn="1" w:lastColumn="0" w:noHBand="0" w:noVBand="1"/>
            </w:tblPr>
            <w:tblGrid>
              <w:gridCol w:w="1555"/>
              <w:gridCol w:w="5953"/>
              <w:gridCol w:w="1276"/>
            </w:tblGrid>
            <w:tr w:rsidR="007A7C56" w:rsidTr="00BD4761">
              <w:tc>
                <w:tcPr>
                  <w:tcW w:w="1555" w:type="dxa"/>
                  <w:vMerge w:val="restart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Pașaport de urgență</w:t>
                  </w:r>
                </w:p>
              </w:tc>
              <w:tc>
                <w:tcPr>
                  <w:tcW w:w="1276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7A7C56" w:rsidTr="00BD4761">
              <w:tc>
                <w:tcPr>
                  <w:tcW w:w="1555" w:type="dxa"/>
                  <w:vMerge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Livret de marinar</w:t>
                  </w:r>
                </w:p>
              </w:tc>
              <w:tc>
                <w:tcPr>
                  <w:tcW w:w="1276" w:type="dxa"/>
                </w:tcPr>
                <w:p w:rsidR="007A7C56" w:rsidRDefault="007A7C56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</w:tbl>
          <w:p w:rsidR="0034666C" w:rsidRDefault="00645A96" w:rsidP="0034666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</w:t>
            </w:r>
            <w:r w:rsidR="003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poziția „România” după rubrica „Pașaport de serviciu” se completează cu o rubrică nouă cu următorul cuprins:</w:t>
            </w:r>
          </w:p>
          <w:tbl>
            <w:tblPr>
              <w:tblStyle w:val="a6"/>
              <w:tblW w:w="8784" w:type="dxa"/>
              <w:tblLook w:val="04A0" w:firstRow="1" w:lastRow="0" w:firstColumn="1" w:lastColumn="0" w:noHBand="0" w:noVBand="1"/>
            </w:tblPr>
            <w:tblGrid>
              <w:gridCol w:w="1555"/>
              <w:gridCol w:w="5953"/>
              <w:gridCol w:w="1276"/>
            </w:tblGrid>
            <w:tr w:rsidR="0034666C" w:rsidTr="00BD4761">
              <w:tc>
                <w:tcPr>
                  <w:tcW w:w="1555" w:type="dxa"/>
                </w:tcPr>
                <w:p w:rsidR="0034666C" w:rsidRDefault="0034666C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953" w:type="dxa"/>
                </w:tcPr>
                <w:p w:rsidR="0034666C" w:rsidRDefault="0034666C" w:rsidP="003466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Pașaport temporar</w:t>
                  </w:r>
                </w:p>
              </w:tc>
              <w:tc>
                <w:tcPr>
                  <w:tcW w:w="1276" w:type="dxa"/>
                </w:tcPr>
                <w:p w:rsidR="0034666C" w:rsidRDefault="0034666C" w:rsidP="00BD476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</w:tbl>
          <w:p w:rsidR="005000D8" w:rsidRDefault="005000D8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A52DC8" w:rsidRDefault="00A52DC8" w:rsidP="00A52DC8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se completează cu o poziție nouă cu următorul cuprins:</w:t>
            </w:r>
          </w:p>
          <w:p w:rsidR="00A52DC8" w:rsidRDefault="00A52DC8" w:rsidP="00A52DC8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tbl>
            <w:tblPr>
              <w:tblStyle w:val="a6"/>
              <w:tblW w:w="8784" w:type="dxa"/>
              <w:tblLook w:val="04A0" w:firstRow="1" w:lastRow="0" w:firstColumn="1" w:lastColumn="0" w:noHBand="0" w:noVBand="1"/>
            </w:tblPr>
            <w:tblGrid>
              <w:gridCol w:w="1544"/>
              <w:gridCol w:w="5691"/>
              <w:gridCol w:w="1549"/>
            </w:tblGrid>
            <w:tr w:rsidR="00A52DC8" w:rsidTr="00A52DC8">
              <w:tc>
                <w:tcPr>
                  <w:tcW w:w="1544" w:type="dxa"/>
                  <w:vMerge w:val="restart"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Autoritatea Națională Palestiniană</w:t>
                  </w:r>
                </w:p>
              </w:tc>
              <w:tc>
                <w:tcPr>
                  <w:tcW w:w="5691" w:type="dxa"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Pașaport ordinar</w:t>
                  </w:r>
                </w:p>
              </w:tc>
              <w:tc>
                <w:tcPr>
                  <w:tcW w:w="1549" w:type="dxa"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A52DC8" w:rsidTr="00A52DC8">
              <w:tc>
                <w:tcPr>
                  <w:tcW w:w="1544" w:type="dxa"/>
                  <w:vMerge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691" w:type="dxa"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Pașaport special</w:t>
                  </w:r>
                </w:p>
              </w:tc>
              <w:tc>
                <w:tcPr>
                  <w:tcW w:w="1549" w:type="dxa"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  <w:tr w:rsidR="00A52DC8" w:rsidTr="00A52DC8">
              <w:tc>
                <w:tcPr>
                  <w:tcW w:w="1544" w:type="dxa"/>
                  <w:vMerge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5691" w:type="dxa"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Pașaport VIP</w:t>
                  </w:r>
                </w:p>
              </w:tc>
              <w:tc>
                <w:tcPr>
                  <w:tcW w:w="1549" w:type="dxa"/>
                </w:tcPr>
                <w:p w:rsidR="00A52DC8" w:rsidRDefault="00A52DC8" w:rsidP="0071198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</w:t>
                  </w:r>
                </w:p>
              </w:tc>
            </w:tr>
          </w:tbl>
          <w:p w:rsidR="00A52DC8" w:rsidRDefault="00A52DC8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A52DC8" w:rsidRDefault="001C7C49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  <w:r w:rsidR="009E1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) anexa nr.2</w:t>
            </w:r>
            <w:r w:rsidR="00A5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:</w:t>
            </w:r>
          </w:p>
          <w:p w:rsidR="00A17814" w:rsidRDefault="009E1A32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la poziția </w:t>
            </w:r>
            <w:r w:rsidR="00A6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„Comitetul Internațional al Crucii Roșii” rubrica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„Document de călătorie al Comitetului Internațional al Crucii Roșii” se </w:t>
            </w:r>
            <w:r w:rsidR="00A6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substituie prin rubrica „Titlu de călătorie al Comitetului Internațional al Crucii Roșii”</w:t>
            </w:r>
            <w:r w:rsidR="00CC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iar la coloana „Documentele de călătorie acceptate de Republica Moldova”</w:t>
            </w:r>
            <w:r w:rsidR="00A6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introduce semnul asterisc „*”.</w:t>
            </w:r>
          </w:p>
          <w:p w:rsidR="00A65C82" w:rsidRDefault="00A65C82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DD3A5C" w:rsidRDefault="00DD3A5C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PRIM-MINISTRU </w:t>
            </w:r>
            <w:r w:rsidR="00A27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                                                                                              </w:t>
            </w:r>
          </w:p>
          <w:p w:rsidR="00A27A2E" w:rsidRDefault="00DD3A5C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Contrasemnează:</w:t>
            </w: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br/>
            </w:r>
            <w:r w:rsidR="00A27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Viceprim-ministru,</w:t>
            </w:r>
          </w:p>
          <w:p w:rsidR="00A27A2E" w:rsidRDefault="00A27A2E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ministrul afacerilor externe</w:t>
            </w:r>
          </w:p>
          <w:p w:rsidR="00A27A2E" w:rsidRDefault="00A27A2E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și integrării europene                                                                                           Natalia Gherman</w:t>
            </w:r>
          </w:p>
          <w:p w:rsidR="00DD3A5C" w:rsidRDefault="00A27A2E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Ministrul afacerilor interne                                                                                Oleg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Balan</w:t>
            </w:r>
            <w:proofErr w:type="spellEnd"/>
          </w:p>
          <w:p w:rsidR="00A27A2E" w:rsidRDefault="00A27A2E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  <w:p w:rsidR="00DD3A5C" w:rsidRPr="00F57AF0" w:rsidRDefault="00DD3A5C" w:rsidP="00F5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</w:t>
            </w:r>
            <w:r w:rsidR="00A27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_____</w:t>
            </w: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. Chişinău, </w:t>
            </w:r>
            <w:r w:rsidR="00A27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____________</w:t>
            </w:r>
            <w:r w:rsidRPr="00DD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.</w:t>
            </w:r>
          </w:p>
        </w:tc>
      </w:tr>
    </w:tbl>
    <w:p w:rsidR="00875A4B" w:rsidRDefault="00875A4B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F6" w:rsidRDefault="00C865F6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A4B" w:rsidRDefault="00875A4B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5D"/>
    <w:rsid w:val="000402CB"/>
    <w:rsid w:val="00047422"/>
    <w:rsid w:val="00083698"/>
    <w:rsid w:val="000A02CF"/>
    <w:rsid w:val="000D19BE"/>
    <w:rsid w:val="000E3133"/>
    <w:rsid w:val="000F5AA3"/>
    <w:rsid w:val="0016638D"/>
    <w:rsid w:val="00184ECF"/>
    <w:rsid w:val="001A6C72"/>
    <w:rsid w:val="001B3EED"/>
    <w:rsid w:val="001B7ACA"/>
    <w:rsid w:val="001C7C49"/>
    <w:rsid w:val="001E3500"/>
    <w:rsid w:val="00220B5D"/>
    <w:rsid w:val="00242D33"/>
    <w:rsid w:val="00255939"/>
    <w:rsid w:val="00285C55"/>
    <w:rsid w:val="00294C05"/>
    <w:rsid w:val="0029611C"/>
    <w:rsid w:val="002F71F8"/>
    <w:rsid w:val="0034666C"/>
    <w:rsid w:val="003760CB"/>
    <w:rsid w:val="003C4B42"/>
    <w:rsid w:val="003D14F3"/>
    <w:rsid w:val="003E7D9C"/>
    <w:rsid w:val="003F1AC4"/>
    <w:rsid w:val="003F3B16"/>
    <w:rsid w:val="00421625"/>
    <w:rsid w:val="00447F84"/>
    <w:rsid w:val="0045177E"/>
    <w:rsid w:val="00461134"/>
    <w:rsid w:val="0046689A"/>
    <w:rsid w:val="00467290"/>
    <w:rsid w:val="00497844"/>
    <w:rsid w:val="004B5A2A"/>
    <w:rsid w:val="004C27F3"/>
    <w:rsid w:val="004E51E9"/>
    <w:rsid w:val="005000D8"/>
    <w:rsid w:val="005637DE"/>
    <w:rsid w:val="00597B84"/>
    <w:rsid w:val="005B6C49"/>
    <w:rsid w:val="005C245F"/>
    <w:rsid w:val="00642C86"/>
    <w:rsid w:val="00645A96"/>
    <w:rsid w:val="0067433B"/>
    <w:rsid w:val="00683E3C"/>
    <w:rsid w:val="00686A60"/>
    <w:rsid w:val="006E200D"/>
    <w:rsid w:val="00712EC3"/>
    <w:rsid w:val="0071417B"/>
    <w:rsid w:val="00724D33"/>
    <w:rsid w:val="0074182A"/>
    <w:rsid w:val="007478A4"/>
    <w:rsid w:val="0075695F"/>
    <w:rsid w:val="00772283"/>
    <w:rsid w:val="007728A7"/>
    <w:rsid w:val="007A4417"/>
    <w:rsid w:val="007A5668"/>
    <w:rsid w:val="007A7C56"/>
    <w:rsid w:val="007B5752"/>
    <w:rsid w:val="007F5B3E"/>
    <w:rsid w:val="00821F4E"/>
    <w:rsid w:val="00831EC8"/>
    <w:rsid w:val="00875A4B"/>
    <w:rsid w:val="008A56AF"/>
    <w:rsid w:val="008A590A"/>
    <w:rsid w:val="008B5305"/>
    <w:rsid w:val="008D20EC"/>
    <w:rsid w:val="008F031C"/>
    <w:rsid w:val="008F1722"/>
    <w:rsid w:val="00933EF5"/>
    <w:rsid w:val="009B3771"/>
    <w:rsid w:val="009B5846"/>
    <w:rsid w:val="009E1A32"/>
    <w:rsid w:val="00A14757"/>
    <w:rsid w:val="00A17814"/>
    <w:rsid w:val="00A27A2E"/>
    <w:rsid w:val="00A52DC8"/>
    <w:rsid w:val="00A60BF0"/>
    <w:rsid w:val="00A65C82"/>
    <w:rsid w:val="00A90A9B"/>
    <w:rsid w:val="00AD7DD4"/>
    <w:rsid w:val="00B5120D"/>
    <w:rsid w:val="00B81AA8"/>
    <w:rsid w:val="00B82C4A"/>
    <w:rsid w:val="00C117B4"/>
    <w:rsid w:val="00C865F6"/>
    <w:rsid w:val="00CC5537"/>
    <w:rsid w:val="00CF6952"/>
    <w:rsid w:val="00D71764"/>
    <w:rsid w:val="00D90842"/>
    <w:rsid w:val="00DD3A5C"/>
    <w:rsid w:val="00E67555"/>
    <w:rsid w:val="00F16DD7"/>
    <w:rsid w:val="00F57AF0"/>
    <w:rsid w:val="00F74BDF"/>
    <w:rsid w:val="00F81EC5"/>
    <w:rsid w:val="00FB001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A5C"/>
    <w:rPr>
      <w:b/>
      <w:bCs/>
    </w:rPr>
  </w:style>
  <w:style w:type="character" w:customStyle="1" w:styleId="apple-converted-space">
    <w:name w:val="apple-converted-space"/>
    <w:basedOn w:val="a0"/>
    <w:rsid w:val="00DD3A5C"/>
  </w:style>
  <w:style w:type="character" w:customStyle="1" w:styleId="docheader">
    <w:name w:val="doc_header"/>
    <w:basedOn w:val="a0"/>
    <w:rsid w:val="00DD3A5C"/>
  </w:style>
  <w:style w:type="character" w:customStyle="1" w:styleId="docsign1">
    <w:name w:val="doc_sign1"/>
    <w:basedOn w:val="a0"/>
    <w:rsid w:val="00DD3A5C"/>
  </w:style>
  <w:style w:type="paragraph" w:styleId="a4">
    <w:name w:val="Balloon Text"/>
    <w:basedOn w:val="a"/>
    <w:link w:val="a5"/>
    <w:uiPriority w:val="99"/>
    <w:semiHidden/>
    <w:unhideWhenUsed/>
    <w:rsid w:val="00D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875A4B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A5C"/>
    <w:rPr>
      <w:b/>
      <w:bCs/>
    </w:rPr>
  </w:style>
  <w:style w:type="character" w:customStyle="1" w:styleId="apple-converted-space">
    <w:name w:val="apple-converted-space"/>
    <w:basedOn w:val="a0"/>
    <w:rsid w:val="00DD3A5C"/>
  </w:style>
  <w:style w:type="character" w:customStyle="1" w:styleId="docheader">
    <w:name w:val="doc_header"/>
    <w:basedOn w:val="a0"/>
    <w:rsid w:val="00DD3A5C"/>
  </w:style>
  <w:style w:type="character" w:customStyle="1" w:styleId="docsign1">
    <w:name w:val="doc_sign1"/>
    <w:basedOn w:val="a0"/>
    <w:rsid w:val="00DD3A5C"/>
  </w:style>
  <w:style w:type="paragraph" w:styleId="a4">
    <w:name w:val="Balloon Text"/>
    <w:basedOn w:val="a"/>
    <w:link w:val="a5"/>
    <w:uiPriority w:val="99"/>
    <w:semiHidden/>
    <w:unhideWhenUsed/>
    <w:rsid w:val="00D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875A4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BD11-972D-47D0-99A2-E0489102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dj-11</dc:creator>
  <cp:lastModifiedBy>Valeriu</cp:lastModifiedBy>
  <cp:revision>3</cp:revision>
  <cp:lastPrinted>2015-05-26T05:51:00Z</cp:lastPrinted>
  <dcterms:created xsi:type="dcterms:W3CDTF">2015-06-16T11:58:00Z</dcterms:created>
  <dcterms:modified xsi:type="dcterms:W3CDTF">2015-06-16T11:58:00Z</dcterms:modified>
</cp:coreProperties>
</file>