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47" w:rsidRPr="00387453" w:rsidRDefault="009B560E" w:rsidP="00E92247">
      <w:pPr>
        <w:pStyle w:val="tt"/>
      </w:pPr>
      <w:r w:rsidRPr="00387453">
        <w:rPr>
          <w:lang w:val="ro-RO"/>
        </w:rPr>
        <w:t xml:space="preserve">Analiza avizelor la proiectul </w:t>
      </w:r>
      <w:r w:rsidR="00E92247" w:rsidRPr="00387453">
        <w:t xml:space="preserve">Hotărîrii de Guvern cu privire la măsurile de pregătire </w:t>
      </w:r>
    </w:p>
    <w:p w:rsidR="007C736D" w:rsidRPr="00387453" w:rsidRDefault="00E92247" w:rsidP="00E92247">
      <w:pPr>
        <w:pStyle w:val="tt"/>
      </w:pPr>
      <w:proofErr w:type="gramStart"/>
      <w:r w:rsidRPr="00387453">
        <w:t>a</w:t>
      </w:r>
      <w:proofErr w:type="gramEnd"/>
      <w:r w:rsidRPr="00387453">
        <w:t xml:space="preserve"> economiei naţionale şi a sferei sociale pentru activitate în perioada de toamnă-iarnă 2016-2017</w:t>
      </w:r>
    </w:p>
    <w:p w:rsidR="00E92247" w:rsidRPr="00387453" w:rsidRDefault="00E92247" w:rsidP="00E92247">
      <w:pPr>
        <w:jc w:val="center"/>
        <w:rPr>
          <w:b/>
          <w:lang w:val="ro-RO"/>
        </w:rPr>
      </w:pPr>
    </w:p>
    <w:tbl>
      <w:tblPr>
        <w:tblW w:w="14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225"/>
        <w:gridCol w:w="4217"/>
      </w:tblGrid>
      <w:tr w:rsidR="00DA7CA1" w:rsidRPr="00387453" w:rsidTr="00CE64E8">
        <w:tc>
          <w:tcPr>
            <w:tcW w:w="840" w:type="dxa"/>
            <w:vAlign w:val="center"/>
          </w:tcPr>
          <w:p w:rsidR="009B560E" w:rsidRPr="00387453" w:rsidRDefault="009B560E" w:rsidP="00EF6366">
            <w:pPr>
              <w:jc w:val="center"/>
              <w:rPr>
                <w:b/>
                <w:lang w:val="ro-RO"/>
              </w:rPr>
            </w:pPr>
            <w:r w:rsidRPr="00387453">
              <w:rPr>
                <w:b/>
                <w:lang w:val="ro-RO"/>
              </w:rPr>
              <w:t>nr. d/o</w:t>
            </w:r>
          </w:p>
        </w:tc>
        <w:tc>
          <w:tcPr>
            <w:tcW w:w="9225" w:type="dxa"/>
            <w:vAlign w:val="center"/>
          </w:tcPr>
          <w:p w:rsidR="009B560E" w:rsidRPr="00387453" w:rsidRDefault="009B560E" w:rsidP="00EF6366">
            <w:pPr>
              <w:jc w:val="center"/>
              <w:rPr>
                <w:b/>
                <w:lang w:val="ro-RO"/>
              </w:rPr>
            </w:pPr>
            <w:r w:rsidRPr="00387453">
              <w:rPr>
                <w:b/>
                <w:lang w:val="ro-RO"/>
              </w:rPr>
              <w:t>Conţinutul propunerilor şi obiecţiilor</w:t>
            </w:r>
          </w:p>
        </w:tc>
        <w:tc>
          <w:tcPr>
            <w:tcW w:w="4217" w:type="dxa"/>
            <w:vAlign w:val="center"/>
          </w:tcPr>
          <w:p w:rsidR="009B560E" w:rsidRPr="00387453" w:rsidRDefault="009B560E" w:rsidP="00EF6366">
            <w:pPr>
              <w:jc w:val="center"/>
              <w:rPr>
                <w:b/>
                <w:lang w:val="ro-RO"/>
              </w:rPr>
            </w:pPr>
            <w:r w:rsidRPr="00387453">
              <w:rPr>
                <w:b/>
                <w:lang w:val="ro-RO"/>
              </w:rPr>
              <w:t>Comentarii</w:t>
            </w:r>
          </w:p>
        </w:tc>
      </w:tr>
      <w:tr w:rsidR="00B7206E" w:rsidRPr="00131B6E" w:rsidTr="00433E41">
        <w:tc>
          <w:tcPr>
            <w:tcW w:w="14282" w:type="dxa"/>
            <w:gridSpan w:val="3"/>
            <w:vAlign w:val="center"/>
          </w:tcPr>
          <w:p w:rsidR="00B7206E" w:rsidRPr="00387453" w:rsidRDefault="00B7206E" w:rsidP="00B7206E">
            <w:pPr>
              <w:jc w:val="center"/>
              <w:rPr>
                <w:b/>
                <w:lang w:val="ro-RO"/>
              </w:rPr>
            </w:pPr>
            <w:r w:rsidRPr="00387453">
              <w:rPr>
                <w:b/>
                <w:highlight w:val="yellow"/>
                <w:lang w:val="ro-RO"/>
              </w:rPr>
              <w:t>Ministerul Justiţiei</w:t>
            </w:r>
            <w:r w:rsidRPr="00387453">
              <w:rPr>
                <w:highlight w:val="yellow"/>
                <w:lang w:val="ro-RO"/>
              </w:rPr>
              <w:t xml:space="preserve"> </w:t>
            </w:r>
            <w:r w:rsidRPr="00387453">
              <w:rPr>
                <w:b/>
                <w:highlight w:val="yellow"/>
                <w:lang w:val="ro-RO"/>
              </w:rPr>
              <w:t>a prezentat avizul prin scrisoarea nr. din .</w:t>
            </w:r>
          </w:p>
        </w:tc>
      </w:tr>
      <w:tr w:rsidR="00B7206E" w:rsidRPr="00387453" w:rsidTr="00CE64E8">
        <w:tc>
          <w:tcPr>
            <w:tcW w:w="840" w:type="dxa"/>
            <w:vAlign w:val="center"/>
          </w:tcPr>
          <w:p w:rsidR="00B7206E" w:rsidRPr="00387453" w:rsidRDefault="00B7206E" w:rsidP="00EF6366">
            <w:pPr>
              <w:jc w:val="center"/>
              <w:rPr>
                <w:b/>
                <w:lang w:val="ro-RO"/>
              </w:rPr>
            </w:pPr>
            <w:r w:rsidRPr="00387453">
              <w:rPr>
                <w:lang w:val="ro-RO"/>
              </w:rPr>
              <w:t>1.</w:t>
            </w:r>
          </w:p>
        </w:tc>
        <w:tc>
          <w:tcPr>
            <w:tcW w:w="9225" w:type="dxa"/>
            <w:vAlign w:val="center"/>
          </w:tcPr>
          <w:p w:rsidR="00B7206E" w:rsidRPr="00387453" w:rsidRDefault="00B7206E" w:rsidP="00EF6366">
            <w:pPr>
              <w:jc w:val="center"/>
              <w:rPr>
                <w:b/>
                <w:lang w:val="ro-RO"/>
              </w:rPr>
            </w:pPr>
          </w:p>
        </w:tc>
        <w:tc>
          <w:tcPr>
            <w:tcW w:w="4217" w:type="dxa"/>
            <w:vAlign w:val="center"/>
          </w:tcPr>
          <w:p w:rsidR="00B7206E" w:rsidRPr="00387453" w:rsidRDefault="00B7206E" w:rsidP="00EF6366">
            <w:pPr>
              <w:jc w:val="center"/>
              <w:rPr>
                <w:b/>
                <w:lang w:val="ro-RO"/>
              </w:rPr>
            </w:pPr>
          </w:p>
        </w:tc>
      </w:tr>
      <w:tr w:rsidR="00B7206E" w:rsidRPr="00131B6E" w:rsidTr="00D22B11">
        <w:tc>
          <w:tcPr>
            <w:tcW w:w="14282" w:type="dxa"/>
            <w:gridSpan w:val="3"/>
            <w:vAlign w:val="center"/>
          </w:tcPr>
          <w:p w:rsidR="00B7206E" w:rsidRPr="00387453" w:rsidRDefault="00B7206E" w:rsidP="00B7206E">
            <w:pPr>
              <w:jc w:val="center"/>
              <w:rPr>
                <w:b/>
                <w:lang w:val="ro-RO"/>
              </w:rPr>
            </w:pPr>
            <w:r w:rsidRPr="00387453">
              <w:rPr>
                <w:b/>
                <w:highlight w:val="yellow"/>
                <w:lang w:val="ro-RO"/>
              </w:rPr>
              <w:t>Centrul Naţional Anticorupţie</w:t>
            </w:r>
            <w:r w:rsidRPr="00387453">
              <w:rPr>
                <w:highlight w:val="yellow"/>
                <w:lang w:val="ro-RO"/>
              </w:rPr>
              <w:t xml:space="preserve"> </w:t>
            </w:r>
            <w:r w:rsidRPr="00387453">
              <w:rPr>
                <w:b/>
                <w:highlight w:val="yellow"/>
                <w:lang w:val="ro-RO"/>
              </w:rPr>
              <w:t>a prezentat avizul prin scrisoarea nr.</w:t>
            </w:r>
            <w:r w:rsidR="0094270E">
              <w:rPr>
                <w:b/>
                <w:highlight w:val="yellow"/>
                <w:lang w:val="ro-RO"/>
              </w:rPr>
              <w:t xml:space="preserve"> 06/2-3561</w:t>
            </w:r>
            <w:r w:rsidRPr="00387453">
              <w:rPr>
                <w:b/>
                <w:highlight w:val="yellow"/>
                <w:lang w:val="ro-RO"/>
              </w:rPr>
              <w:t xml:space="preserve"> din </w:t>
            </w:r>
            <w:r w:rsidR="0094270E">
              <w:rPr>
                <w:b/>
                <w:highlight w:val="yellow"/>
                <w:lang w:val="ro-RO"/>
              </w:rPr>
              <w:t>09</w:t>
            </w:r>
            <w:r w:rsidRPr="00387453">
              <w:rPr>
                <w:b/>
                <w:highlight w:val="yellow"/>
                <w:lang w:val="ro-RO"/>
              </w:rPr>
              <w:t>.08.2016.</w:t>
            </w:r>
          </w:p>
        </w:tc>
      </w:tr>
      <w:tr w:rsidR="00B7206E" w:rsidRPr="006E0C0F" w:rsidTr="002836E6">
        <w:tc>
          <w:tcPr>
            <w:tcW w:w="840" w:type="dxa"/>
            <w:vAlign w:val="center"/>
          </w:tcPr>
          <w:p w:rsidR="00B7206E" w:rsidRPr="00387453" w:rsidRDefault="00B7206E" w:rsidP="00EF6366">
            <w:pPr>
              <w:jc w:val="center"/>
              <w:rPr>
                <w:b/>
                <w:lang w:val="ro-RO"/>
              </w:rPr>
            </w:pPr>
            <w:r w:rsidRPr="00387453">
              <w:rPr>
                <w:lang w:val="ro-RO"/>
              </w:rPr>
              <w:t>1.</w:t>
            </w:r>
          </w:p>
        </w:tc>
        <w:tc>
          <w:tcPr>
            <w:tcW w:w="9225" w:type="dxa"/>
            <w:vAlign w:val="center"/>
          </w:tcPr>
          <w:p w:rsidR="002836E6" w:rsidRDefault="007D7976" w:rsidP="002836E6">
            <w:pPr>
              <w:autoSpaceDE w:val="0"/>
              <w:autoSpaceDN w:val="0"/>
              <w:adjustRightInd w:val="0"/>
              <w:jc w:val="center"/>
              <w:rPr>
                <w:rFonts w:eastAsia="Arial-BoldMT"/>
                <w:b/>
                <w:bCs/>
                <w:color w:val="0033CD"/>
                <w:lang w:val="en-US"/>
              </w:rPr>
            </w:pPr>
            <w:r w:rsidRPr="00440A3E">
              <w:rPr>
                <w:rFonts w:eastAsia="Arial-BoldMT"/>
                <w:b/>
                <w:bCs/>
                <w:color w:val="0033CD"/>
                <w:lang w:val="en-US"/>
              </w:rPr>
              <w:t>RAPORT DE EXPERTIZĂ ANTICORUPŢIE</w:t>
            </w:r>
          </w:p>
          <w:p w:rsidR="007D7976" w:rsidRPr="00440A3E" w:rsidRDefault="007D7976" w:rsidP="002836E6">
            <w:pPr>
              <w:autoSpaceDE w:val="0"/>
              <w:autoSpaceDN w:val="0"/>
              <w:adjustRightInd w:val="0"/>
              <w:jc w:val="center"/>
              <w:rPr>
                <w:rFonts w:eastAsia="Arial-BoldMT"/>
                <w:b/>
                <w:bCs/>
                <w:color w:val="0033CD"/>
                <w:lang w:val="en-US"/>
              </w:rPr>
            </w:pPr>
            <w:r w:rsidRPr="00440A3E">
              <w:rPr>
                <w:rFonts w:eastAsia="Arial-BoldMT"/>
                <w:b/>
                <w:bCs/>
                <w:color w:val="0033CD"/>
                <w:lang w:val="en-US"/>
              </w:rPr>
              <w:t>asupra nivelului coruptibilităţii proiectului</w:t>
            </w:r>
            <w:r w:rsidR="002836E6">
              <w:rPr>
                <w:rFonts w:eastAsia="Arial-BoldMT"/>
                <w:b/>
                <w:bCs/>
                <w:color w:val="0033CD"/>
                <w:lang w:val="en-US"/>
              </w:rPr>
              <w:t xml:space="preserve"> </w:t>
            </w:r>
            <w:r w:rsidRPr="00440A3E">
              <w:rPr>
                <w:rFonts w:eastAsia="Arial-BoldMT"/>
                <w:b/>
                <w:bCs/>
                <w:color w:val="0033CD"/>
                <w:lang w:val="en-US"/>
              </w:rPr>
              <w:t>hotărîrii de Guvern cu privire la măsurile de pregătire a</w:t>
            </w:r>
            <w:r w:rsidR="002836E6">
              <w:rPr>
                <w:rFonts w:eastAsia="Arial-BoldMT"/>
                <w:b/>
                <w:bCs/>
                <w:color w:val="0033CD"/>
                <w:lang w:val="en-US"/>
              </w:rPr>
              <w:t xml:space="preserve"> </w:t>
            </w:r>
            <w:r w:rsidRPr="00440A3E">
              <w:rPr>
                <w:rFonts w:eastAsia="Arial-BoldMT"/>
                <w:b/>
                <w:bCs/>
                <w:color w:val="0033CD"/>
                <w:lang w:val="en-US"/>
              </w:rPr>
              <w:t>economiei naţionale şi a sferei sociale pentru activitate în</w:t>
            </w:r>
            <w:r w:rsidR="002836E6">
              <w:rPr>
                <w:rFonts w:eastAsia="Arial-BoldMT"/>
                <w:b/>
                <w:bCs/>
                <w:color w:val="0033CD"/>
                <w:lang w:val="en-US"/>
              </w:rPr>
              <w:t xml:space="preserve"> </w:t>
            </w:r>
            <w:r w:rsidRPr="00440A3E">
              <w:rPr>
                <w:rFonts w:eastAsia="Arial-BoldMT"/>
                <w:b/>
                <w:bCs/>
                <w:color w:val="0033CD"/>
                <w:lang w:val="en-US"/>
              </w:rPr>
              <w:t>perioada de toamnă-iarnă 2016-2017</w:t>
            </w:r>
          </w:p>
          <w:p w:rsidR="007D7976" w:rsidRPr="00440A3E" w:rsidRDefault="007D7976" w:rsidP="007D7976">
            <w:pPr>
              <w:autoSpaceDE w:val="0"/>
              <w:autoSpaceDN w:val="0"/>
              <w:adjustRightInd w:val="0"/>
              <w:jc w:val="center"/>
              <w:rPr>
                <w:rFonts w:eastAsia="Arial-BoldMT"/>
                <w:b/>
                <w:bCs/>
                <w:color w:val="0033CD"/>
                <w:lang w:val="en-US"/>
              </w:rPr>
            </w:pPr>
            <w:r w:rsidRPr="00440A3E">
              <w:rPr>
                <w:rFonts w:eastAsia="Arial-BoldMT"/>
                <w:b/>
                <w:bCs/>
                <w:color w:val="0033CD"/>
                <w:lang w:val="en-US"/>
              </w:rPr>
              <w:t>I. EVALUAREA GENERALĂ A PROIECTULUI</w:t>
            </w:r>
          </w:p>
          <w:p w:rsidR="007D7976" w:rsidRPr="00440A3E" w:rsidRDefault="007D7976" w:rsidP="007D7976">
            <w:pPr>
              <w:autoSpaceDE w:val="0"/>
              <w:autoSpaceDN w:val="0"/>
              <w:adjustRightInd w:val="0"/>
              <w:jc w:val="center"/>
              <w:rPr>
                <w:rFonts w:eastAsia="Arial-BoldMT"/>
                <w:b/>
                <w:bCs/>
                <w:color w:val="0033CD"/>
                <w:lang w:val="en-US"/>
              </w:rPr>
            </w:pPr>
            <w:r w:rsidRPr="00440A3E">
              <w:rPr>
                <w:rFonts w:eastAsia="Arial-BoldMT"/>
                <w:b/>
                <w:bCs/>
                <w:color w:val="0033CD"/>
                <w:lang w:val="en-US"/>
              </w:rPr>
              <w:t>1. Evaluarea fundamentării proiectului</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1.1 Fundamentarea generală a proiectului</w:t>
            </w:r>
          </w:p>
          <w:p w:rsidR="007D7976" w:rsidRPr="00440A3E" w:rsidRDefault="007D7976" w:rsidP="007D7976">
            <w:pPr>
              <w:autoSpaceDE w:val="0"/>
              <w:autoSpaceDN w:val="0"/>
              <w:adjustRightInd w:val="0"/>
              <w:jc w:val="both"/>
              <w:rPr>
                <w:rFonts w:eastAsia="ArialMT"/>
                <w:color w:val="000000"/>
                <w:lang w:val="en-US"/>
              </w:rPr>
            </w:pPr>
            <w:r w:rsidRPr="00440A3E">
              <w:rPr>
                <w:rFonts w:eastAsia="Arial-BoldMT"/>
                <w:b/>
                <w:bCs/>
                <w:color w:val="000000"/>
                <w:lang w:val="en-US"/>
              </w:rPr>
              <w:t xml:space="preserve">a. Autor al proiectului de act normativ </w:t>
            </w:r>
            <w:r w:rsidRPr="00440A3E">
              <w:rPr>
                <w:rFonts w:eastAsia="ArialMT"/>
                <w:color w:val="000000"/>
                <w:lang w:val="en-US"/>
              </w:rPr>
              <w:t>este Ministerul Economiei.</w:t>
            </w:r>
          </w:p>
          <w:p w:rsidR="007D7976" w:rsidRPr="00440A3E" w:rsidRDefault="007D7976" w:rsidP="007D7976">
            <w:pPr>
              <w:autoSpaceDE w:val="0"/>
              <w:autoSpaceDN w:val="0"/>
              <w:adjustRightInd w:val="0"/>
              <w:jc w:val="both"/>
              <w:rPr>
                <w:rFonts w:eastAsia="ArialMT"/>
                <w:color w:val="000000"/>
                <w:lang w:val="en-US"/>
              </w:rPr>
            </w:pPr>
            <w:r w:rsidRPr="00440A3E">
              <w:rPr>
                <w:rFonts w:eastAsia="Arial-BoldMT"/>
                <w:b/>
                <w:bCs/>
                <w:color w:val="000000"/>
                <w:lang w:val="en-US"/>
              </w:rPr>
              <w:t xml:space="preserve">b. Categoria actului normativ </w:t>
            </w:r>
            <w:r w:rsidRPr="00440A3E">
              <w:rPr>
                <w:rFonts w:eastAsia="ArialMT"/>
                <w:color w:val="000000"/>
                <w:lang w:val="en-US"/>
              </w:rPr>
              <w:t>propus este hotărîre a Guve</w:t>
            </w:r>
            <w:r>
              <w:rPr>
                <w:rFonts w:eastAsia="ArialMT"/>
                <w:color w:val="000000"/>
                <w:lang w:val="en-US"/>
              </w:rPr>
              <w:t xml:space="preserve">rnului, ceea ce corespunde art. </w:t>
            </w:r>
            <w:r w:rsidRPr="00440A3E">
              <w:rPr>
                <w:rFonts w:eastAsia="ArialMT"/>
                <w:color w:val="000000"/>
                <w:lang w:val="en-US"/>
              </w:rPr>
              <w:t>102 din Constituţie, art. 10 din Legea privind actele normative ale Guvernului ş</w:t>
            </w:r>
            <w:r>
              <w:rPr>
                <w:rFonts w:eastAsia="ArialMT"/>
                <w:color w:val="000000"/>
                <w:lang w:val="en-US"/>
              </w:rPr>
              <w:t xml:space="preserve">i ale altor </w:t>
            </w:r>
            <w:r w:rsidRPr="00440A3E">
              <w:rPr>
                <w:rFonts w:eastAsia="ArialMT"/>
                <w:color w:val="000000"/>
                <w:lang w:val="en-US"/>
              </w:rPr>
              <w:t>autorităţi ale administraţiei publice centrale şi locale nr. 317-XV din 18.07.2003.</w:t>
            </w:r>
          </w:p>
          <w:p w:rsidR="007D7976" w:rsidRPr="00440A3E" w:rsidRDefault="007D7976" w:rsidP="007D7976">
            <w:pPr>
              <w:autoSpaceDE w:val="0"/>
              <w:autoSpaceDN w:val="0"/>
              <w:adjustRightInd w:val="0"/>
              <w:jc w:val="both"/>
              <w:rPr>
                <w:rFonts w:eastAsia="ArialMT"/>
                <w:color w:val="000000"/>
                <w:lang w:val="en-US"/>
              </w:rPr>
            </w:pPr>
            <w:r w:rsidRPr="00440A3E">
              <w:rPr>
                <w:rFonts w:eastAsia="Arial-BoldMT"/>
                <w:b/>
                <w:bCs/>
                <w:color w:val="000000"/>
                <w:lang w:val="en-US"/>
              </w:rPr>
              <w:t xml:space="preserve">c. Scopul promovării proiectului. </w:t>
            </w:r>
            <w:r w:rsidRPr="00440A3E">
              <w:rPr>
                <w:rFonts w:eastAsia="ArialMT"/>
                <w:color w:val="000000"/>
                <w:lang w:val="en-US"/>
              </w:rPr>
              <w:t>Proiectul are drept scop asigurarea mă</w:t>
            </w:r>
            <w:r>
              <w:rPr>
                <w:rFonts w:eastAsia="ArialMT"/>
                <w:color w:val="000000"/>
                <w:lang w:val="en-US"/>
              </w:rPr>
              <w:t xml:space="preserve">surilor necesare </w:t>
            </w:r>
            <w:r w:rsidRPr="00440A3E">
              <w:rPr>
                <w:rFonts w:eastAsia="ArialMT"/>
                <w:color w:val="000000"/>
                <w:lang w:val="en-US"/>
              </w:rPr>
              <w:t>pentru pregătirea economiei naţionale şi a sferei sociale pentru perioada de toamnă – iarnă</w:t>
            </w:r>
            <w:r>
              <w:rPr>
                <w:rFonts w:eastAsia="ArialMT"/>
                <w:color w:val="000000"/>
                <w:lang w:val="en-US"/>
              </w:rPr>
              <w:t xml:space="preserve"> </w:t>
            </w:r>
            <w:r w:rsidRPr="00440A3E">
              <w:rPr>
                <w:rFonts w:eastAsia="ArialMT"/>
                <w:color w:val="000000"/>
                <w:lang w:val="en-US"/>
              </w:rPr>
              <w:t>2016-2017.</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Astfel, proiectul stabileşte un set de atribuţii pentru autorităţile administraţ</w:t>
            </w:r>
            <w:r>
              <w:rPr>
                <w:rFonts w:eastAsia="ArialMT"/>
                <w:color w:val="000000"/>
                <w:lang w:val="en-US"/>
              </w:rPr>
              <w:t xml:space="preserve">iei publice centrale </w:t>
            </w:r>
            <w:r w:rsidRPr="00440A3E">
              <w:rPr>
                <w:rFonts w:eastAsia="ArialMT"/>
                <w:color w:val="000000"/>
                <w:lang w:val="en-US"/>
              </w:rPr>
              <w:t>şi locale (în dependenţă de domeniul de competenţă), în mare parte menite să</w:t>
            </w:r>
            <w:r>
              <w:rPr>
                <w:rFonts w:eastAsia="ArialMT"/>
                <w:color w:val="000000"/>
                <w:lang w:val="en-US"/>
              </w:rPr>
              <w:t xml:space="preserve"> oblige </w:t>
            </w:r>
            <w:r w:rsidRPr="00440A3E">
              <w:rPr>
                <w:rFonts w:eastAsia="ArialMT"/>
                <w:color w:val="000000"/>
                <w:lang w:val="en-US"/>
              </w:rPr>
              <w:t xml:space="preserve">autorităţile de </w:t>
            </w:r>
            <w:proofErr w:type="gramStart"/>
            <w:r w:rsidRPr="00440A3E">
              <w:rPr>
                <w:rFonts w:eastAsia="ArialMT"/>
                <w:color w:val="000000"/>
                <w:lang w:val="en-US"/>
              </w:rPr>
              <w:t>a</w:t>
            </w:r>
            <w:proofErr w:type="gramEnd"/>
            <w:r w:rsidRPr="00440A3E">
              <w:rPr>
                <w:rFonts w:eastAsia="ArialMT"/>
                <w:color w:val="000000"/>
                <w:lang w:val="en-US"/>
              </w:rPr>
              <w:t xml:space="preserve"> asigura buna funcţionare a utilajului tehnic,</w:t>
            </w:r>
            <w:r>
              <w:rPr>
                <w:rFonts w:eastAsia="ArialMT"/>
                <w:color w:val="000000"/>
                <w:lang w:val="en-US"/>
              </w:rPr>
              <w:t xml:space="preserve"> formarea de stocuri de resurse </w:t>
            </w:r>
            <w:r w:rsidRPr="00440A3E">
              <w:rPr>
                <w:rFonts w:eastAsia="ArialMT"/>
                <w:color w:val="000000"/>
                <w:lang w:val="en-US"/>
              </w:rPr>
              <w:t>energetice (în special cele ecologice şi regenerabile), pregătirea încăperilor ş</w:t>
            </w:r>
            <w:r>
              <w:rPr>
                <w:rFonts w:eastAsia="ArialMT"/>
                <w:color w:val="000000"/>
                <w:lang w:val="en-US"/>
              </w:rPr>
              <w:t xml:space="preserve">i achitarea </w:t>
            </w:r>
            <w:r w:rsidRPr="00440A3E">
              <w:rPr>
                <w:rFonts w:eastAsia="ArialMT"/>
                <w:color w:val="000000"/>
                <w:lang w:val="en-US"/>
              </w:rPr>
              <w:t>datoriilor.</w:t>
            </w:r>
          </w:p>
          <w:p w:rsidR="007D7976" w:rsidRPr="00440A3E" w:rsidRDefault="007D7976" w:rsidP="007D7976">
            <w:pPr>
              <w:autoSpaceDE w:val="0"/>
              <w:autoSpaceDN w:val="0"/>
              <w:adjustRightInd w:val="0"/>
              <w:jc w:val="both"/>
              <w:rPr>
                <w:rFonts w:eastAsia="ArialMT"/>
                <w:color w:val="000000"/>
                <w:lang w:val="en-US"/>
              </w:rPr>
            </w:pPr>
            <w:r w:rsidRPr="00440A3E">
              <w:rPr>
                <w:rFonts w:eastAsia="Arial-BoldMT"/>
                <w:b/>
                <w:bCs/>
                <w:color w:val="000000"/>
                <w:lang w:val="en-US"/>
              </w:rPr>
              <w:t xml:space="preserve">d. Suficienţa argumentării. </w:t>
            </w:r>
            <w:r w:rsidRPr="00440A3E">
              <w:rPr>
                <w:rFonts w:eastAsia="ArialMT"/>
                <w:color w:val="000000"/>
                <w:lang w:val="en-US"/>
              </w:rPr>
              <w:t>Argumentele invocate de autor în nota informativă justifică</w:t>
            </w:r>
            <w:r>
              <w:rPr>
                <w:rFonts w:eastAsia="ArialMT"/>
                <w:color w:val="000000"/>
                <w:lang w:val="en-US"/>
              </w:rPr>
              <w:t xml:space="preserve"> </w:t>
            </w:r>
            <w:r w:rsidRPr="00440A3E">
              <w:rPr>
                <w:rFonts w:eastAsia="ArialMT"/>
                <w:color w:val="000000"/>
                <w:lang w:val="en-US"/>
              </w:rPr>
              <w:t>necesitatea promovării proiectului, fiind reliefate argumente elocvente, care evidenţiază</w:t>
            </w:r>
            <w:r>
              <w:rPr>
                <w:rFonts w:eastAsia="ArialMT"/>
                <w:color w:val="000000"/>
                <w:lang w:val="en-US"/>
              </w:rPr>
              <w:t xml:space="preserve"> </w:t>
            </w:r>
            <w:r w:rsidRPr="00440A3E">
              <w:rPr>
                <w:rFonts w:eastAsia="ArialMT"/>
                <w:color w:val="000000"/>
                <w:lang w:val="en-US"/>
              </w:rPr>
              <w:t>temeiul legal şi necesitatea elaborării proiectului. Astfel, considerăm că sunt î</w:t>
            </w:r>
            <w:r>
              <w:rPr>
                <w:rFonts w:eastAsia="ArialMT"/>
                <w:color w:val="000000"/>
                <w:lang w:val="en-US"/>
              </w:rPr>
              <w:t xml:space="preserve">ntrunite </w:t>
            </w:r>
            <w:r w:rsidRPr="00440A3E">
              <w:rPr>
                <w:rFonts w:eastAsia="ArialMT"/>
                <w:color w:val="000000"/>
                <w:lang w:val="en-US"/>
              </w:rPr>
              <w:t>exigenţele stabilite de prevederile art.37 lit.a) al Legii nr.317-XV/2003.</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1.2 Fundamentarea economico-financiară a proiectului</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 xml:space="preserve">Potrivit autorului, realizarea proiectului va fi asigurată </w:t>
            </w:r>
            <w:r>
              <w:rPr>
                <w:rFonts w:eastAsia="ArialMT"/>
                <w:color w:val="000000"/>
                <w:lang w:val="en-US"/>
              </w:rPr>
              <w:t xml:space="preserve">din contul mijloacelor bugetare </w:t>
            </w:r>
            <w:r w:rsidRPr="00440A3E">
              <w:rPr>
                <w:rFonts w:eastAsia="ArialMT"/>
                <w:color w:val="000000"/>
                <w:lang w:val="en-US"/>
              </w:rPr>
              <w:t>prevăzute pentru anul 2016.</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1.3 Promovarea sau prejudicierea intereselor de grup ori individuale, în lipsa uneijustifică</w:t>
            </w:r>
            <w:r>
              <w:rPr>
                <w:rFonts w:eastAsia="Arial-BoldItalicMT"/>
                <w:b/>
                <w:bCs/>
                <w:i/>
                <w:iCs/>
                <w:color w:val="0033CD"/>
                <w:lang w:val="en-US"/>
              </w:rPr>
              <w:t xml:space="preserve">ri a </w:t>
            </w:r>
            <w:r w:rsidRPr="00440A3E">
              <w:rPr>
                <w:rFonts w:eastAsia="Arial-BoldItalicMT"/>
                <w:b/>
                <w:bCs/>
                <w:i/>
                <w:iCs/>
                <w:color w:val="0033CD"/>
                <w:lang w:val="en-US"/>
              </w:rPr>
              <w:t>interesului public</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lastRenderedPageBreak/>
              <w:t>Implementarea proiectului va asigura pregătirea corespunzătoare a ţă</w:t>
            </w:r>
            <w:r>
              <w:rPr>
                <w:rFonts w:eastAsia="ArialMT"/>
                <w:color w:val="000000"/>
                <w:lang w:val="en-US"/>
              </w:rPr>
              <w:t xml:space="preserve">rii de sezonul rece al </w:t>
            </w:r>
            <w:r w:rsidRPr="00440A3E">
              <w:rPr>
                <w:rFonts w:eastAsia="ArialMT"/>
                <w:color w:val="000000"/>
                <w:lang w:val="en-US"/>
              </w:rPr>
              <w:t>anului. Respectiv, prevederile acestuia corespund interesului public general.</w:t>
            </w:r>
          </w:p>
          <w:p w:rsidR="007D7976" w:rsidRPr="00440A3E" w:rsidRDefault="007D7976" w:rsidP="007D7976">
            <w:pPr>
              <w:autoSpaceDE w:val="0"/>
              <w:autoSpaceDN w:val="0"/>
              <w:adjustRightInd w:val="0"/>
              <w:jc w:val="center"/>
              <w:rPr>
                <w:rFonts w:eastAsia="Arial-BoldMT"/>
                <w:b/>
                <w:bCs/>
                <w:color w:val="0033CD"/>
                <w:lang w:val="en-US"/>
              </w:rPr>
            </w:pPr>
            <w:r w:rsidRPr="00440A3E">
              <w:rPr>
                <w:rFonts w:eastAsia="Arial-BoldMT"/>
                <w:b/>
                <w:bCs/>
                <w:color w:val="0033CD"/>
                <w:lang w:val="en-US"/>
              </w:rPr>
              <w:t>2. Evaluarea compatibilităţ</w:t>
            </w:r>
            <w:r>
              <w:rPr>
                <w:rFonts w:eastAsia="Arial-BoldMT"/>
                <w:b/>
                <w:bCs/>
                <w:color w:val="0033CD"/>
                <w:lang w:val="en-US"/>
              </w:rPr>
              <w:t xml:space="preserve">ii proiectului cu standard </w:t>
            </w:r>
            <w:r w:rsidRPr="00440A3E">
              <w:rPr>
                <w:rFonts w:eastAsia="Arial-BoldMT"/>
                <w:b/>
                <w:bCs/>
                <w:color w:val="0033CD"/>
                <w:lang w:val="en-US"/>
              </w:rPr>
              <w:t>anticorupţie</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 xml:space="preserve">Proiectul supus expertizei nu reglementează expres domenii anticorupţie, motiv </w:t>
            </w:r>
            <w:r>
              <w:rPr>
                <w:rFonts w:eastAsia="ArialMT"/>
                <w:color w:val="000000"/>
                <w:lang w:val="en-US"/>
              </w:rPr>
              <w:t xml:space="preserve">din care </w:t>
            </w:r>
            <w:r w:rsidRPr="00440A3E">
              <w:rPr>
                <w:rFonts w:eastAsia="ArialMT"/>
                <w:color w:val="000000"/>
                <w:lang w:val="en-US"/>
              </w:rPr>
              <w:t>compatibilitatea acestuia cu standardele internaţionale anticorupţie nu este evaluată</w:t>
            </w:r>
            <w:r>
              <w:rPr>
                <w:rFonts w:eastAsia="ArialMT"/>
                <w:color w:val="000000"/>
                <w:lang w:val="en-US"/>
              </w:rPr>
              <w:t xml:space="preserve">. </w:t>
            </w:r>
            <w:r w:rsidRPr="00440A3E">
              <w:rPr>
                <w:rFonts w:eastAsia="ArialMT"/>
                <w:color w:val="000000"/>
                <w:lang w:val="en-US"/>
              </w:rPr>
              <w:t>Totodată, date fiind obiecţiile expuse în acest raport cu privire la neî</w:t>
            </w:r>
            <w:r>
              <w:rPr>
                <w:rFonts w:eastAsia="ArialMT"/>
                <w:color w:val="000000"/>
                <w:lang w:val="en-US"/>
              </w:rPr>
              <w:t xml:space="preserve">ntrunirea rigorilor de </w:t>
            </w:r>
            <w:r w:rsidRPr="00440A3E">
              <w:rPr>
                <w:rFonts w:eastAsia="ArialMT"/>
                <w:color w:val="000000"/>
                <w:lang w:val="en-US"/>
              </w:rPr>
              <w:t>expertiză anticorupţie, considerăm proiectul insuficient compatibil cu standardele naţ</w:t>
            </w:r>
            <w:r>
              <w:rPr>
                <w:rFonts w:eastAsia="ArialMT"/>
                <w:color w:val="000000"/>
                <w:lang w:val="en-US"/>
              </w:rPr>
              <w:t xml:space="preserve">ionale </w:t>
            </w:r>
            <w:r w:rsidRPr="00440A3E">
              <w:rPr>
                <w:rFonts w:eastAsia="ArialMT"/>
                <w:color w:val="000000"/>
                <w:lang w:val="en-US"/>
              </w:rPr>
              <w:t>anticorupţie.</w:t>
            </w:r>
          </w:p>
          <w:p w:rsidR="007D7976" w:rsidRPr="00440A3E" w:rsidRDefault="007D7976" w:rsidP="007D7976">
            <w:pPr>
              <w:autoSpaceDE w:val="0"/>
              <w:autoSpaceDN w:val="0"/>
              <w:adjustRightInd w:val="0"/>
              <w:jc w:val="both"/>
              <w:rPr>
                <w:rFonts w:eastAsia="ArialMT"/>
                <w:color w:val="000000"/>
                <w:lang w:val="en-US"/>
              </w:rPr>
            </w:pPr>
            <w:r w:rsidRPr="00440A3E">
              <w:rPr>
                <w:rFonts w:eastAsia="Arial-BoldMT"/>
                <w:b/>
                <w:bCs/>
                <w:color w:val="000000"/>
                <w:lang w:val="en-US"/>
              </w:rPr>
              <w:t xml:space="preserve">Asigurarea transparenţei în procesul decizional. </w:t>
            </w:r>
            <w:r w:rsidRPr="00440A3E">
              <w:rPr>
                <w:rFonts w:eastAsia="ArialMT"/>
                <w:color w:val="000000"/>
                <w:lang w:val="en-US"/>
              </w:rPr>
              <w:t>Fiind plasat pe pagina web oficială</w:t>
            </w:r>
            <w:r>
              <w:rPr>
                <w:rFonts w:eastAsia="ArialMT"/>
                <w:color w:val="000000"/>
                <w:lang w:val="en-US"/>
              </w:rPr>
              <w:t xml:space="preserve"> a </w:t>
            </w:r>
            <w:r w:rsidRPr="00440A3E">
              <w:rPr>
                <w:rFonts w:eastAsia="ArialMT"/>
                <w:color w:val="000000"/>
                <w:lang w:val="en-US"/>
              </w:rPr>
              <w:t>Ministerului Economiei la momentul examinării, proiectul întruneşte cerinţ</w:t>
            </w:r>
            <w:r>
              <w:rPr>
                <w:rFonts w:eastAsia="ArialMT"/>
                <w:color w:val="000000"/>
                <w:lang w:val="en-US"/>
              </w:rPr>
              <w:t xml:space="preserve">ele impuse de </w:t>
            </w:r>
            <w:r w:rsidRPr="00440A3E">
              <w:rPr>
                <w:rFonts w:eastAsia="ArialMT"/>
                <w:color w:val="000000"/>
                <w:lang w:val="en-US"/>
              </w:rPr>
              <w:t>prevederile Legii privind transparenţa în procesul decizional nr. 239-XVI din 13.11.2008.</w:t>
            </w:r>
          </w:p>
          <w:p w:rsidR="007D7976" w:rsidRPr="00440A3E" w:rsidRDefault="007D7976" w:rsidP="007D7976">
            <w:pPr>
              <w:autoSpaceDE w:val="0"/>
              <w:autoSpaceDN w:val="0"/>
              <w:adjustRightInd w:val="0"/>
              <w:jc w:val="center"/>
              <w:rPr>
                <w:rFonts w:eastAsia="Arial-BoldMT"/>
                <w:b/>
                <w:bCs/>
                <w:color w:val="0033CD"/>
                <w:lang w:val="en-US"/>
              </w:rPr>
            </w:pPr>
            <w:r w:rsidRPr="00440A3E">
              <w:rPr>
                <w:rFonts w:eastAsia="Arial-BoldMT"/>
                <w:b/>
                <w:bCs/>
                <w:color w:val="0033CD"/>
                <w:lang w:val="en-US"/>
              </w:rPr>
              <w:t>II. EVALUAREA ÎN FOND A PROIECTULUI</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1. Formulări lingvistice ambigui</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Textul proiectului corespunde tehnicii legislative şi normative, regulilor limbajului ş</w:t>
            </w:r>
            <w:r>
              <w:rPr>
                <w:rFonts w:eastAsia="ArialMT"/>
                <w:color w:val="000000"/>
                <w:lang w:val="en-US"/>
              </w:rPr>
              <w:t xml:space="preserve">i expresiei </w:t>
            </w:r>
            <w:r w:rsidRPr="00440A3E">
              <w:rPr>
                <w:rFonts w:eastAsia="ArialMT"/>
                <w:color w:val="000000"/>
                <w:lang w:val="en-US"/>
              </w:rPr>
              <w:t>juridice.</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2. Conflicte ale normelor de drept</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Nu sînt identificate conflicte ale normelor de drept, capabile să genereze coruptibilitate.</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3. Norme de trimitere, de blanchetă şi norme în alb</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Nu sînt identificate norme de trimitere, de blanchetă şi norme în alb, capabile să</w:t>
            </w:r>
            <w:r>
              <w:rPr>
                <w:rFonts w:eastAsia="ArialMT"/>
                <w:color w:val="000000"/>
                <w:lang w:val="en-US"/>
              </w:rPr>
              <w:t xml:space="preserve"> genereze </w:t>
            </w:r>
            <w:r w:rsidRPr="00440A3E">
              <w:rPr>
                <w:rFonts w:eastAsia="ArialMT"/>
                <w:color w:val="000000"/>
                <w:lang w:val="en-US"/>
              </w:rPr>
              <w:t>coruptibilitate.</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4. Discreţii excesive ale autorităţilor publice</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Nu sînt identificate discreţii excesive ale autorităţilor publice, capabile să</w:t>
            </w:r>
            <w:r>
              <w:rPr>
                <w:rFonts w:eastAsia="ArialMT"/>
                <w:color w:val="000000"/>
                <w:lang w:val="en-US"/>
              </w:rPr>
              <w:t xml:space="preserve"> genereze </w:t>
            </w:r>
            <w:r w:rsidRPr="00440A3E">
              <w:rPr>
                <w:rFonts w:eastAsia="ArialMT"/>
                <w:color w:val="000000"/>
                <w:lang w:val="en-US"/>
              </w:rPr>
              <w:t>coruptibilitate.</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5. Cerinţe excesive pentru exercitarea drepturilor persoanelor</w:t>
            </w:r>
          </w:p>
          <w:p w:rsidR="007D7976" w:rsidRPr="00440A3E" w:rsidRDefault="007D7976" w:rsidP="007D7976">
            <w:pPr>
              <w:autoSpaceDE w:val="0"/>
              <w:autoSpaceDN w:val="0"/>
              <w:adjustRightInd w:val="0"/>
              <w:jc w:val="both"/>
              <w:rPr>
                <w:rFonts w:eastAsia="Arial-BoldMT"/>
                <w:b/>
                <w:bCs/>
                <w:color w:val="000000"/>
                <w:lang w:val="en-US"/>
              </w:rPr>
            </w:pPr>
            <w:r w:rsidRPr="00440A3E">
              <w:rPr>
                <w:rFonts w:eastAsia="Arial-BoldMT"/>
                <w:b/>
                <w:bCs/>
                <w:color w:val="000000"/>
                <w:lang w:val="en-US"/>
              </w:rPr>
              <w:t>Pct.2 lit.r) să organizeze, pînă la 15 septembrie 2016, inventarierea încă</w:t>
            </w:r>
            <w:r>
              <w:rPr>
                <w:rFonts w:eastAsia="Arial-BoldMT"/>
                <w:b/>
                <w:bCs/>
                <w:color w:val="000000"/>
                <w:lang w:val="en-US"/>
              </w:rPr>
              <w:t xml:space="preserve">perilor </w:t>
            </w:r>
            <w:r w:rsidRPr="00440A3E">
              <w:rPr>
                <w:rFonts w:eastAsia="Arial-BoldMT"/>
                <w:b/>
                <w:bCs/>
                <w:color w:val="000000"/>
                <w:lang w:val="en-US"/>
              </w:rPr>
              <w:t>nelocuibile în cadrul blocurilor locative, indiferent de forma de proprietate, ş</w:t>
            </w:r>
            <w:r>
              <w:rPr>
                <w:rFonts w:eastAsia="Arial-BoldMT"/>
                <w:b/>
                <w:bCs/>
                <w:color w:val="000000"/>
                <w:lang w:val="en-US"/>
              </w:rPr>
              <w:t xml:space="preserve">i a </w:t>
            </w:r>
            <w:r w:rsidRPr="00440A3E">
              <w:rPr>
                <w:rFonts w:eastAsia="Arial-BoldMT"/>
                <w:b/>
                <w:bCs/>
                <w:color w:val="000000"/>
                <w:lang w:val="en-US"/>
              </w:rPr>
              <w:t>sistemelor colective de alimentare cu energie termică, pentru identificarea faptelor de</w:t>
            </w:r>
            <w:r w:rsidR="00A22FD5">
              <w:rPr>
                <w:rFonts w:eastAsia="Arial-BoldMT"/>
                <w:b/>
                <w:bCs/>
                <w:color w:val="000000"/>
                <w:lang w:val="en-US"/>
              </w:rPr>
              <w:t xml:space="preserve"> </w:t>
            </w:r>
            <w:r w:rsidRPr="00440A3E">
              <w:rPr>
                <w:rFonts w:eastAsia="Arial-BoldMT"/>
                <w:b/>
                <w:bCs/>
                <w:color w:val="000000"/>
                <w:lang w:val="en-US"/>
              </w:rPr>
              <w:t>eschivare a agenţilor economici de la încheiere</w:t>
            </w:r>
            <w:r>
              <w:rPr>
                <w:rFonts w:eastAsia="Arial-BoldMT"/>
                <w:b/>
                <w:bCs/>
                <w:color w:val="000000"/>
                <w:lang w:val="en-US"/>
              </w:rPr>
              <w:t xml:space="preserve">a contractelor pentru prestarea </w:t>
            </w:r>
            <w:r w:rsidRPr="00440A3E">
              <w:rPr>
                <w:rFonts w:eastAsia="Arial-BoldMT"/>
                <w:b/>
                <w:bCs/>
                <w:color w:val="000000"/>
                <w:lang w:val="en-US"/>
              </w:rPr>
              <w:t>serviciilor comunale, în vederea semnării contractelor respective şi să</w:t>
            </w:r>
            <w:r>
              <w:rPr>
                <w:rFonts w:eastAsia="Arial-BoldMT"/>
                <w:b/>
                <w:bCs/>
                <w:color w:val="000000"/>
                <w:lang w:val="en-US"/>
              </w:rPr>
              <w:t xml:space="preserve"> intensifice </w:t>
            </w:r>
            <w:r w:rsidRPr="00440A3E">
              <w:rPr>
                <w:rFonts w:eastAsia="Arial-BoldMT"/>
                <w:b/>
                <w:bCs/>
                <w:color w:val="000000"/>
                <w:lang w:val="en-US"/>
              </w:rPr>
              <w:t>activitatea comisiilor administrative în acest sens.</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 xml:space="preserve">Autorul stabileşte o obligaţie excesivă prin impunerea agenţilor economici de </w:t>
            </w:r>
            <w:proofErr w:type="gramStart"/>
            <w:r w:rsidRPr="00440A3E">
              <w:rPr>
                <w:rFonts w:eastAsia="ArialMT"/>
                <w:color w:val="000000"/>
                <w:lang w:val="en-US"/>
              </w:rPr>
              <w:t>a</w:t>
            </w:r>
            <w:proofErr w:type="gramEnd"/>
            <w:r w:rsidRPr="00440A3E">
              <w:rPr>
                <w:rFonts w:eastAsia="ArialMT"/>
                <w:color w:val="000000"/>
                <w:lang w:val="en-US"/>
              </w:rPr>
              <w:t xml:space="preserve"> î</w:t>
            </w:r>
            <w:r>
              <w:rPr>
                <w:rFonts w:eastAsia="ArialMT"/>
                <w:color w:val="000000"/>
                <w:lang w:val="en-US"/>
              </w:rPr>
              <w:t xml:space="preserve">ncheia </w:t>
            </w:r>
            <w:r w:rsidRPr="00440A3E">
              <w:rPr>
                <w:rFonts w:eastAsia="ArialMT"/>
                <w:color w:val="000000"/>
                <w:lang w:val="en-US"/>
              </w:rPr>
              <w:t>contracte privind prestarea serviciilor comunale.</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Menţionăm, că potrivit art.667 alin</w:t>
            </w:r>
            <w:proofErr w:type="gramStart"/>
            <w:r w:rsidRPr="00440A3E">
              <w:rPr>
                <w:rFonts w:eastAsia="ArialMT"/>
                <w:color w:val="000000"/>
                <w:lang w:val="en-US"/>
              </w:rPr>
              <w:t>.(</w:t>
            </w:r>
            <w:proofErr w:type="gramEnd"/>
            <w:r w:rsidRPr="00440A3E">
              <w:rPr>
                <w:rFonts w:eastAsia="ArialMT"/>
                <w:color w:val="000000"/>
                <w:lang w:val="en-US"/>
              </w:rPr>
              <w:t>2) din Codul civil obligarea la încheierea unui contract</w:t>
            </w:r>
            <w:r>
              <w:rPr>
                <w:rFonts w:eastAsia="ArialMT"/>
                <w:color w:val="000000"/>
                <w:lang w:val="en-US"/>
              </w:rPr>
              <w:t xml:space="preserve"> </w:t>
            </w:r>
            <w:r w:rsidRPr="00440A3E">
              <w:rPr>
                <w:rFonts w:eastAsia="ArialMT"/>
                <w:color w:val="000000"/>
                <w:lang w:val="en-US"/>
              </w:rPr>
              <w:t>este interzisă.</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Astfel, evidenţiem că prestatorii de servicii comunale ar putea aplica şi alte pîrghii legale î</w:t>
            </w:r>
            <w:r>
              <w:rPr>
                <w:rFonts w:eastAsia="ArialMT"/>
                <w:color w:val="000000"/>
                <w:lang w:val="en-US"/>
              </w:rPr>
              <w:t xml:space="preserve">n </w:t>
            </w:r>
            <w:r w:rsidRPr="00440A3E">
              <w:rPr>
                <w:rFonts w:eastAsia="ArialMT"/>
                <w:color w:val="000000"/>
                <w:lang w:val="en-US"/>
              </w:rPr>
              <w:t>vederea identificării şi contracarării faptelor de folosire ilicită a</w:t>
            </w:r>
            <w:r>
              <w:rPr>
                <w:rFonts w:eastAsia="ArialMT"/>
                <w:color w:val="000000"/>
                <w:lang w:val="en-US"/>
              </w:rPr>
              <w:t xml:space="preserve"> serviciilor comunale cum ar </w:t>
            </w:r>
            <w:r>
              <w:rPr>
                <w:rFonts w:eastAsia="ArialMT"/>
                <w:color w:val="000000"/>
                <w:lang w:val="en-US"/>
              </w:rPr>
              <w:lastRenderedPageBreak/>
              <w:t xml:space="preserve">fi </w:t>
            </w:r>
            <w:r w:rsidRPr="00440A3E">
              <w:rPr>
                <w:rFonts w:eastAsia="ArialMT"/>
                <w:color w:val="000000"/>
                <w:lang w:val="en-US"/>
              </w:rPr>
              <w:t>debranşarea.</w:t>
            </w:r>
          </w:p>
          <w:p w:rsidR="00A22FD5" w:rsidRDefault="007D7976" w:rsidP="007D7976">
            <w:pPr>
              <w:autoSpaceDE w:val="0"/>
              <w:autoSpaceDN w:val="0"/>
              <w:adjustRightInd w:val="0"/>
              <w:jc w:val="both"/>
              <w:rPr>
                <w:rFonts w:eastAsia="Arial-BoldItalicMT"/>
                <w:b/>
                <w:bCs/>
                <w:i/>
                <w:iCs/>
                <w:color w:val="000000"/>
                <w:lang w:val="en-US"/>
              </w:rPr>
            </w:pPr>
            <w:r w:rsidRPr="00440A3E">
              <w:rPr>
                <w:rFonts w:eastAsia="Arial-BoldItalicMT"/>
                <w:b/>
                <w:bCs/>
                <w:i/>
                <w:iCs/>
                <w:color w:val="000000"/>
                <w:lang w:val="en-US"/>
              </w:rPr>
              <w:t>Recomandarea: Norma necesită a fi completată în vederea stabilirii dreptului agenţ</w:t>
            </w:r>
            <w:r>
              <w:rPr>
                <w:rFonts w:eastAsia="Arial-BoldItalicMT"/>
                <w:b/>
                <w:bCs/>
                <w:i/>
                <w:iCs/>
                <w:color w:val="000000"/>
                <w:lang w:val="en-US"/>
              </w:rPr>
              <w:t xml:space="preserve">ilor </w:t>
            </w:r>
            <w:r w:rsidRPr="00440A3E">
              <w:rPr>
                <w:rFonts w:eastAsia="Arial-BoldItalicMT"/>
                <w:b/>
                <w:bCs/>
                <w:i/>
                <w:iCs/>
                <w:color w:val="000000"/>
                <w:lang w:val="en-US"/>
              </w:rPr>
              <w:t xml:space="preserve">economici de </w:t>
            </w:r>
            <w:proofErr w:type="gramStart"/>
            <w:r w:rsidRPr="00440A3E">
              <w:rPr>
                <w:rFonts w:eastAsia="Arial-BoldItalicMT"/>
                <w:b/>
                <w:bCs/>
                <w:i/>
                <w:iCs/>
                <w:color w:val="000000"/>
                <w:lang w:val="en-US"/>
              </w:rPr>
              <w:t>a</w:t>
            </w:r>
            <w:proofErr w:type="gramEnd"/>
            <w:r w:rsidRPr="00440A3E">
              <w:rPr>
                <w:rFonts w:eastAsia="Arial-BoldItalicMT"/>
                <w:b/>
                <w:bCs/>
                <w:i/>
                <w:iCs/>
                <w:color w:val="000000"/>
                <w:lang w:val="en-US"/>
              </w:rPr>
              <w:t xml:space="preserve"> încheia contracte sau de a fi debranşaţ</w:t>
            </w:r>
            <w:r>
              <w:rPr>
                <w:rFonts w:eastAsia="Arial-BoldItalicMT"/>
                <w:b/>
                <w:bCs/>
                <w:i/>
                <w:iCs/>
                <w:color w:val="000000"/>
                <w:lang w:val="en-US"/>
              </w:rPr>
              <w:t xml:space="preserve">i de la serviciile comunale. </w:t>
            </w:r>
          </w:p>
          <w:p w:rsidR="0094270E" w:rsidRDefault="0094270E" w:rsidP="007D7976">
            <w:pPr>
              <w:autoSpaceDE w:val="0"/>
              <w:autoSpaceDN w:val="0"/>
              <w:adjustRightInd w:val="0"/>
              <w:jc w:val="both"/>
              <w:rPr>
                <w:rFonts w:eastAsia="Arial-BoldItalicMT"/>
                <w:b/>
                <w:bCs/>
                <w:i/>
                <w:iCs/>
                <w:color w:val="000000"/>
                <w:lang w:val="en-US"/>
              </w:rPr>
            </w:pPr>
          </w:p>
          <w:p w:rsidR="0094270E" w:rsidRDefault="0094270E" w:rsidP="007D7976">
            <w:pPr>
              <w:autoSpaceDE w:val="0"/>
              <w:autoSpaceDN w:val="0"/>
              <w:adjustRightInd w:val="0"/>
              <w:jc w:val="both"/>
              <w:rPr>
                <w:rFonts w:eastAsia="Arial-BoldItalicMT"/>
                <w:b/>
                <w:bCs/>
                <w:i/>
                <w:iCs/>
                <w:color w:val="000000"/>
                <w:lang w:val="en-US"/>
              </w:rPr>
            </w:pPr>
          </w:p>
          <w:p w:rsidR="0094270E" w:rsidRDefault="0094270E" w:rsidP="007D7976">
            <w:pPr>
              <w:autoSpaceDE w:val="0"/>
              <w:autoSpaceDN w:val="0"/>
              <w:adjustRightInd w:val="0"/>
              <w:jc w:val="both"/>
              <w:rPr>
                <w:rFonts w:eastAsia="Arial-BoldItalicMT"/>
                <w:b/>
                <w:bCs/>
                <w:i/>
                <w:iCs/>
                <w:color w:val="000000"/>
                <w:lang w:val="en-US"/>
              </w:rPr>
            </w:pPr>
          </w:p>
          <w:p w:rsidR="0094270E" w:rsidRDefault="0094270E" w:rsidP="007D7976">
            <w:pPr>
              <w:autoSpaceDE w:val="0"/>
              <w:autoSpaceDN w:val="0"/>
              <w:adjustRightInd w:val="0"/>
              <w:jc w:val="both"/>
              <w:rPr>
                <w:rFonts w:eastAsia="Arial-BoldItalicMT"/>
                <w:b/>
                <w:bCs/>
                <w:i/>
                <w:iCs/>
                <w:color w:val="000000"/>
                <w:lang w:val="en-US"/>
              </w:rPr>
            </w:pPr>
          </w:p>
          <w:p w:rsidR="00B47E2D" w:rsidRDefault="00B47E2D" w:rsidP="007D7976">
            <w:pPr>
              <w:autoSpaceDE w:val="0"/>
              <w:autoSpaceDN w:val="0"/>
              <w:adjustRightInd w:val="0"/>
              <w:jc w:val="both"/>
              <w:rPr>
                <w:rFonts w:eastAsia="Arial-BoldItalicMT"/>
                <w:b/>
                <w:bCs/>
                <w:i/>
                <w:iCs/>
                <w:color w:val="000000"/>
                <w:lang w:val="en-US"/>
              </w:rPr>
            </w:pPr>
          </w:p>
          <w:p w:rsidR="00B47E2D" w:rsidRDefault="00B47E2D" w:rsidP="007D7976">
            <w:pPr>
              <w:autoSpaceDE w:val="0"/>
              <w:autoSpaceDN w:val="0"/>
              <w:adjustRightInd w:val="0"/>
              <w:jc w:val="both"/>
              <w:rPr>
                <w:rFonts w:eastAsia="Arial-BoldItalicMT"/>
                <w:b/>
                <w:bCs/>
                <w:i/>
                <w:iCs/>
                <w:color w:val="000000"/>
                <w:lang w:val="en-US"/>
              </w:rPr>
            </w:pPr>
          </w:p>
          <w:p w:rsidR="00B47E2D" w:rsidRDefault="00B47E2D" w:rsidP="007D7976">
            <w:pPr>
              <w:autoSpaceDE w:val="0"/>
              <w:autoSpaceDN w:val="0"/>
              <w:adjustRightInd w:val="0"/>
              <w:jc w:val="both"/>
              <w:rPr>
                <w:rFonts w:eastAsia="Arial-BoldItalicMT"/>
                <w:b/>
                <w:bCs/>
                <w:i/>
                <w:iCs/>
                <w:color w:val="000000"/>
                <w:lang w:val="en-US"/>
              </w:rPr>
            </w:pPr>
          </w:p>
          <w:p w:rsidR="00B47E2D" w:rsidRDefault="00B47E2D" w:rsidP="007D7976">
            <w:pPr>
              <w:autoSpaceDE w:val="0"/>
              <w:autoSpaceDN w:val="0"/>
              <w:adjustRightInd w:val="0"/>
              <w:jc w:val="both"/>
              <w:rPr>
                <w:rFonts w:eastAsia="Arial-BoldItalicMT"/>
                <w:b/>
                <w:bCs/>
                <w:i/>
                <w:iCs/>
                <w:color w:val="000000"/>
                <w:lang w:val="en-US"/>
              </w:rPr>
            </w:pPr>
          </w:p>
          <w:p w:rsidR="00B47E2D" w:rsidRDefault="00B47E2D" w:rsidP="007D7976">
            <w:pPr>
              <w:autoSpaceDE w:val="0"/>
              <w:autoSpaceDN w:val="0"/>
              <w:adjustRightInd w:val="0"/>
              <w:jc w:val="both"/>
              <w:rPr>
                <w:rFonts w:eastAsia="Arial-BoldItalicMT"/>
                <w:b/>
                <w:bCs/>
                <w:i/>
                <w:iCs/>
                <w:color w:val="000000"/>
                <w:lang w:val="en-US"/>
              </w:rPr>
            </w:pPr>
          </w:p>
          <w:p w:rsidR="007D7976" w:rsidRPr="00440A3E" w:rsidRDefault="007D7976" w:rsidP="007D7976">
            <w:pPr>
              <w:autoSpaceDE w:val="0"/>
              <w:autoSpaceDN w:val="0"/>
              <w:adjustRightInd w:val="0"/>
              <w:jc w:val="both"/>
              <w:rPr>
                <w:rFonts w:eastAsia="Arial-BoldItalicMT"/>
                <w:b/>
                <w:bCs/>
                <w:i/>
                <w:iCs/>
                <w:color w:val="000000"/>
                <w:lang w:val="en-US"/>
              </w:rPr>
            </w:pPr>
            <w:r w:rsidRPr="00440A3E">
              <w:rPr>
                <w:rFonts w:eastAsia="Arial-BoldMT"/>
                <w:b/>
                <w:bCs/>
                <w:color w:val="000000"/>
                <w:lang w:val="en-US"/>
              </w:rPr>
              <w:t>Pct.8 Ministerul Mediului lit.b) [...] va asigura în limita stocurilor disponibile</w:t>
            </w:r>
            <w:r>
              <w:rPr>
                <w:rFonts w:eastAsia="Arial-BoldItalicMT"/>
                <w:b/>
                <w:bCs/>
                <w:i/>
                <w:iCs/>
                <w:color w:val="000000"/>
                <w:lang w:val="en-US"/>
              </w:rPr>
              <w:t xml:space="preserve"> </w:t>
            </w:r>
            <w:r w:rsidRPr="00440A3E">
              <w:rPr>
                <w:rFonts w:eastAsia="Arial-BoldMT"/>
                <w:b/>
                <w:bCs/>
                <w:color w:val="000000"/>
                <w:lang w:val="en-US"/>
              </w:rPr>
              <w:t>aprovizionarea persoanelor fizice şi juridice cu resurse de masă lemnoasă în calitate</w:t>
            </w:r>
            <w:r>
              <w:rPr>
                <w:rFonts w:eastAsia="Arial-BoldItalicMT"/>
                <w:b/>
                <w:bCs/>
                <w:i/>
                <w:iCs/>
                <w:color w:val="000000"/>
                <w:lang w:val="en-US"/>
              </w:rPr>
              <w:t xml:space="preserve"> </w:t>
            </w:r>
            <w:r w:rsidRPr="00440A3E">
              <w:rPr>
                <w:rFonts w:eastAsia="Arial-BoldMT"/>
                <w:b/>
                <w:bCs/>
                <w:color w:val="000000"/>
                <w:lang w:val="en-US"/>
              </w:rPr>
              <w:t>de combustibil.</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 xml:space="preserve">Este salutabilă intenţia de </w:t>
            </w:r>
            <w:proofErr w:type="gramStart"/>
            <w:r w:rsidRPr="00440A3E">
              <w:rPr>
                <w:rFonts w:eastAsia="ArialMT"/>
                <w:color w:val="000000"/>
                <w:lang w:val="en-US"/>
              </w:rPr>
              <w:t>a</w:t>
            </w:r>
            <w:proofErr w:type="gramEnd"/>
            <w:r w:rsidRPr="00440A3E">
              <w:rPr>
                <w:rFonts w:eastAsia="ArialMT"/>
                <w:color w:val="000000"/>
                <w:lang w:val="en-US"/>
              </w:rPr>
              <w:t xml:space="preserve"> asigura cu resurse de masă lemnoasă persoanele fizice ş</w:t>
            </w:r>
            <w:r>
              <w:rPr>
                <w:rFonts w:eastAsia="ArialMT"/>
                <w:color w:val="000000"/>
                <w:lang w:val="en-US"/>
              </w:rPr>
              <w:t xml:space="preserve">i </w:t>
            </w:r>
            <w:r w:rsidRPr="00440A3E">
              <w:rPr>
                <w:rFonts w:eastAsia="ArialMT"/>
                <w:color w:val="000000"/>
                <w:lang w:val="en-US"/>
              </w:rPr>
              <w:t>juri</w:t>
            </w:r>
            <w:r>
              <w:rPr>
                <w:rFonts w:eastAsia="ArialMT"/>
                <w:color w:val="000000"/>
                <w:lang w:val="en-US"/>
              </w:rPr>
              <w:t xml:space="preserve">dice pe perioada rece a anului. </w:t>
            </w:r>
            <w:r w:rsidRPr="00440A3E">
              <w:rPr>
                <w:rFonts w:eastAsia="ArialMT"/>
                <w:color w:val="000000"/>
                <w:lang w:val="en-US"/>
              </w:rPr>
              <w:t>Totodată, în lipsa unui mecanism de selectare a beneficiarilor, există riscul repartiză</w:t>
            </w:r>
            <w:r>
              <w:rPr>
                <w:rFonts w:eastAsia="ArialMT"/>
                <w:color w:val="000000"/>
                <w:lang w:val="en-US"/>
              </w:rPr>
              <w:t xml:space="preserve">rii </w:t>
            </w:r>
            <w:r w:rsidRPr="00440A3E">
              <w:rPr>
                <w:rFonts w:eastAsia="ArialMT"/>
                <w:color w:val="000000"/>
                <w:lang w:val="en-US"/>
              </w:rPr>
              <w:t>resurselor forestiere în mod discreţionar, pe criterii de rudenie, apartenenţă politică etc. fără</w:t>
            </w:r>
            <w:r>
              <w:rPr>
                <w:rFonts w:eastAsia="ArialMT"/>
                <w:color w:val="000000"/>
                <w:lang w:val="en-US"/>
              </w:rPr>
              <w:t xml:space="preserve"> a </w:t>
            </w:r>
            <w:r w:rsidRPr="00440A3E">
              <w:rPr>
                <w:rFonts w:eastAsia="ArialMT"/>
                <w:color w:val="000000"/>
                <w:lang w:val="en-US"/>
              </w:rPr>
              <w:t>ţine cont de condiţiile materiale ale solicitanţilor de ajutor.</w:t>
            </w:r>
          </w:p>
          <w:p w:rsidR="007D7976" w:rsidRDefault="007D7976" w:rsidP="007D7976">
            <w:pPr>
              <w:autoSpaceDE w:val="0"/>
              <w:autoSpaceDN w:val="0"/>
              <w:adjustRightInd w:val="0"/>
              <w:jc w:val="both"/>
              <w:rPr>
                <w:rFonts w:eastAsia="Arial-BoldItalicMT"/>
                <w:b/>
                <w:bCs/>
                <w:i/>
                <w:iCs/>
                <w:color w:val="000000"/>
                <w:lang w:val="en-US"/>
              </w:rPr>
            </w:pPr>
            <w:r w:rsidRPr="00440A3E">
              <w:rPr>
                <w:rFonts w:eastAsia="Arial-BoldItalicMT"/>
                <w:b/>
                <w:bCs/>
                <w:i/>
                <w:iCs/>
                <w:color w:val="000000"/>
                <w:lang w:val="en-US"/>
              </w:rPr>
              <w:t>Recomandarea: Se recomandă autorului instituirea obligativităţ</w:t>
            </w:r>
            <w:r>
              <w:rPr>
                <w:rFonts w:eastAsia="Arial-BoldItalicMT"/>
                <w:b/>
                <w:bCs/>
                <w:i/>
                <w:iCs/>
                <w:color w:val="000000"/>
                <w:lang w:val="en-US"/>
              </w:rPr>
              <w:t xml:space="preserve">ii Ministerului Mediului </w:t>
            </w:r>
            <w:r w:rsidRPr="00440A3E">
              <w:rPr>
                <w:rFonts w:eastAsia="Arial-BoldItalicMT"/>
                <w:b/>
                <w:bCs/>
                <w:i/>
                <w:iCs/>
                <w:color w:val="000000"/>
                <w:lang w:val="en-US"/>
              </w:rPr>
              <w:t xml:space="preserve">de </w:t>
            </w:r>
            <w:proofErr w:type="gramStart"/>
            <w:r w:rsidRPr="00440A3E">
              <w:rPr>
                <w:rFonts w:eastAsia="Arial-BoldItalicMT"/>
                <w:b/>
                <w:bCs/>
                <w:i/>
                <w:iCs/>
                <w:color w:val="000000"/>
                <w:lang w:val="en-US"/>
              </w:rPr>
              <w:t>a</w:t>
            </w:r>
            <w:proofErr w:type="gramEnd"/>
            <w:r w:rsidRPr="00440A3E">
              <w:rPr>
                <w:rFonts w:eastAsia="Arial-BoldItalicMT"/>
                <w:b/>
                <w:bCs/>
                <w:i/>
                <w:iCs/>
                <w:color w:val="000000"/>
                <w:lang w:val="en-US"/>
              </w:rPr>
              <w:t xml:space="preserve"> elabora un mecanism echitabil şi transparent conform căruia urmează</w:t>
            </w:r>
            <w:r>
              <w:rPr>
                <w:rFonts w:eastAsia="Arial-BoldItalicMT"/>
                <w:b/>
                <w:bCs/>
                <w:i/>
                <w:iCs/>
                <w:color w:val="000000"/>
                <w:lang w:val="en-US"/>
              </w:rPr>
              <w:t xml:space="preserve"> a fi </w:t>
            </w:r>
            <w:r w:rsidRPr="00440A3E">
              <w:rPr>
                <w:rFonts w:eastAsia="Arial-BoldItalicMT"/>
                <w:b/>
                <w:bCs/>
                <w:i/>
                <w:iCs/>
                <w:color w:val="000000"/>
                <w:lang w:val="en-US"/>
              </w:rPr>
              <w:t>repartizate stocurile de masă lemnoasă.</w:t>
            </w:r>
          </w:p>
          <w:p w:rsidR="00B47E2D" w:rsidRDefault="00B47E2D" w:rsidP="007D7976">
            <w:pPr>
              <w:autoSpaceDE w:val="0"/>
              <w:autoSpaceDN w:val="0"/>
              <w:adjustRightInd w:val="0"/>
              <w:jc w:val="both"/>
              <w:rPr>
                <w:rFonts w:eastAsia="Arial-BoldItalicMT"/>
                <w:b/>
                <w:bCs/>
                <w:i/>
                <w:iCs/>
                <w:color w:val="000000"/>
                <w:lang w:val="en-US"/>
              </w:rPr>
            </w:pPr>
          </w:p>
          <w:p w:rsidR="00B47E2D" w:rsidRDefault="00B47E2D" w:rsidP="007D7976">
            <w:pPr>
              <w:autoSpaceDE w:val="0"/>
              <w:autoSpaceDN w:val="0"/>
              <w:adjustRightInd w:val="0"/>
              <w:jc w:val="both"/>
              <w:rPr>
                <w:rFonts w:eastAsia="Arial-BoldItalicMT"/>
                <w:b/>
                <w:bCs/>
                <w:i/>
                <w:iCs/>
                <w:color w:val="000000"/>
                <w:lang w:val="en-US"/>
              </w:rPr>
            </w:pPr>
          </w:p>
          <w:p w:rsidR="00B47E2D" w:rsidRPr="00440A3E" w:rsidRDefault="00B47E2D" w:rsidP="007D7976">
            <w:pPr>
              <w:autoSpaceDE w:val="0"/>
              <w:autoSpaceDN w:val="0"/>
              <w:adjustRightInd w:val="0"/>
              <w:jc w:val="both"/>
              <w:rPr>
                <w:rFonts w:eastAsia="Arial-BoldItalicMT"/>
                <w:b/>
                <w:bCs/>
                <w:i/>
                <w:iCs/>
                <w:color w:val="000000"/>
                <w:lang w:val="en-US"/>
              </w:rPr>
            </w:pP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6. Accesul limitat la informaţie, lipsa transparenţei</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Textul proiectului nu necesită a fi evaluat prin prisma accesului la informaţie sau asigură</w:t>
            </w:r>
            <w:r>
              <w:rPr>
                <w:rFonts w:eastAsia="ArialMT"/>
                <w:color w:val="000000"/>
                <w:lang w:val="en-US"/>
              </w:rPr>
              <w:t xml:space="preserve">rii </w:t>
            </w:r>
            <w:r w:rsidRPr="00440A3E">
              <w:rPr>
                <w:rFonts w:eastAsia="ArialMT"/>
                <w:color w:val="000000"/>
                <w:lang w:val="en-US"/>
              </w:rPr>
              <w:t>transparenţei.</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7. Lipsa sau insuficienţa mecanismelor de control</w:t>
            </w:r>
          </w:p>
          <w:p w:rsidR="007D7976" w:rsidRPr="00440A3E" w:rsidRDefault="007D7976" w:rsidP="007D7976">
            <w:pPr>
              <w:autoSpaceDE w:val="0"/>
              <w:autoSpaceDN w:val="0"/>
              <w:adjustRightInd w:val="0"/>
              <w:jc w:val="both"/>
              <w:rPr>
                <w:rFonts w:eastAsia="Arial-BoldMT"/>
                <w:b/>
                <w:bCs/>
                <w:color w:val="000000"/>
                <w:lang w:val="en-US"/>
              </w:rPr>
            </w:pPr>
            <w:r w:rsidRPr="00440A3E">
              <w:rPr>
                <w:rFonts w:eastAsia="Arial-BoldMT"/>
                <w:b/>
                <w:bCs/>
                <w:color w:val="000000"/>
                <w:lang w:val="en-US"/>
              </w:rPr>
              <w:t>Pct.2. Se recomandă autorităţilor administraţiei publice locale:</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Norma prevede un set de măsuri pe care autorităţile publice locale urmează să le întreprindă</w:t>
            </w:r>
            <w:r>
              <w:rPr>
                <w:rFonts w:eastAsia="ArialMT"/>
                <w:color w:val="000000"/>
                <w:lang w:val="en-US"/>
              </w:rPr>
              <w:t xml:space="preserve"> </w:t>
            </w:r>
            <w:r w:rsidRPr="00440A3E">
              <w:rPr>
                <w:rFonts w:eastAsia="ArialMT"/>
                <w:color w:val="000000"/>
                <w:lang w:val="en-US"/>
              </w:rPr>
              <w:t xml:space="preserve">pentru </w:t>
            </w:r>
            <w:proofErr w:type="gramStart"/>
            <w:r w:rsidRPr="00440A3E">
              <w:rPr>
                <w:rFonts w:eastAsia="ArialMT"/>
                <w:color w:val="000000"/>
                <w:lang w:val="en-US"/>
              </w:rPr>
              <w:t>a</w:t>
            </w:r>
            <w:proofErr w:type="gramEnd"/>
            <w:r w:rsidRPr="00440A3E">
              <w:rPr>
                <w:rFonts w:eastAsia="ArialMT"/>
                <w:color w:val="000000"/>
                <w:lang w:val="en-US"/>
              </w:rPr>
              <w:t xml:space="preserve"> asigura buna pregătire a acestora că</w:t>
            </w:r>
            <w:r>
              <w:rPr>
                <w:rFonts w:eastAsia="ArialMT"/>
                <w:color w:val="000000"/>
                <w:lang w:val="en-US"/>
              </w:rPr>
              <w:t xml:space="preserve">tre sezonul rece al anului. </w:t>
            </w:r>
            <w:r w:rsidRPr="00440A3E">
              <w:rPr>
                <w:rFonts w:eastAsia="ArialMT"/>
                <w:color w:val="000000"/>
                <w:lang w:val="en-US"/>
              </w:rPr>
              <w:t>Totodată, reieşind din titlul normei rezultă că acţiu</w:t>
            </w:r>
            <w:r>
              <w:rPr>
                <w:rFonts w:eastAsia="ArialMT"/>
                <w:color w:val="000000"/>
                <w:lang w:val="en-US"/>
              </w:rPr>
              <w:t xml:space="preserve">nile enumerate sunt cu titlu de </w:t>
            </w:r>
            <w:r w:rsidRPr="00440A3E">
              <w:rPr>
                <w:rFonts w:eastAsia="ArialMT"/>
                <w:color w:val="000000"/>
                <w:lang w:val="en-US"/>
              </w:rPr>
              <w:t>recomandare. Respectiv, autorităţile APL nu vor fi obligate să</w:t>
            </w:r>
            <w:r>
              <w:rPr>
                <w:rFonts w:eastAsia="ArialMT"/>
                <w:color w:val="000000"/>
                <w:lang w:val="en-US"/>
              </w:rPr>
              <w:t xml:space="preserve"> le respecte. </w:t>
            </w:r>
            <w:r w:rsidRPr="00440A3E">
              <w:rPr>
                <w:rFonts w:eastAsia="ArialMT"/>
                <w:color w:val="000000"/>
                <w:lang w:val="en-US"/>
              </w:rPr>
              <w:t>În acest sens, proiectul riscă să nu producă efectele scontate şi în consecinţă vor avea de</w:t>
            </w:r>
          </w:p>
          <w:p w:rsidR="007D7976" w:rsidRPr="00440A3E" w:rsidRDefault="007D7976" w:rsidP="007D7976">
            <w:pPr>
              <w:autoSpaceDE w:val="0"/>
              <w:autoSpaceDN w:val="0"/>
              <w:adjustRightInd w:val="0"/>
              <w:jc w:val="both"/>
              <w:rPr>
                <w:rFonts w:eastAsia="ArialMT"/>
                <w:color w:val="000000"/>
                <w:lang w:val="en-US"/>
              </w:rPr>
            </w:pPr>
            <w:proofErr w:type="gramStart"/>
            <w:r w:rsidRPr="00440A3E">
              <w:rPr>
                <w:rFonts w:eastAsia="ArialMT"/>
                <w:color w:val="000000"/>
                <w:lang w:val="en-US"/>
              </w:rPr>
              <w:t>suferit</w:t>
            </w:r>
            <w:proofErr w:type="gramEnd"/>
            <w:r w:rsidRPr="00440A3E">
              <w:rPr>
                <w:rFonts w:eastAsia="ArialMT"/>
                <w:color w:val="000000"/>
                <w:lang w:val="en-US"/>
              </w:rPr>
              <w:t xml:space="preserve"> cetăţenii Republicii Mo</w:t>
            </w:r>
            <w:r>
              <w:rPr>
                <w:rFonts w:eastAsia="ArialMT"/>
                <w:color w:val="000000"/>
                <w:lang w:val="en-US"/>
              </w:rPr>
              <w:t xml:space="preserve">ldova. </w:t>
            </w:r>
            <w:r w:rsidRPr="00440A3E">
              <w:rPr>
                <w:rFonts w:eastAsia="ArialMT"/>
                <w:color w:val="000000"/>
                <w:lang w:val="en-US"/>
              </w:rPr>
              <w:t xml:space="preserve">Pe lîngă aceste, evidenţiem că potrivit art.2 al legii </w:t>
            </w:r>
            <w:r w:rsidRPr="00440A3E">
              <w:rPr>
                <w:rFonts w:eastAsia="ArialMT"/>
                <w:color w:val="000000"/>
                <w:lang w:val="en-US"/>
              </w:rPr>
              <w:lastRenderedPageBreak/>
              <w:t>nr.317-XV</w:t>
            </w:r>
            <w:r>
              <w:rPr>
                <w:rFonts w:eastAsia="ArialMT"/>
                <w:color w:val="000000"/>
                <w:lang w:val="en-US"/>
              </w:rPr>
              <w:t xml:space="preserve">/2003 actul normativ este actul </w:t>
            </w:r>
            <w:r w:rsidRPr="00440A3E">
              <w:rPr>
                <w:rFonts w:eastAsia="ArialMT"/>
                <w:color w:val="000000"/>
                <w:lang w:val="en-US"/>
              </w:rPr>
              <w:t>juridic, care stabileşte reguli obligatorii de aplicare repetată la un numă</w:t>
            </w:r>
            <w:r>
              <w:rPr>
                <w:rFonts w:eastAsia="ArialMT"/>
                <w:color w:val="000000"/>
                <w:lang w:val="en-US"/>
              </w:rPr>
              <w:t xml:space="preserve">r nedeterminat de </w:t>
            </w:r>
            <w:r w:rsidRPr="00440A3E">
              <w:rPr>
                <w:rFonts w:eastAsia="ArialMT"/>
                <w:color w:val="000000"/>
                <w:lang w:val="en-US"/>
              </w:rPr>
              <w:t xml:space="preserve">situaţii identice, iar art.5 alin. (7) </w:t>
            </w:r>
            <w:proofErr w:type="gramStart"/>
            <w:r w:rsidRPr="00440A3E">
              <w:rPr>
                <w:rFonts w:eastAsia="ArialMT"/>
                <w:color w:val="000000"/>
                <w:lang w:val="en-US"/>
              </w:rPr>
              <w:t>prevede</w:t>
            </w:r>
            <w:proofErr w:type="gramEnd"/>
            <w:r w:rsidRPr="00440A3E">
              <w:rPr>
                <w:rFonts w:eastAsia="ArialMT"/>
                <w:color w:val="000000"/>
                <w:lang w:val="en-US"/>
              </w:rPr>
              <w:t xml:space="preserve"> că un act normativ trebuie să întrunească condiţ</w:t>
            </w:r>
            <w:r>
              <w:rPr>
                <w:rFonts w:eastAsia="ArialMT"/>
                <w:color w:val="000000"/>
                <w:lang w:val="en-US"/>
              </w:rPr>
              <w:t xml:space="preserve">iile </w:t>
            </w:r>
            <w:r w:rsidRPr="00440A3E">
              <w:rPr>
                <w:rFonts w:eastAsia="ArialMT"/>
                <w:color w:val="000000"/>
                <w:lang w:val="en-US"/>
              </w:rPr>
              <w:t>legalităţii, accesibilităţii, preciziei şi, o dată intrat în vigoare, este executoriu ş</w:t>
            </w:r>
            <w:r w:rsidR="0018725E">
              <w:rPr>
                <w:rFonts w:eastAsia="ArialMT"/>
                <w:color w:val="000000"/>
                <w:lang w:val="en-US"/>
              </w:rPr>
              <w:t xml:space="preserve">i opozabil tuturor </w:t>
            </w:r>
            <w:r w:rsidRPr="00440A3E">
              <w:rPr>
                <w:rFonts w:eastAsia="ArialMT"/>
                <w:color w:val="000000"/>
                <w:lang w:val="en-US"/>
              </w:rPr>
              <w:t>subiectelor de drept.</w:t>
            </w:r>
          </w:p>
          <w:p w:rsidR="007D7976" w:rsidRPr="00440A3E" w:rsidRDefault="007D7976" w:rsidP="007D7976">
            <w:pPr>
              <w:autoSpaceDE w:val="0"/>
              <w:autoSpaceDN w:val="0"/>
              <w:adjustRightInd w:val="0"/>
              <w:jc w:val="both"/>
              <w:rPr>
                <w:rFonts w:eastAsia="Arial-BoldItalicMT"/>
                <w:b/>
                <w:bCs/>
                <w:i/>
                <w:iCs/>
                <w:color w:val="000000"/>
                <w:lang w:val="en-US"/>
              </w:rPr>
            </w:pPr>
            <w:r w:rsidRPr="00440A3E">
              <w:rPr>
                <w:rFonts w:eastAsia="Arial-BoldItalicMT"/>
                <w:b/>
                <w:bCs/>
                <w:i/>
                <w:iCs/>
                <w:color w:val="000000"/>
                <w:lang w:val="en-US"/>
              </w:rPr>
              <w:t>Recomandarea: Recomandăm reformularea pct.</w:t>
            </w:r>
            <w:r w:rsidR="00F778B9">
              <w:rPr>
                <w:rFonts w:eastAsia="Arial-BoldItalicMT"/>
                <w:b/>
                <w:bCs/>
                <w:i/>
                <w:iCs/>
                <w:color w:val="000000"/>
                <w:lang w:val="en-US"/>
              </w:rPr>
              <w:t xml:space="preserve"> </w:t>
            </w:r>
            <w:r w:rsidRPr="00440A3E">
              <w:rPr>
                <w:rFonts w:eastAsia="Arial-BoldItalicMT"/>
                <w:b/>
                <w:bCs/>
                <w:i/>
                <w:iCs/>
                <w:color w:val="000000"/>
                <w:lang w:val="en-US"/>
              </w:rPr>
              <w:t>2 după cum urmează „Autorităţ</w:t>
            </w:r>
            <w:r>
              <w:rPr>
                <w:rFonts w:eastAsia="Arial-BoldItalicMT"/>
                <w:b/>
                <w:bCs/>
                <w:i/>
                <w:iCs/>
                <w:color w:val="000000"/>
                <w:lang w:val="en-US"/>
              </w:rPr>
              <w:t xml:space="preserve">ile </w:t>
            </w:r>
            <w:r w:rsidRPr="00440A3E">
              <w:rPr>
                <w:rFonts w:eastAsia="Arial-BoldItalicMT"/>
                <w:b/>
                <w:bCs/>
                <w:i/>
                <w:iCs/>
                <w:color w:val="000000"/>
                <w:lang w:val="en-US"/>
              </w:rPr>
              <w:t>administraţiei publice locale”. Respectiv, fiecare literă se va începe cu cuvîntul „vor” şi în continuare în dependenţă</w:t>
            </w:r>
            <w:r>
              <w:rPr>
                <w:rFonts w:eastAsia="Arial-BoldItalicMT"/>
                <w:b/>
                <w:bCs/>
                <w:i/>
                <w:iCs/>
                <w:color w:val="000000"/>
                <w:lang w:val="en-US"/>
              </w:rPr>
              <w:t xml:space="preserve"> </w:t>
            </w:r>
            <w:r w:rsidRPr="00440A3E">
              <w:rPr>
                <w:rFonts w:eastAsia="Arial-BoldItalicMT"/>
                <w:b/>
                <w:bCs/>
                <w:i/>
                <w:iCs/>
                <w:color w:val="000000"/>
                <w:lang w:val="en-US"/>
              </w:rPr>
              <w:t>de context (convoca, repartiza, organiza etc).</w:t>
            </w:r>
          </w:p>
          <w:p w:rsidR="007D7976" w:rsidRPr="00440A3E" w:rsidRDefault="007D7976" w:rsidP="007D7976">
            <w:pPr>
              <w:autoSpaceDE w:val="0"/>
              <w:autoSpaceDN w:val="0"/>
              <w:adjustRightInd w:val="0"/>
              <w:jc w:val="both"/>
              <w:rPr>
                <w:rFonts w:eastAsia="Arial-BoldMT"/>
                <w:b/>
                <w:bCs/>
                <w:color w:val="000000"/>
                <w:lang w:val="en-US"/>
              </w:rPr>
            </w:pPr>
            <w:r w:rsidRPr="00440A3E">
              <w:rPr>
                <w:rFonts w:eastAsia="Arial-BoldMT"/>
                <w:b/>
                <w:bCs/>
                <w:color w:val="000000"/>
                <w:lang w:val="en-US"/>
              </w:rPr>
              <w:t>Ca obiecţie generală asupra proiectului.</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Deşi autorul impune acţiuni obligatorii de realizat pentru autorităţilor publice, evidenţ</w:t>
            </w:r>
            <w:r>
              <w:rPr>
                <w:rFonts w:eastAsia="ArialMT"/>
                <w:color w:val="000000"/>
                <w:lang w:val="en-US"/>
              </w:rPr>
              <w:t xml:space="preserve">iem lipsa </w:t>
            </w:r>
            <w:r w:rsidRPr="00440A3E">
              <w:rPr>
                <w:rFonts w:eastAsia="ArialMT"/>
                <w:color w:val="000000"/>
                <w:lang w:val="en-US"/>
              </w:rPr>
              <w:t>sancţiunilor pentru nerespec</w:t>
            </w:r>
            <w:r>
              <w:rPr>
                <w:rFonts w:eastAsia="ArialMT"/>
                <w:color w:val="000000"/>
                <w:lang w:val="en-US"/>
              </w:rPr>
              <w:t xml:space="preserve">tarea prevederilor proiectului. </w:t>
            </w:r>
            <w:r w:rsidRPr="00440A3E">
              <w:rPr>
                <w:rFonts w:eastAsia="ArialMT"/>
                <w:color w:val="000000"/>
                <w:lang w:val="en-US"/>
              </w:rPr>
              <w:t>În lipsa unor măsuri de responsabilizare a conducătorilor autorităţilor şi instituţ</w:t>
            </w:r>
            <w:r>
              <w:rPr>
                <w:rFonts w:eastAsia="ArialMT"/>
                <w:color w:val="000000"/>
                <w:lang w:val="en-US"/>
              </w:rPr>
              <w:t xml:space="preserve">iilor publice, </w:t>
            </w:r>
            <w:r w:rsidRPr="00440A3E">
              <w:rPr>
                <w:rFonts w:eastAsia="ArialMT"/>
                <w:color w:val="000000"/>
                <w:lang w:val="en-US"/>
              </w:rPr>
              <w:t>există riscul ca acţiunile menţionate în proiect să nu fie realiza</w:t>
            </w:r>
            <w:r>
              <w:rPr>
                <w:rFonts w:eastAsia="ArialMT"/>
                <w:color w:val="000000"/>
                <w:lang w:val="en-US"/>
              </w:rPr>
              <w:t xml:space="preserve">te, iar persoanele vinovate vor </w:t>
            </w:r>
            <w:r w:rsidRPr="00440A3E">
              <w:rPr>
                <w:rFonts w:eastAsia="ArialMT"/>
                <w:color w:val="000000"/>
                <w:lang w:val="en-US"/>
              </w:rPr>
              <w:t>fi scutite de orice răspundere.</w:t>
            </w:r>
          </w:p>
          <w:p w:rsidR="007D7976" w:rsidRDefault="007D7976" w:rsidP="007D7976">
            <w:pPr>
              <w:autoSpaceDE w:val="0"/>
              <w:autoSpaceDN w:val="0"/>
              <w:adjustRightInd w:val="0"/>
              <w:jc w:val="both"/>
              <w:rPr>
                <w:rFonts w:eastAsia="Arial-BoldItalicMT"/>
                <w:b/>
                <w:bCs/>
                <w:i/>
                <w:iCs/>
                <w:color w:val="000000"/>
                <w:lang w:val="en-US"/>
              </w:rPr>
            </w:pPr>
            <w:r w:rsidRPr="00440A3E">
              <w:rPr>
                <w:rFonts w:eastAsia="Arial-BoldItalicMT"/>
                <w:b/>
                <w:bCs/>
                <w:i/>
                <w:iCs/>
                <w:color w:val="000000"/>
                <w:lang w:val="en-US"/>
              </w:rPr>
              <w:t>Recomandarea: Recomandăm instituirea unor norme care să prevadă</w:t>
            </w:r>
            <w:r>
              <w:rPr>
                <w:rFonts w:eastAsia="Arial-BoldItalicMT"/>
                <w:b/>
                <w:bCs/>
                <w:i/>
                <w:iCs/>
                <w:color w:val="000000"/>
                <w:lang w:val="en-US"/>
              </w:rPr>
              <w:t xml:space="preserve"> tragerea la </w:t>
            </w:r>
            <w:r w:rsidRPr="00440A3E">
              <w:rPr>
                <w:rFonts w:eastAsia="Arial-BoldItalicMT"/>
                <w:b/>
                <w:bCs/>
                <w:i/>
                <w:iCs/>
                <w:color w:val="000000"/>
                <w:lang w:val="en-US"/>
              </w:rPr>
              <w:t>răspundere a persoanelor care se vor face vinovate de nerealizarea acţ</w:t>
            </w:r>
            <w:r>
              <w:rPr>
                <w:rFonts w:eastAsia="Arial-BoldItalicMT"/>
                <w:b/>
                <w:bCs/>
                <w:i/>
                <w:iCs/>
                <w:color w:val="000000"/>
                <w:lang w:val="en-US"/>
              </w:rPr>
              <w:t xml:space="preserve">iunilor stabilite </w:t>
            </w:r>
            <w:r w:rsidRPr="00440A3E">
              <w:rPr>
                <w:rFonts w:eastAsia="Arial-BoldItalicMT"/>
                <w:b/>
                <w:bCs/>
                <w:i/>
                <w:iCs/>
                <w:color w:val="000000"/>
                <w:lang w:val="en-US"/>
              </w:rPr>
              <w:t>în proiect.</w:t>
            </w:r>
          </w:p>
          <w:p w:rsidR="006E0C0F" w:rsidRDefault="006E0C0F" w:rsidP="007D7976">
            <w:pPr>
              <w:autoSpaceDE w:val="0"/>
              <w:autoSpaceDN w:val="0"/>
              <w:adjustRightInd w:val="0"/>
              <w:jc w:val="both"/>
              <w:rPr>
                <w:rFonts w:eastAsia="Arial-BoldItalicMT"/>
                <w:b/>
                <w:bCs/>
                <w:i/>
                <w:iCs/>
                <w:color w:val="000000"/>
                <w:lang w:val="en-US"/>
              </w:rPr>
            </w:pPr>
          </w:p>
          <w:p w:rsidR="006E0C0F" w:rsidRDefault="006E0C0F" w:rsidP="007D7976">
            <w:pPr>
              <w:autoSpaceDE w:val="0"/>
              <w:autoSpaceDN w:val="0"/>
              <w:adjustRightInd w:val="0"/>
              <w:jc w:val="both"/>
              <w:rPr>
                <w:rFonts w:eastAsia="Arial-BoldItalicMT"/>
                <w:b/>
                <w:bCs/>
                <w:i/>
                <w:iCs/>
                <w:color w:val="000000"/>
                <w:lang w:val="en-US"/>
              </w:rPr>
            </w:pPr>
          </w:p>
          <w:p w:rsidR="006E0C0F" w:rsidRPr="00440A3E" w:rsidRDefault="006E0C0F" w:rsidP="007D7976">
            <w:pPr>
              <w:autoSpaceDE w:val="0"/>
              <w:autoSpaceDN w:val="0"/>
              <w:adjustRightInd w:val="0"/>
              <w:jc w:val="both"/>
              <w:rPr>
                <w:rFonts w:eastAsia="Arial-BoldItalicMT"/>
                <w:b/>
                <w:bCs/>
                <w:i/>
                <w:iCs/>
                <w:color w:val="000000"/>
                <w:lang w:val="en-US"/>
              </w:rPr>
            </w:pPr>
          </w:p>
          <w:p w:rsidR="007D7976" w:rsidRPr="00440A3E" w:rsidRDefault="007D7976" w:rsidP="007D7976">
            <w:pPr>
              <w:autoSpaceDE w:val="0"/>
              <w:autoSpaceDN w:val="0"/>
              <w:adjustRightInd w:val="0"/>
              <w:jc w:val="both"/>
              <w:rPr>
                <w:rFonts w:eastAsia="Arial-BoldMT"/>
                <w:b/>
                <w:bCs/>
                <w:color w:val="000000"/>
                <w:lang w:val="en-US"/>
              </w:rPr>
            </w:pPr>
            <w:r w:rsidRPr="00440A3E">
              <w:rPr>
                <w:rFonts w:eastAsia="Arial-BoldMT"/>
                <w:b/>
                <w:bCs/>
                <w:color w:val="000000"/>
                <w:lang w:val="en-US"/>
              </w:rPr>
              <w:t>Pct.2 lit.s) să raporteze Ministerului Economiei pînă</w:t>
            </w:r>
            <w:r>
              <w:rPr>
                <w:rFonts w:eastAsia="Arial-BoldMT"/>
                <w:b/>
                <w:bCs/>
                <w:color w:val="000000"/>
                <w:lang w:val="en-US"/>
              </w:rPr>
              <w:t xml:space="preserve"> la data de 15 aprilie 2017 </w:t>
            </w:r>
            <w:r w:rsidRPr="00440A3E">
              <w:rPr>
                <w:rFonts w:eastAsia="Arial-BoldMT"/>
                <w:b/>
                <w:bCs/>
                <w:color w:val="000000"/>
                <w:lang w:val="en-US"/>
              </w:rPr>
              <w:t>informaţia cu privire la problemele existente în sistemel</w:t>
            </w:r>
            <w:r>
              <w:rPr>
                <w:rFonts w:eastAsia="Arial-BoldMT"/>
                <w:b/>
                <w:bCs/>
                <w:color w:val="000000"/>
                <w:lang w:val="en-US"/>
              </w:rPr>
              <w:t xml:space="preserve">e centralizate de alimentare cu </w:t>
            </w:r>
            <w:r w:rsidRPr="00440A3E">
              <w:rPr>
                <w:rFonts w:eastAsia="Arial-BoldMT"/>
                <w:b/>
                <w:bCs/>
                <w:color w:val="000000"/>
                <w:lang w:val="en-US"/>
              </w:rPr>
              <w:t>energie termică din localităţi, precum şi toate măsurile î</w:t>
            </w:r>
            <w:r>
              <w:rPr>
                <w:rFonts w:eastAsia="Arial-BoldMT"/>
                <w:b/>
                <w:bCs/>
                <w:color w:val="000000"/>
                <w:lang w:val="en-US"/>
              </w:rPr>
              <w:t xml:space="preserve">ntreprinse sau preconizate </w:t>
            </w:r>
            <w:r w:rsidRPr="00440A3E">
              <w:rPr>
                <w:rFonts w:eastAsia="Arial-BoldMT"/>
                <w:b/>
                <w:bCs/>
                <w:color w:val="000000"/>
                <w:lang w:val="en-US"/>
              </w:rPr>
              <w:t>pentru soluţionarea acestora, după caz.</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Reieşind din prevederile pct.2 constatăm că acţiunile înaintat</w:t>
            </w:r>
            <w:r>
              <w:rPr>
                <w:rFonts w:eastAsia="ArialMT"/>
                <w:color w:val="000000"/>
                <w:lang w:val="en-US"/>
              </w:rPr>
              <w:t xml:space="preserve">e spre realizare APL sunt parte </w:t>
            </w:r>
            <w:r w:rsidRPr="00440A3E">
              <w:rPr>
                <w:rFonts w:eastAsia="ArialMT"/>
                <w:color w:val="000000"/>
                <w:lang w:val="en-US"/>
              </w:rPr>
              <w:t>componentă a unei etape premergătoare sezonului rece a</w:t>
            </w:r>
            <w:r>
              <w:rPr>
                <w:rFonts w:eastAsia="ArialMT"/>
                <w:color w:val="000000"/>
                <w:lang w:val="en-US"/>
              </w:rPr>
              <w:t xml:space="preserve">l anului. Respectiv, acestea au </w:t>
            </w:r>
            <w:r w:rsidRPr="00440A3E">
              <w:rPr>
                <w:rFonts w:eastAsia="ArialMT"/>
                <w:color w:val="000000"/>
                <w:lang w:val="en-US"/>
              </w:rPr>
              <w:t>drept scop pregătirea pentru perioada toamnă – iarnă.</w:t>
            </w:r>
          </w:p>
          <w:p w:rsidR="007D7976" w:rsidRPr="00440A3E" w:rsidRDefault="007D7976" w:rsidP="007D7976">
            <w:pPr>
              <w:autoSpaceDE w:val="0"/>
              <w:autoSpaceDN w:val="0"/>
              <w:adjustRightInd w:val="0"/>
              <w:jc w:val="both"/>
              <w:rPr>
                <w:rFonts w:eastAsia="ArialMT"/>
                <w:color w:val="000000"/>
                <w:lang w:val="en-US"/>
              </w:rPr>
            </w:pPr>
            <w:r w:rsidRPr="00440A3E">
              <w:rPr>
                <w:rFonts w:eastAsia="ArialMT"/>
                <w:color w:val="000000"/>
                <w:lang w:val="en-US"/>
              </w:rPr>
              <w:t xml:space="preserve">În acest sens, considerăm că raportarea informaţiilor cu </w:t>
            </w:r>
            <w:r>
              <w:rPr>
                <w:rFonts w:eastAsia="ArialMT"/>
                <w:color w:val="000000"/>
                <w:lang w:val="en-US"/>
              </w:rPr>
              <w:t xml:space="preserve">privire la problemele existente </w:t>
            </w:r>
            <w:r w:rsidRPr="00440A3E">
              <w:rPr>
                <w:rFonts w:eastAsia="ArialMT"/>
                <w:color w:val="000000"/>
                <w:lang w:val="en-US"/>
              </w:rPr>
              <w:t>necesită a fi făcută pînă la începerea perioadei menţionate. Astfe</w:t>
            </w:r>
            <w:r w:rsidR="00D659CD">
              <w:rPr>
                <w:rFonts w:eastAsia="ArialMT"/>
                <w:color w:val="000000"/>
                <w:lang w:val="en-US"/>
              </w:rPr>
              <w:t>l, va fi acordat timp su</w:t>
            </w:r>
            <w:r>
              <w:rPr>
                <w:rFonts w:eastAsia="ArialMT"/>
                <w:color w:val="000000"/>
                <w:lang w:val="en-US"/>
              </w:rPr>
              <w:t xml:space="preserve">ficient </w:t>
            </w:r>
            <w:r w:rsidRPr="00440A3E">
              <w:rPr>
                <w:rFonts w:eastAsia="ArialMT"/>
                <w:color w:val="000000"/>
                <w:lang w:val="en-US"/>
              </w:rPr>
              <w:t xml:space="preserve">pentru </w:t>
            </w:r>
            <w:proofErr w:type="gramStart"/>
            <w:r w:rsidRPr="00440A3E">
              <w:rPr>
                <w:rFonts w:eastAsia="ArialMT"/>
                <w:color w:val="000000"/>
                <w:lang w:val="en-US"/>
              </w:rPr>
              <w:t>a</w:t>
            </w:r>
            <w:proofErr w:type="gramEnd"/>
            <w:r w:rsidRPr="00440A3E">
              <w:rPr>
                <w:rFonts w:eastAsia="ArialMT"/>
                <w:color w:val="000000"/>
                <w:lang w:val="en-US"/>
              </w:rPr>
              <w:t xml:space="preserve"> întreprinde măsuri de soluţionare a deficienţelor şi pentru a intra î</w:t>
            </w:r>
            <w:r>
              <w:rPr>
                <w:rFonts w:eastAsia="ArialMT"/>
                <w:color w:val="000000"/>
                <w:lang w:val="en-US"/>
              </w:rPr>
              <w:t xml:space="preserve">n perioada rece a </w:t>
            </w:r>
            <w:r w:rsidRPr="00440A3E">
              <w:rPr>
                <w:rFonts w:eastAsia="ArialMT"/>
                <w:color w:val="000000"/>
                <w:lang w:val="en-US"/>
              </w:rPr>
              <w:t>anului în regim de maximă pregătire.</w:t>
            </w:r>
          </w:p>
          <w:p w:rsidR="007D7976" w:rsidRPr="00440A3E" w:rsidRDefault="007D7976" w:rsidP="007D7976">
            <w:pPr>
              <w:autoSpaceDE w:val="0"/>
              <w:autoSpaceDN w:val="0"/>
              <w:adjustRightInd w:val="0"/>
              <w:jc w:val="both"/>
              <w:rPr>
                <w:rFonts w:eastAsia="Arial-BoldItalicMT"/>
                <w:b/>
                <w:bCs/>
                <w:i/>
                <w:iCs/>
                <w:color w:val="000000"/>
                <w:lang w:val="en-US"/>
              </w:rPr>
            </w:pPr>
            <w:r w:rsidRPr="00440A3E">
              <w:rPr>
                <w:rFonts w:eastAsia="Arial-BoldItalicMT"/>
                <w:b/>
                <w:bCs/>
                <w:i/>
                <w:iCs/>
                <w:color w:val="000000"/>
                <w:lang w:val="en-US"/>
              </w:rPr>
              <w:t>Recomandarea: Recomandăm autorului insti</w:t>
            </w:r>
            <w:r>
              <w:rPr>
                <w:rFonts w:eastAsia="Arial-BoldItalicMT"/>
                <w:b/>
                <w:bCs/>
                <w:i/>
                <w:iCs/>
                <w:color w:val="000000"/>
                <w:lang w:val="en-US"/>
              </w:rPr>
              <w:t xml:space="preserve">tuirea unui termen de raportare </w:t>
            </w:r>
            <w:r w:rsidRPr="00440A3E">
              <w:rPr>
                <w:rFonts w:eastAsia="Arial-BoldItalicMT"/>
                <w:b/>
                <w:bCs/>
                <w:i/>
                <w:iCs/>
                <w:color w:val="000000"/>
                <w:lang w:val="en-US"/>
              </w:rPr>
              <w:t xml:space="preserve">premergător perioadei rece </w:t>
            </w:r>
            <w:proofErr w:type="gramStart"/>
            <w:r w:rsidRPr="00440A3E">
              <w:rPr>
                <w:rFonts w:eastAsia="Arial-BoldItalicMT"/>
                <w:b/>
                <w:bCs/>
                <w:i/>
                <w:iCs/>
                <w:color w:val="000000"/>
                <w:lang w:val="en-US"/>
              </w:rPr>
              <w:t>a</w:t>
            </w:r>
            <w:proofErr w:type="gramEnd"/>
            <w:r w:rsidRPr="00440A3E">
              <w:rPr>
                <w:rFonts w:eastAsia="Arial-BoldItalicMT"/>
                <w:b/>
                <w:bCs/>
                <w:i/>
                <w:iCs/>
                <w:color w:val="000000"/>
                <w:lang w:val="en-US"/>
              </w:rPr>
              <w:t xml:space="preserve"> anului.</w:t>
            </w:r>
          </w:p>
          <w:p w:rsidR="007D7976" w:rsidRPr="00440A3E" w:rsidRDefault="007D7976" w:rsidP="007D7976">
            <w:pPr>
              <w:autoSpaceDE w:val="0"/>
              <w:autoSpaceDN w:val="0"/>
              <w:adjustRightInd w:val="0"/>
              <w:jc w:val="center"/>
              <w:rPr>
                <w:rFonts w:eastAsia="Arial-BoldItalicMT"/>
                <w:b/>
                <w:bCs/>
                <w:i/>
                <w:iCs/>
                <w:color w:val="0033CD"/>
                <w:lang w:val="en-US"/>
              </w:rPr>
            </w:pPr>
            <w:r w:rsidRPr="00440A3E">
              <w:rPr>
                <w:rFonts w:eastAsia="Arial-BoldItalicMT"/>
                <w:b/>
                <w:bCs/>
                <w:i/>
                <w:iCs/>
                <w:color w:val="0033CD"/>
                <w:lang w:val="en-US"/>
              </w:rPr>
              <w:t>8. Responsabilitate şi sancţiuni necorespunzătoare</w:t>
            </w:r>
          </w:p>
          <w:p w:rsidR="00B7206E" w:rsidRPr="00F778B9" w:rsidRDefault="007D7976" w:rsidP="00F778B9">
            <w:pPr>
              <w:autoSpaceDE w:val="0"/>
              <w:autoSpaceDN w:val="0"/>
              <w:adjustRightInd w:val="0"/>
              <w:jc w:val="both"/>
              <w:rPr>
                <w:rFonts w:eastAsia="ArialMT"/>
                <w:color w:val="000000"/>
                <w:lang w:val="en-US"/>
              </w:rPr>
            </w:pPr>
            <w:r w:rsidRPr="00440A3E">
              <w:rPr>
                <w:rFonts w:eastAsia="ArialMT"/>
                <w:color w:val="000000"/>
                <w:lang w:val="en-US"/>
              </w:rPr>
              <w:t>Proiectul nu implică careva responsabilităţi şi nu necesită referinţ</w:t>
            </w:r>
            <w:r>
              <w:rPr>
                <w:rFonts w:eastAsia="ArialMT"/>
                <w:color w:val="000000"/>
                <w:lang w:val="en-US"/>
              </w:rPr>
              <w:t xml:space="preserve">e exprese la </w:t>
            </w:r>
            <w:r w:rsidRPr="00440A3E">
              <w:rPr>
                <w:rFonts w:eastAsia="ArialMT"/>
                <w:color w:val="000000"/>
                <w:lang w:val="en-US"/>
              </w:rPr>
              <w:t>responsabilitate şi sancţiunile aplicate pentru încă</w:t>
            </w:r>
            <w:r w:rsidR="00F778B9">
              <w:rPr>
                <w:rFonts w:eastAsia="ArialMT"/>
                <w:color w:val="000000"/>
                <w:lang w:val="en-US"/>
              </w:rPr>
              <w:t>lcarea prevederilor sale.</w:t>
            </w:r>
          </w:p>
        </w:tc>
        <w:tc>
          <w:tcPr>
            <w:tcW w:w="4217" w:type="dxa"/>
          </w:tcPr>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B7206E"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lastRenderedPageBreak/>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r w:rsidRPr="00387453">
              <w:rPr>
                <w:lang w:val="ro-RO"/>
              </w:rPr>
              <w:t>Se acceptă.</w:t>
            </w:r>
          </w:p>
          <w:p w:rsidR="002836E6" w:rsidRDefault="002836E6" w:rsidP="002836E6">
            <w:pPr>
              <w:rPr>
                <w:lang w:val="ro-RO"/>
              </w:rPr>
            </w:pPr>
          </w:p>
          <w:p w:rsidR="002836E6" w:rsidRDefault="002836E6" w:rsidP="002836E6">
            <w:pPr>
              <w:rPr>
                <w:lang w:val="ro-RO"/>
              </w:rPr>
            </w:pPr>
          </w:p>
          <w:p w:rsidR="002836E6" w:rsidRDefault="002836E6" w:rsidP="002836E6">
            <w:pPr>
              <w:rPr>
                <w:lang w:val="ro-RO"/>
              </w:rPr>
            </w:pPr>
            <w:r w:rsidRPr="00387453">
              <w:rPr>
                <w:lang w:val="ro-RO"/>
              </w:rPr>
              <w:t>Se acceptă.</w:t>
            </w:r>
          </w:p>
          <w:p w:rsidR="0074493C" w:rsidRDefault="0074493C" w:rsidP="002836E6">
            <w:pPr>
              <w:rPr>
                <w:lang w:val="ro-RO"/>
              </w:rPr>
            </w:pPr>
          </w:p>
          <w:p w:rsidR="0074493C" w:rsidRDefault="0074493C" w:rsidP="002836E6">
            <w:pPr>
              <w:rPr>
                <w:lang w:val="ro-RO"/>
              </w:rPr>
            </w:pPr>
          </w:p>
          <w:p w:rsidR="00B47E2D" w:rsidRPr="00B47E2D" w:rsidRDefault="0094270E" w:rsidP="00B47E2D">
            <w:pPr>
              <w:jc w:val="both"/>
              <w:rPr>
                <w:lang w:val="ro-RO"/>
              </w:rPr>
            </w:pPr>
            <w:r w:rsidRPr="00387453">
              <w:rPr>
                <w:lang w:val="ro-RO"/>
              </w:rPr>
              <w:t>Se acceptă</w:t>
            </w:r>
            <w:r>
              <w:rPr>
                <w:lang w:val="ro-RO"/>
              </w:rPr>
              <w:t xml:space="preserve"> parţial</w:t>
            </w:r>
            <w:r w:rsidRPr="00387453">
              <w:rPr>
                <w:lang w:val="ro-RO"/>
              </w:rPr>
              <w:t>.</w:t>
            </w:r>
            <w:r>
              <w:rPr>
                <w:lang w:val="ro-RO"/>
              </w:rPr>
              <w:t xml:space="preserve"> Din punct de vedere tehnic este imposibil de a fi debranşaţi de la serviciile comunale</w:t>
            </w:r>
            <w:r w:rsidR="009E7FA6">
              <w:rPr>
                <w:lang w:val="ro-RO"/>
              </w:rPr>
              <w:t xml:space="preserve"> </w:t>
            </w:r>
            <w:r w:rsidR="00131B6E">
              <w:rPr>
                <w:lang w:val="ro-RO"/>
              </w:rPr>
              <w:t xml:space="preserve">(în special de la energia termică) </w:t>
            </w:r>
            <w:r w:rsidR="009E7FA6">
              <w:rPr>
                <w:lang w:val="ro-RO"/>
              </w:rPr>
              <w:t xml:space="preserve">agenţii economici, deoarece prin încăperile aflate la primul </w:t>
            </w:r>
            <w:r w:rsidR="009E7FA6" w:rsidRPr="00B47E2D">
              <w:rPr>
                <w:lang w:val="ro-RO"/>
              </w:rPr>
              <w:t>etaj şi în subsol trec conductele de bază ale sistemului colectiv de alimentare cu energie termică</w:t>
            </w:r>
            <w:r w:rsidR="00131B6E">
              <w:rPr>
                <w:lang w:val="ro-RO"/>
              </w:rPr>
              <w:t>(SCAET)</w:t>
            </w:r>
            <w:r w:rsidR="009E7FA6" w:rsidRPr="00B47E2D">
              <w:rPr>
                <w:lang w:val="ro-RO"/>
              </w:rPr>
              <w:t xml:space="preserve"> în cadrul blocului locativ. </w:t>
            </w:r>
          </w:p>
          <w:p w:rsidR="0094270E" w:rsidRPr="00B47E2D" w:rsidRDefault="009E7FA6" w:rsidP="00B47E2D">
            <w:pPr>
              <w:jc w:val="both"/>
              <w:rPr>
                <w:lang w:val="ro-RO"/>
              </w:rPr>
            </w:pPr>
            <w:r w:rsidRPr="00B47E2D">
              <w:rPr>
                <w:lang w:val="ro-RO"/>
              </w:rPr>
              <w:t xml:space="preserve">Încheierea contractelor pentru prestarea serviciilor comunale cu agenţii economici este necesară şi din </w:t>
            </w:r>
            <w:r w:rsidRPr="00B47E2D">
              <w:rPr>
                <w:lang w:val="ro-RO"/>
              </w:rPr>
              <w:lastRenderedPageBreak/>
              <w:t xml:space="preserve">considerentul că ei chiar dacă nu sunt conectaţi la  </w:t>
            </w:r>
            <w:r w:rsidR="00131B6E">
              <w:rPr>
                <w:lang w:val="ro-RO"/>
              </w:rPr>
              <w:t>SCAET</w:t>
            </w:r>
            <w:r w:rsidR="00B47E2D" w:rsidRPr="00B47E2D">
              <w:rPr>
                <w:lang w:val="ro-RO"/>
              </w:rPr>
              <w:t xml:space="preserve">, ei oricum sunt consumatori de energie termică, deoarece </w:t>
            </w:r>
            <w:r w:rsidRPr="00B47E2D">
              <w:rPr>
                <w:lang w:val="ro-RO"/>
              </w:rPr>
              <w:t xml:space="preserve">datorită </w:t>
            </w:r>
            <w:r w:rsidR="00B47E2D" w:rsidRPr="00B47E2D">
              <w:rPr>
                <w:lang w:val="ro-RO"/>
              </w:rPr>
              <w:t>specificului proceselor de conducţie termică şi de transfer de căldură, energia termică va parveni de la</w:t>
            </w:r>
            <w:r w:rsidR="00131B6E">
              <w:rPr>
                <w:lang w:val="ro-RO"/>
              </w:rPr>
              <w:t xml:space="preserve"> elementele </w:t>
            </w:r>
            <w:r w:rsidR="00131B6E">
              <w:rPr>
                <w:lang w:val="ro-RO"/>
              </w:rPr>
              <w:t>SCAET</w:t>
            </w:r>
            <w:r w:rsidR="00131B6E">
              <w:rPr>
                <w:lang w:val="ro-RO"/>
              </w:rPr>
              <w:t xml:space="preserve"> şi</w:t>
            </w:r>
            <w:r w:rsidR="00B47E2D" w:rsidRPr="00B47E2D">
              <w:rPr>
                <w:lang w:val="ro-RO"/>
              </w:rPr>
              <w:t xml:space="preserve"> locuinţele vecine, menţinînd o temperatură pozitivă în </w:t>
            </w:r>
            <w:r w:rsidR="00131B6E">
              <w:rPr>
                <w:lang w:val="ro-RO"/>
              </w:rPr>
              <w:t>încăperile</w:t>
            </w:r>
            <w:r w:rsidR="00B47E2D" w:rsidRPr="00B47E2D">
              <w:rPr>
                <w:lang w:val="ro-RO"/>
              </w:rPr>
              <w:t xml:space="preserve"> vecine neîncălzite(neconectate la sistemul colectiv de alimentare cu energie termică)</w:t>
            </w:r>
          </w:p>
          <w:p w:rsidR="0094270E" w:rsidRDefault="0094270E" w:rsidP="002836E6">
            <w:pPr>
              <w:rPr>
                <w:lang w:val="ro-RO"/>
              </w:rPr>
            </w:pPr>
          </w:p>
          <w:p w:rsidR="00B47E2D" w:rsidRDefault="00B47E2D" w:rsidP="002836E6">
            <w:pPr>
              <w:rPr>
                <w:lang w:val="ro-RO"/>
              </w:rPr>
            </w:pPr>
          </w:p>
          <w:p w:rsidR="00B47E2D" w:rsidRDefault="00B47E2D" w:rsidP="002836E6">
            <w:pPr>
              <w:rPr>
                <w:lang w:val="ro-RO"/>
              </w:rPr>
            </w:pPr>
          </w:p>
          <w:p w:rsidR="00D659CD" w:rsidRDefault="00D659CD" w:rsidP="002836E6">
            <w:pPr>
              <w:rPr>
                <w:lang w:val="ro-RO"/>
              </w:rPr>
            </w:pPr>
          </w:p>
          <w:p w:rsidR="00D659CD" w:rsidRDefault="00D659CD" w:rsidP="002836E6">
            <w:pPr>
              <w:rPr>
                <w:lang w:val="ro-RO"/>
              </w:rPr>
            </w:pPr>
          </w:p>
          <w:p w:rsidR="00B47E2D" w:rsidRDefault="00B47E2D" w:rsidP="00B47E2D">
            <w:pPr>
              <w:jc w:val="both"/>
              <w:rPr>
                <w:rFonts w:eastAsia="Arial-BoldMT"/>
                <w:bCs/>
                <w:color w:val="000000"/>
                <w:lang w:val="en-US"/>
              </w:rPr>
            </w:pPr>
            <w:r w:rsidRPr="00387453">
              <w:rPr>
                <w:lang w:val="ro-RO"/>
              </w:rPr>
              <w:t>Se acceptă</w:t>
            </w:r>
            <w:r>
              <w:rPr>
                <w:lang w:val="ro-RO"/>
              </w:rPr>
              <w:t xml:space="preserve"> parţial</w:t>
            </w:r>
            <w:r w:rsidRPr="00387453">
              <w:rPr>
                <w:lang w:val="ro-RO"/>
              </w:rPr>
              <w:t>.</w:t>
            </w:r>
            <w:r>
              <w:rPr>
                <w:lang w:val="ro-RO"/>
              </w:rPr>
              <w:t xml:space="preserve"> Resursele </w:t>
            </w:r>
            <w:r w:rsidRPr="00B47E2D">
              <w:rPr>
                <w:rFonts w:eastAsia="Arial-BoldMT"/>
                <w:bCs/>
                <w:color w:val="000000"/>
                <w:lang w:val="en-US"/>
              </w:rPr>
              <w:t>de masă lemnoasă în calitate</w:t>
            </w:r>
            <w:r w:rsidRPr="00B47E2D">
              <w:rPr>
                <w:rFonts w:eastAsia="Arial-BoldItalicMT"/>
                <w:bCs/>
                <w:i/>
                <w:iCs/>
                <w:color w:val="000000"/>
                <w:lang w:val="en-US"/>
              </w:rPr>
              <w:t xml:space="preserve"> </w:t>
            </w:r>
            <w:r w:rsidRPr="00B47E2D">
              <w:rPr>
                <w:rFonts w:eastAsia="Arial-BoldMT"/>
                <w:bCs/>
                <w:color w:val="000000"/>
                <w:lang w:val="en-US"/>
              </w:rPr>
              <w:t>de combustibil urmează să fie comercializate în limita stocurilor disponibile</w:t>
            </w:r>
            <w:r w:rsidRPr="00B47E2D">
              <w:rPr>
                <w:rFonts w:eastAsia="Arial-BoldItalicMT"/>
                <w:bCs/>
                <w:i/>
                <w:iCs/>
                <w:color w:val="000000"/>
                <w:lang w:val="en-US"/>
              </w:rPr>
              <w:t xml:space="preserve"> </w:t>
            </w:r>
            <w:r w:rsidRPr="00B47E2D">
              <w:rPr>
                <w:rFonts w:eastAsia="Arial-BoldMT"/>
                <w:bCs/>
                <w:color w:val="000000"/>
                <w:lang w:val="en-US"/>
              </w:rPr>
              <w:t xml:space="preserve">persoanelor fizice şi juridice şi nu să fie oferite </w:t>
            </w:r>
            <w:r>
              <w:rPr>
                <w:rFonts w:eastAsia="Arial-BoldMT"/>
                <w:bCs/>
                <w:color w:val="000000"/>
                <w:lang w:val="en-US"/>
              </w:rPr>
              <w:t>gratuit</w:t>
            </w:r>
            <w:r w:rsidRPr="00B47E2D">
              <w:rPr>
                <w:rFonts w:eastAsia="Arial-BoldMT"/>
                <w:bCs/>
                <w:color w:val="000000"/>
                <w:lang w:val="en-US"/>
              </w:rPr>
              <w:t>.</w:t>
            </w: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6E0C0F" w:rsidRDefault="006E0C0F" w:rsidP="00B47E2D">
            <w:pPr>
              <w:jc w:val="both"/>
              <w:rPr>
                <w:rFonts w:eastAsia="Arial-BoldMT"/>
                <w:bCs/>
                <w:color w:val="000000"/>
                <w:lang w:val="en-US"/>
              </w:rPr>
            </w:pPr>
            <w:r w:rsidRPr="00387453">
              <w:rPr>
                <w:lang w:val="ro-RO"/>
              </w:rPr>
              <w:t>Se acceptă</w:t>
            </w:r>
            <w:r>
              <w:rPr>
                <w:lang w:val="ro-RO"/>
              </w:rPr>
              <w:t>.</w:t>
            </w: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D659CD" w:rsidRDefault="00D659CD"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B47E2D">
            <w:pPr>
              <w:jc w:val="both"/>
              <w:rPr>
                <w:rFonts w:eastAsia="Arial-BoldMT"/>
                <w:bCs/>
                <w:color w:val="000000"/>
                <w:lang w:val="en-US"/>
              </w:rPr>
            </w:pPr>
          </w:p>
          <w:p w:rsidR="00120AD5" w:rsidRDefault="00120AD5" w:rsidP="00D659CD">
            <w:pPr>
              <w:jc w:val="both"/>
              <w:rPr>
                <w:lang w:val="en-US"/>
              </w:rPr>
            </w:pPr>
            <w:r>
              <w:rPr>
                <w:lang w:val="ro-RO"/>
              </w:rPr>
              <w:lastRenderedPageBreak/>
              <w:t>Nu s</w:t>
            </w:r>
            <w:r w:rsidRPr="00387453">
              <w:rPr>
                <w:lang w:val="ro-RO"/>
              </w:rPr>
              <w:t>e acceptă</w:t>
            </w:r>
            <w:r>
              <w:rPr>
                <w:lang w:val="ro-RO"/>
              </w:rPr>
              <w:t xml:space="preserve">. În conformitate cu </w:t>
            </w:r>
            <w:r w:rsidR="00D659CD">
              <w:rPr>
                <w:lang w:val="ro-RO"/>
              </w:rPr>
              <w:t xml:space="preserve">pct. (3), </w:t>
            </w:r>
            <w:r>
              <w:rPr>
                <w:lang w:val="ro-RO"/>
              </w:rPr>
              <w:t xml:space="preserve"> </w:t>
            </w:r>
            <w:r w:rsidR="00D659CD">
              <w:rPr>
                <w:lang w:val="ro-RO"/>
              </w:rPr>
              <w:t xml:space="preserve">art. 6 din Legea nr. 436 din 28.12.2006 privind admnistraţia publică locală între APC şi APL </w:t>
            </w:r>
            <w:r w:rsidR="00D659CD" w:rsidRPr="007060E4">
              <w:rPr>
                <w:lang w:val="en-US"/>
              </w:rPr>
              <w:t>nu există raporturi de subordonare</w:t>
            </w:r>
            <w:r w:rsidR="00D659CD">
              <w:rPr>
                <w:lang w:val="en-US"/>
              </w:rPr>
              <w:t xml:space="preserve"> şi conform</w:t>
            </w:r>
            <w:r w:rsidR="00D659CD">
              <w:rPr>
                <w:lang w:val="ro-RO"/>
              </w:rPr>
              <w:t xml:space="preserve"> pct. (3),  art. 10 din Legea nr. 436 din 28.12.2006 APC </w:t>
            </w:r>
            <w:r w:rsidR="00D659CD" w:rsidRPr="007060E4">
              <w:rPr>
                <w:lang w:val="en-US"/>
              </w:rPr>
              <w:t>nu pot să stabilească ori să impună competenţe</w:t>
            </w:r>
            <w:r w:rsidR="00D659CD">
              <w:rPr>
                <w:lang w:val="en-US"/>
              </w:rPr>
              <w:t xml:space="preserve"> APL.</w:t>
            </w:r>
          </w:p>
          <w:p w:rsidR="00D659CD" w:rsidRDefault="00D659CD" w:rsidP="00D659CD">
            <w:pPr>
              <w:jc w:val="both"/>
              <w:rPr>
                <w:lang w:val="en-US"/>
              </w:rPr>
            </w:pPr>
          </w:p>
          <w:p w:rsidR="00D659CD" w:rsidRDefault="00D659CD" w:rsidP="00D659CD">
            <w:pPr>
              <w:jc w:val="both"/>
              <w:rPr>
                <w:lang w:val="en-US"/>
              </w:rPr>
            </w:pPr>
          </w:p>
          <w:p w:rsidR="00D659CD" w:rsidRDefault="00D659CD" w:rsidP="00D659CD">
            <w:pPr>
              <w:jc w:val="both"/>
              <w:rPr>
                <w:lang w:val="en-US"/>
              </w:rPr>
            </w:pPr>
          </w:p>
          <w:p w:rsidR="00D659CD" w:rsidRDefault="006E0C0F" w:rsidP="00D659CD">
            <w:pPr>
              <w:jc w:val="both"/>
              <w:rPr>
                <w:lang w:val="en-US"/>
              </w:rPr>
            </w:pPr>
            <w:r>
              <w:rPr>
                <w:lang w:val="en-US"/>
              </w:rPr>
              <w:t>Nu se acceptă. Relaţiile dintre conducătorii autorităţilor şi instituţiilor publice ierarhic superior sunt deja stabilite şi obligativitatea îndeplinirii prevederilor HG în cauză cad sub incidenţa relaţiilor respective deja stabilite.</w:t>
            </w:r>
          </w:p>
          <w:p w:rsidR="00D659CD" w:rsidRDefault="00D659CD" w:rsidP="00D659CD">
            <w:pPr>
              <w:jc w:val="both"/>
              <w:rPr>
                <w:lang w:val="en-US"/>
              </w:rPr>
            </w:pPr>
          </w:p>
          <w:p w:rsidR="00D659CD" w:rsidRDefault="00D659CD" w:rsidP="00D659CD">
            <w:pPr>
              <w:jc w:val="both"/>
              <w:rPr>
                <w:lang w:val="en-US"/>
              </w:rPr>
            </w:pPr>
          </w:p>
          <w:p w:rsidR="00D659CD" w:rsidRDefault="00D659CD" w:rsidP="00D659CD">
            <w:pPr>
              <w:jc w:val="both"/>
              <w:rPr>
                <w:lang w:val="en-US"/>
              </w:rPr>
            </w:pPr>
          </w:p>
          <w:p w:rsidR="00D659CD" w:rsidRDefault="00D659CD" w:rsidP="00D659CD">
            <w:pPr>
              <w:jc w:val="both"/>
              <w:rPr>
                <w:lang w:val="en-US"/>
              </w:rPr>
            </w:pPr>
          </w:p>
          <w:p w:rsidR="00D659CD" w:rsidRDefault="00D659CD" w:rsidP="00D659CD">
            <w:pPr>
              <w:jc w:val="both"/>
              <w:rPr>
                <w:lang w:val="en-US"/>
              </w:rPr>
            </w:pPr>
          </w:p>
          <w:p w:rsidR="00D659CD" w:rsidRDefault="00D659CD" w:rsidP="00D659CD">
            <w:pPr>
              <w:jc w:val="both"/>
              <w:rPr>
                <w:lang w:val="en-US"/>
              </w:rPr>
            </w:pPr>
          </w:p>
          <w:p w:rsidR="00D659CD" w:rsidRDefault="00D659CD" w:rsidP="00D659CD">
            <w:pPr>
              <w:jc w:val="both"/>
              <w:rPr>
                <w:lang w:val="en-US"/>
              </w:rPr>
            </w:pPr>
          </w:p>
          <w:p w:rsidR="00D659CD" w:rsidRDefault="00D659CD" w:rsidP="00291D03">
            <w:pPr>
              <w:jc w:val="both"/>
              <w:rPr>
                <w:lang w:val="en-US"/>
              </w:rPr>
            </w:pPr>
            <w:r>
              <w:rPr>
                <w:lang w:val="en-US"/>
              </w:rPr>
              <w:t xml:space="preserve">Se acceptă parţial. În proiectul HG </w:t>
            </w:r>
            <w:r w:rsidR="00291D03">
              <w:rPr>
                <w:lang w:val="en-US"/>
              </w:rPr>
              <w:t>î</w:t>
            </w:r>
            <w:r>
              <w:rPr>
                <w:lang w:val="en-US"/>
              </w:rPr>
              <w:t xml:space="preserve">n cauză </w:t>
            </w:r>
            <w:r w:rsidR="00291D03">
              <w:rPr>
                <w:lang w:val="en-US"/>
              </w:rPr>
              <w:t>conform pct. 3</w:t>
            </w:r>
            <w:proofErr w:type="gramStart"/>
            <w:r w:rsidR="00291D03">
              <w:rPr>
                <w:lang w:val="en-US"/>
              </w:rPr>
              <w:t>,  informaţia</w:t>
            </w:r>
            <w:proofErr w:type="gramEnd"/>
            <w:r w:rsidR="00291D03">
              <w:rPr>
                <w:lang w:val="en-US"/>
              </w:rPr>
              <w:t xml:space="preserve"> va fi prezentată conform anexelor la HG în care sunt prevăzute te</w:t>
            </w:r>
            <w:r w:rsidR="00131B6E">
              <w:rPr>
                <w:lang w:val="en-US"/>
              </w:rPr>
              <w:t>rmenele de raportare, după nece</w:t>
            </w:r>
            <w:bookmarkStart w:id="0" w:name="_GoBack"/>
            <w:bookmarkEnd w:id="0"/>
            <w:r w:rsidR="00291D03">
              <w:rPr>
                <w:lang w:val="en-US"/>
              </w:rPr>
              <w:t>sitate premergător perioadei rece a anului.</w:t>
            </w:r>
          </w:p>
          <w:p w:rsidR="006E0C0F" w:rsidRDefault="006E0C0F" w:rsidP="00291D03">
            <w:pPr>
              <w:jc w:val="both"/>
              <w:rPr>
                <w:lang w:val="en-US"/>
              </w:rPr>
            </w:pPr>
          </w:p>
          <w:p w:rsidR="006E0C0F" w:rsidRDefault="006E0C0F" w:rsidP="00291D03">
            <w:pPr>
              <w:jc w:val="both"/>
              <w:rPr>
                <w:lang w:val="en-US"/>
              </w:rPr>
            </w:pPr>
          </w:p>
          <w:p w:rsidR="006E0C0F" w:rsidRDefault="006E0C0F" w:rsidP="006E0C0F">
            <w:pPr>
              <w:jc w:val="both"/>
              <w:rPr>
                <w:rFonts w:eastAsia="Arial-BoldMT"/>
                <w:bCs/>
                <w:color w:val="000000"/>
                <w:lang w:val="en-US"/>
              </w:rPr>
            </w:pPr>
            <w:r w:rsidRPr="00387453">
              <w:rPr>
                <w:lang w:val="ro-RO"/>
              </w:rPr>
              <w:t>Se acceptă</w:t>
            </w:r>
            <w:r>
              <w:rPr>
                <w:lang w:val="ro-RO"/>
              </w:rPr>
              <w:t>.</w:t>
            </w:r>
          </w:p>
          <w:p w:rsidR="006E0C0F" w:rsidRPr="002836E6" w:rsidRDefault="006E0C0F" w:rsidP="00291D03">
            <w:pPr>
              <w:jc w:val="both"/>
              <w:rPr>
                <w:lang w:val="ro-RO"/>
              </w:rPr>
            </w:pPr>
          </w:p>
        </w:tc>
      </w:tr>
      <w:tr w:rsidR="00DA7CA1" w:rsidRPr="00131B6E" w:rsidTr="00CE64E8">
        <w:trPr>
          <w:trHeight w:val="640"/>
        </w:trPr>
        <w:tc>
          <w:tcPr>
            <w:tcW w:w="14282" w:type="dxa"/>
            <w:gridSpan w:val="3"/>
            <w:vAlign w:val="center"/>
          </w:tcPr>
          <w:p w:rsidR="009B560E" w:rsidRPr="00387453" w:rsidRDefault="007C736D" w:rsidP="0087520A">
            <w:pPr>
              <w:jc w:val="center"/>
              <w:rPr>
                <w:b/>
                <w:lang w:val="ro-RO"/>
              </w:rPr>
            </w:pPr>
            <w:r w:rsidRPr="00387453">
              <w:rPr>
                <w:b/>
                <w:highlight w:val="yellow"/>
                <w:lang w:val="ro-RO"/>
              </w:rPr>
              <w:lastRenderedPageBreak/>
              <w:t>Ministerul Finanțelor</w:t>
            </w:r>
            <w:r w:rsidRPr="00387453">
              <w:rPr>
                <w:highlight w:val="yellow"/>
                <w:lang w:val="ro-RO"/>
              </w:rPr>
              <w:t xml:space="preserve"> </w:t>
            </w:r>
            <w:r w:rsidR="009B560E" w:rsidRPr="00387453">
              <w:rPr>
                <w:b/>
                <w:highlight w:val="yellow"/>
                <w:lang w:val="ro-RO"/>
              </w:rPr>
              <w:t>a prezentat avizul prin scrisoarea nr</w:t>
            </w:r>
            <w:r w:rsidR="00E85E13" w:rsidRPr="00387453">
              <w:rPr>
                <w:b/>
                <w:highlight w:val="yellow"/>
                <w:lang w:val="ro-RO"/>
              </w:rPr>
              <w:t>. 11/1-2-09/1180 din 01.08.2016</w:t>
            </w:r>
            <w:r w:rsidR="00CD547B" w:rsidRPr="00387453">
              <w:rPr>
                <w:b/>
                <w:highlight w:val="yellow"/>
                <w:lang w:val="ro-RO"/>
              </w:rPr>
              <w:t>.</w:t>
            </w:r>
          </w:p>
        </w:tc>
      </w:tr>
      <w:tr w:rsidR="00DA7CA1" w:rsidRPr="00131B6E" w:rsidTr="00CE64E8">
        <w:tc>
          <w:tcPr>
            <w:tcW w:w="840" w:type="dxa"/>
          </w:tcPr>
          <w:p w:rsidR="009B560E" w:rsidRPr="00387453" w:rsidRDefault="009B560E" w:rsidP="00EF6366">
            <w:pPr>
              <w:jc w:val="center"/>
              <w:rPr>
                <w:lang w:val="ro-RO"/>
              </w:rPr>
            </w:pPr>
            <w:r w:rsidRPr="00387453">
              <w:rPr>
                <w:lang w:val="ro-RO"/>
              </w:rPr>
              <w:t>1.</w:t>
            </w:r>
          </w:p>
        </w:tc>
        <w:tc>
          <w:tcPr>
            <w:tcW w:w="9225" w:type="dxa"/>
            <w:vAlign w:val="center"/>
          </w:tcPr>
          <w:p w:rsidR="00125E08" w:rsidRPr="00387453" w:rsidRDefault="00125E08" w:rsidP="00125E08">
            <w:pPr>
              <w:spacing w:line="276" w:lineRule="auto"/>
              <w:ind w:firstLine="720"/>
              <w:jc w:val="both"/>
              <w:rPr>
                <w:lang w:val="nl-NL"/>
              </w:rPr>
            </w:pPr>
            <w:r w:rsidRPr="00387453">
              <w:rPr>
                <w:lang w:val="en-US"/>
              </w:rPr>
              <w:t xml:space="preserve">Ministerul Finanțelor </w:t>
            </w:r>
            <w:proofErr w:type="gramStart"/>
            <w:r w:rsidRPr="00387453">
              <w:rPr>
                <w:lang w:val="en-US"/>
              </w:rPr>
              <w:t>a</w:t>
            </w:r>
            <w:proofErr w:type="gramEnd"/>
            <w:r w:rsidRPr="00387453">
              <w:rPr>
                <w:lang w:val="en-US"/>
              </w:rPr>
              <w:t xml:space="preserve"> examinat proiectul Hotărîrii Guvernului cu privire la măsurile de pregătire a economiei naționale și a sferei sociale pentru activitate în perioada toamnă-iarnă 2016-2017 și </w:t>
            </w:r>
            <w:r w:rsidRPr="00387453">
              <w:rPr>
                <w:lang w:val="nl-NL"/>
              </w:rPr>
              <w:t>comunică următoarele.</w:t>
            </w:r>
          </w:p>
          <w:p w:rsidR="00125E08" w:rsidRPr="00387453" w:rsidRDefault="00125E08" w:rsidP="00125E08">
            <w:pPr>
              <w:tabs>
                <w:tab w:val="left" w:pos="1170"/>
              </w:tabs>
              <w:spacing w:line="276" w:lineRule="auto"/>
              <w:ind w:firstLine="810"/>
              <w:jc w:val="both"/>
              <w:rPr>
                <w:bCs/>
                <w:lang w:val="en-US"/>
              </w:rPr>
            </w:pPr>
            <w:r w:rsidRPr="00387453">
              <w:rPr>
                <w:bCs/>
                <w:lang w:val="en-US"/>
              </w:rPr>
              <w:t xml:space="preserve">În contextul </w:t>
            </w:r>
            <w:proofErr w:type="gramStart"/>
            <w:r w:rsidRPr="00387453">
              <w:rPr>
                <w:bCs/>
                <w:lang w:val="en-US"/>
              </w:rPr>
              <w:t>reformelor  în</w:t>
            </w:r>
            <w:proofErr w:type="gramEnd"/>
            <w:r w:rsidRPr="00387453">
              <w:rPr>
                <w:bCs/>
                <w:lang w:val="en-US"/>
              </w:rPr>
              <w:t xml:space="preserve"> domeniul finanțelor publice, a fost elaborat și pus în aplicare un cadru legislativ și normativ nou, de asemenea a fost elaborat Sistemul Informațional de Management Financiar, care nu prevede abordarea de ,,cont special”, dar care pune accent pe prioritizarea cheltuielilor bugetare.</w:t>
            </w:r>
          </w:p>
          <w:p w:rsidR="00125E08" w:rsidRPr="00387453" w:rsidRDefault="00125E08" w:rsidP="00125E08">
            <w:pPr>
              <w:tabs>
                <w:tab w:val="left" w:pos="1170"/>
              </w:tabs>
              <w:spacing w:line="276" w:lineRule="auto"/>
              <w:ind w:firstLine="810"/>
              <w:jc w:val="both"/>
              <w:rPr>
                <w:lang w:val="en-US"/>
              </w:rPr>
            </w:pPr>
            <w:r w:rsidRPr="00387453">
              <w:rPr>
                <w:lang w:val="en-US"/>
              </w:rPr>
              <w:t xml:space="preserve">Astfel, conform articolului 67, alineatul 2, litera c) din </w:t>
            </w:r>
            <w:r w:rsidRPr="00387453">
              <w:rPr>
                <w:bCs/>
                <w:lang w:val="en-US"/>
              </w:rPr>
              <w:t xml:space="preserve">Legea finanţelor publice şi responsabilităţii bugetar-fiscale nr.181 din 25 iulie 2014 </w:t>
            </w:r>
            <w:r w:rsidRPr="00387453">
              <w:rPr>
                <w:lang w:val="en-US"/>
              </w:rPr>
              <w:t>cheltuielile pentru resursele termoenergetice au fost stabilite ca fiind prioritare.</w:t>
            </w:r>
          </w:p>
          <w:p w:rsidR="00125E08" w:rsidRPr="00387453" w:rsidRDefault="00125E08" w:rsidP="00125E08">
            <w:pPr>
              <w:tabs>
                <w:tab w:val="left" w:pos="1170"/>
              </w:tabs>
              <w:spacing w:line="276" w:lineRule="auto"/>
              <w:ind w:firstLine="810"/>
              <w:jc w:val="both"/>
              <w:rPr>
                <w:lang w:val="en-US"/>
              </w:rPr>
            </w:pPr>
            <w:r w:rsidRPr="00387453">
              <w:rPr>
                <w:bCs/>
                <w:lang w:val="en-US"/>
              </w:rPr>
              <w:t>Reieșind din cele expuse, se propune:</w:t>
            </w:r>
          </w:p>
          <w:p w:rsidR="00125E08" w:rsidRPr="00387453" w:rsidRDefault="00125E08" w:rsidP="00125E08">
            <w:pPr>
              <w:pStyle w:val="ListParagraph"/>
              <w:numPr>
                <w:ilvl w:val="0"/>
                <w:numId w:val="26"/>
              </w:numPr>
              <w:spacing w:after="0"/>
              <w:jc w:val="both"/>
            </w:pPr>
            <w:r w:rsidRPr="00387453">
              <w:rPr>
                <w:lang w:val="nl-NL"/>
              </w:rPr>
              <w:t xml:space="preserve">Pe parcursul textului proiectului Hotărîrii și anexelor, denumirea </w:t>
            </w:r>
            <w:r w:rsidRPr="00387453">
              <w:rPr>
                <w:i/>
                <w:lang w:val="nl-NL"/>
              </w:rPr>
              <w:t>Regulamentului privind gestionarea mijloacelor contului trezorerial cu destinație specială de pregătire a economiei naționale și a sferei sociale pentru activitate în perioada de toamnă-iarnă 2016-2017</w:t>
            </w:r>
            <w:r w:rsidRPr="00387453">
              <w:rPr>
                <w:lang w:val="nl-NL"/>
              </w:rPr>
              <w:t xml:space="preserve"> să se expună în următoarea redacție:</w:t>
            </w:r>
          </w:p>
          <w:p w:rsidR="00125E08" w:rsidRPr="00387453" w:rsidRDefault="00125E08" w:rsidP="00125E08">
            <w:pPr>
              <w:pStyle w:val="ListParagraph"/>
              <w:spacing w:after="120"/>
              <w:ind w:left="446"/>
              <w:jc w:val="both"/>
            </w:pPr>
            <w:r w:rsidRPr="00387453">
              <w:rPr>
                <w:lang w:val="nl-NL"/>
              </w:rPr>
              <w:t>,,</w:t>
            </w:r>
            <w:r w:rsidRPr="00387453">
              <w:rPr>
                <w:i/>
                <w:lang w:val="nl-NL"/>
              </w:rPr>
              <w:t>Regulamentul privind gestionarea mijloacelor financiare privind pregătirea economiei naționale și a sferei sociale pentru activitate în perioada de toamnă-iarnă 2016-2017</w:t>
            </w:r>
            <w:r w:rsidRPr="00387453">
              <w:rPr>
                <w:lang w:val="nl-NL"/>
              </w:rPr>
              <w:t>,,</w:t>
            </w:r>
          </w:p>
          <w:p w:rsidR="00125E08" w:rsidRPr="00387453" w:rsidRDefault="00125E08" w:rsidP="00125E08">
            <w:pPr>
              <w:pStyle w:val="ListParagraph"/>
              <w:numPr>
                <w:ilvl w:val="0"/>
                <w:numId w:val="26"/>
              </w:numPr>
              <w:spacing w:after="0"/>
              <w:jc w:val="both"/>
            </w:pPr>
            <w:r w:rsidRPr="00387453">
              <w:rPr>
                <w:lang w:val="nl-NL"/>
              </w:rPr>
              <w:t>La punctul 2, literele c) și d) să se excludă;</w:t>
            </w:r>
          </w:p>
          <w:p w:rsidR="00125E08" w:rsidRPr="00387453" w:rsidRDefault="00125E08" w:rsidP="00125E08">
            <w:pPr>
              <w:pStyle w:val="ListParagraph"/>
              <w:numPr>
                <w:ilvl w:val="0"/>
                <w:numId w:val="26"/>
              </w:numPr>
              <w:spacing w:after="0"/>
              <w:jc w:val="both"/>
            </w:pPr>
            <w:r w:rsidRPr="00387453">
              <w:t xml:space="preserve">La punctul 5, litera b) sintagma ,,utilizînd, la necesitate, alocațiile bugetare și mijloacele financiare din contul cu destinație specială” </w:t>
            </w:r>
            <w:r w:rsidRPr="00387453">
              <w:rPr>
                <w:lang w:val="nl-NL"/>
              </w:rPr>
              <w:t>să se excludă;</w:t>
            </w:r>
          </w:p>
          <w:p w:rsidR="00125E08" w:rsidRPr="00387453" w:rsidRDefault="00125E08" w:rsidP="00125E08">
            <w:pPr>
              <w:pStyle w:val="ListParagraph"/>
              <w:numPr>
                <w:ilvl w:val="0"/>
                <w:numId w:val="26"/>
              </w:numPr>
              <w:spacing w:after="0"/>
              <w:jc w:val="both"/>
            </w:pPr>
            <w:r w:rsidRPr="00387453">
              <w:rPr>
                <w:lang w:val="nl-NL"/>
              </w:rPr>
              <w:t>La punctul 6, litera c) sintagma ,,articolele și alineatele” să se substituie cu ,,coduri ale Clasificației economice”.</w:t>
            </w:r>
          </w:p>
          <w:p w:rsidR="00125E08" w:rsidRPr="00387453" w:rsidRDefault="00125E08" w:rsidP="00125E08">
            <w:pPr>
              <w:pStyle w:val="ListParagraph"/>
              <w:numPr>
                <w:ilvl w:val="0"/>
                <w:numId w:val="26"/>
              </w:numPr>
              <w:spacing w:after="0"/>
              <w:jc w:val="both"/>
            </w:pPr>
            <w:r w:rsidRPr="00387453">
              <w:rPr>
                <w:lang w:val="nl-NL"/>
              </w:rPr>
              <w:t>În anexa 5 a proiectului hotărîrii, punctul 2 să se modifice și să se expună în următoarea redacție:</w:t>
            </w:r>
          </w:p>
          <w:p w:rsidR="00125E08" w:rsidRPr="00387453" w:rsidRDefault="00125E08" w:rsidP="00125E08">
            <w:pPr>
              <w:pStyle w:val="NormalWeb"/>
              <w:spacing w:line="276" w:lineRule="auto"/>
              <w:rPr>
                <w:lang w:val="en-US"/>
              </w:rPr>
            </w:pPr>
            <w:r w:rsidRPr="00387453">
              <w:rPr>
                <w:bCs/>
                <w:lang w:val="en-US"/>
              </w:rPr>
              <w:t>,, 2.</w:t>
            </w:r>
            <w:r w:rsidRPr="00387453">
              <w:rPr>
                <w:lang w:val="en-US"/>
              </w:rPr>
              <w:t xml:space="preserve"> Pentru achitarea datoriilor instituţiilor finanţate de la bugetul de stat se vor efectua cheltuieli, conform clasificaţiei economice, după cum urmează:</w:t>
            </w:r>
          </w:p>
          <w:p w:rsidR="00125E08" w:rsidRPr="00387453" w:rsidRDefault="00125E08" w:rsidP="00125E08">
            <w:pPr>
              <w:pStyle w:val="NormalWeb"/>
              <w:spacing w:line="276" w:lineRule="auto"/>
              <w:rPr>
                <w:lang w:val="en-US"/>
              </w:rPr>
            </w:pPr>
            <w:r w:rsidRPr="00387453">
              <w:rPr>
                <w:lang w:val="en-US"/>
              </w:rPr>
              <w:t xml:space="preserve">222110 – energie electrică; </w:t>
            </w:r>
          </w:p>
          <w:p w:rsidR="00125E08" w:rsidRPr="00387453" w:rsidRDefault="00125E08" w:rsidP="00125E08">
            <w:pPr>
              <w:pStyle w:val="NormalWeb"/>
              <w:spacing w:line="276" w:lineRule="auto"/>
              <w:rPr>
                <w:lang w:val="en-US"/>
              </w:rPr>
            </w:pPr>
            <w:r w:rsidRPr="00387453">
              <w:rPr>
                <w:lang w:val="en-US"/>
              </w:rPr>
              <w:t xml:space="preserve">222120 – gaze; </w:t>
            </w:r>
          </w:p>
          <w:p w:rsidR="00125E08" w:rsidRPr="00387453" w:rsidRDefault="00125E08" w:rsidP="00125E08">
            <w:pPr>
              <w:pStyle w:val="NormalWeb"/>
              <w:spacing w:line="276" w:lineRule="auto"/>
              <w:rPr>
                <w:lang w:val="en-US"/>
              </w:rPr>
            </w:pPr>
            <w:r w:rsidRPr="00387453">
              <w:rPr>
                <w:lang w:val="en-US"/>
              </w:rPr>
              <w:t xml:space="preserve">222130 – energie termică; </w:t>
            </w:r>
          </w:p>
          <w:p w:rsidR="00125E08" w:rsidRPr="00387453" w:rsidRDefault="00125E08" w:rsidP="00125E08">
            <w:pPr>
              <w:pStyle w:val="NormalWeb"/>
              <w:spacing w:line="276" w:lineRule="auto"/>
              <w:rPr>
                <w:lang w:val="en-US"/>
              </w:rPr>
            </w:pPr>
            <w:r w:rsidRPr="00387453">
              <w:rPr>
                <w:lang w:val="en-US"/>
              </w:rPr>
              <w:t xml:space="preserve">222140 – apă şi canalizare; </w:t>
            </w:r>
          </w:p>
          <w:p w:rsidR="00125E08" w:rsidRPr="00387453" w:rsidRDefault="00125E08" w:rsidP="00125E08">
            <w:pPr>
              <w:pStyle w:val="NormalWeb"/>
              <w:spacing w:line="276" w:lineRule="auto"/>
              <w:rPr>
                <w:lang w:val="en-US"/>
              </w:rPr>
            </w:pPr>
            <w:r w:rsidRPr="00387453">
              <w:rPr>
                <w:lang w:val="en-US"/>
              </w:rPr>
              <w:lastRenderedPageBreak/>
              <w:t xml:space="preserve">222500 – servicii de reparaţii curente; </w:t>
            </w:r>
          </w:p>
          <w:p w:rsidR="00125E08" w:rsidRPr="00387453" w:rsidRDefault="00125E08" w:rsidP="00125E08">
            <w:pPr>
              <w:pStyle w:val="NormalWeb"/>
              <w:spacing w:line="276" w:lineRule="auto"/>
              <w:rPr>
                <w:lang w:val="en-US"/>
              </w:rPr>
            </w:pPr>
            <w:r w:rsidRPr="00387453">
              <w:rPr>
                <w:lang w:val="en-US"/>
              </w:rPr>
              <w:t xml:space="preserve">311120 – reparaţii capitale ale clădirilor; </w:t>
            </w:r>
          </w:p>
          <w:p w:rsidR="00125E08" w:rsidRPr="00387453" w:rsidRDefault="00125E08" w:rsidP="00125E08">
            <w:pPr>
              <w:pStyle w:val="NormalWeb"/>
              <w:spacing w:line="276" w:lineRule="auto"/>
              <w:rPr>
                <w:lang w:val="en-US"/>
              </w:rPr>
            </w:pPr>
            <w:r w:rsidRPr="00387453">
              <w:rPr>
                <w:lang w:val="en-US"/>
              </w:rPr>
              <w:t xml:space="preserve">318120 – reparaţii capitale ale altor mijloace fixe; </w:t>
            </w:r>
          </w:p>
          <w:p w:rsidR="00125E08" w:rsidRPr="00387453" w:rsidRDefault="00125E08" w:rsidP="00125E08">
            <w:pPr>
              <w:pStyle w:val="NormalWeb"/>
              <w:spacing w:line="276" w:lineRule="auto"/>
              <w:rPr>
                <w:lang w:val="en-US"/>
              </w:rPr>
            </w:pPr>
            <w:r w:rsidRPr="00387453">
              <w:rPr>
                <w:lang w:val="en-US"/>
              </w:rPr>
              <w:t xml:space="preserve">319200 – investiţii capitale în active materiale în curs de execuţie; </w:t>
            </w:r>
          </w:p>
          <w:p w:rsidR="009B560E" w:rsidRPr="00387453" w:rsidRDefault="00125E08" w:rsidP="00125E08">
            <w:pPr>
              <w:pStyle w:val="NormalWeb"/>
              <w:spacing w:line="276" w:lineRule="auto"/>
              <w:rPr>
                <w:lang w:val="ro-RO"/>
              </w:rPr>
            </w:pPr>
            <w:r w:rsidRPr="00387453">
              <w:t>331000 – combustibil, carburanţi şi lubrifianţi.”</w:t>
            </w:r>
          </w:p>
        </w:tc>
        <w:tc>
          <w:tcPr>
            <w:tcW w:w="4217" w:type="dxa"/>
          </w:tcPr>
          <w:p w:rsidR="006823DF" w:rsidRPr="00387453" w:rsidRDefault="006823DF" w:rsidP="006823DF">
            <w:pPr>
              <w:rPr>
                <w:lang w:val="ro-RO"/>
              </w:rPr>
            </w:pPr>
          </w:p>
          <w:p w:rsidR="006823DF" w:rsidRPr="00387453" w:rsidRDefault="006823DF" w:rsidP="006823DF">
            <w:pPr>
              <w:rPr>
                <w:lang w:val="ro-RO"/>
              </w:rPr>
            </w:pPr>
          </w:p>
          <w:p w:rsidR="006823DF" w:rsidRPr="00387453" w:rsidRDefault="006823DF"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Default="00125E08" w:rsidP="006823DF">
            <w:pPr>
              <w:rPr>
                <w:lang w:val="ro-RO"/>
              </w:rPr>
            </w:pPr>
          </w:p>
          <w:p w:rsidR="006E0C0F" w:rsidRPr="00387453" w:rsidRDefault="006E0C0F" w:rsidP="006823DF">
            <w:pPr>
              <w:rPr>
                <w:lang w:val="ro-RO"/>
              </w:rPr>
            </w:pPr>
          </w:p>
          <w:p w:rsidR="00125E08" w:rsidRPr="00387453" w:rsidRDefault="00125E08" w:rsidP="00125E08">
            <w:pPr>
              <w:jc w:val="both"/>
              <w:rPr>
                <w:lang w:val="ro-RO"/>
              </w:rPr>
            </w:pPr>
            <w:r w:rsidRPr="00387453">
              <w:rPr>
                <w:lang w:val="ro-RO"/>
              </w:rPr>
              <w:t>Se acceptă. Textul a fost redactat.</w:t>
            </w: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125E08">
            <w:pPr>
              <w:jc w:val="both"/>
              <w:rPr>
                <w:lang w:val="ro-RO"/>
              </w:rPr>
            </w:pPr>
            <w:r w:rsidRPr="00387453">
              <w:rPr>
                <w:lang w:val="ro-RO"/>
              </w:rPr>
              <w:t>Se acceptă. Textul a fost redactat.</w:t>
            </w:r>
          </w:p>
          <w:p w:rsidR="00125E08" w:rsidRPr="00387453" w:rsidRDefault="00125E08" w:rsidP="00125E08">
            <w:pPr>
              <w:jc w:val="both"/>
              <w:rPr>
                <w:lang w:val="ro-RO"/>
              </w:rPr>
            </w:pPr>
            <w:r w:rsidRPr="00387453">
              <w:rPr>
                <w:lang w:val="ro-RO"/>
              </w:rPr>
              <w:t>Se acceptă. Textul a fost redactat.</w:t>
            </w: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125E08">
            <w:pPr>
              <w:jc w:val="both"/>
              <w:rPr>
                <w:lang w:val="ro-RO"/>
              </w:rPr>
            </w:pPr>
            <w:r w:rsidRPr="00387453">
              <w:rPr>
                <w:lang w:val="ro-RO"/>
              </w:rPr>
              <w:t>Se acceptă. Textul a fost redactat.</w:t>
            </w:r>
          </w:p>
          <w:p w:rsidR="00125E08" w:rsidRPr="00387453" w:rsidRDefault="00125E08" w:rsidP="006823DF">
            <w:pPr>
              <w:rPr>
                <w:lang w:val="ro-RO"/>
              </w:rPr>
            </w:pPr>
          </w:p>
          <w:p w:rsidR="00125E08" w:rsidRPr="00387453" w:rsidRDefault="00125E08" w:rsidP="006823DF">
            <w:pPr>
              <w:rPr>
                <w:lang w:val="ro-RO"/>
              </w:rPr>
            </w:pPr>
          </w:p>
          <w:p w:rsidR="00125E08" w:rsidRPr="00387453" w:rsidRDefault="00125E08" w:rsidP="00125E08">
            <w:pPr>
              <w:jc w:val="both"/>
              <w:rPr>
                <w:lang w:val="ro-RO"/>
              </w:rPr>
            </w:pPr>
            <w:r w:rsidRPr="00387453">
              <w:rPr>
                <w:lang w:val="ro-RO"/>
              </w:rPr>
              <w:t>Se acceptă. Textul a fost redactat.</w:t>
            </w:r>
          </w:p>
          <w:p w:rsidR="00125E08" w:rsidRPr="00387453" w:rsidRDefault="00125E08" w:rsidP="006823DF">
            <w:pPr>
              <w:rPr>
                <w:lang w:val="ro-RO"/>
              </w:rPr>
            </w:pPr>
          </w:p>
        </w:tc>
      </w:tr>
      <w:tr w:rsidR="00DA7CA1" w:rsidRPr="00131B6E" w:rsidTr="00CE64E8">
        <w:trPr>
          <w:trHeight w:val="654"/>
        </w:trPr>
        <w:tc>
          <w:tcPr>
            <w:tcW w:w="14282" w:type="dxa"/>
            <w:gridSpan w:val="3"/>
            <w:vAlign w:val="center"/>
          </w:tcPr>
          <w:p w:rsidR="009B560E" w:rsidRPr="00387453" w:rsidRDefault="00E92247" w:rsidP="00E92247">
            <w:pPr>
              <w:jc w:val="center"/>
              <w:rPr>
                <w:b/>
                <w:lang w:val="ro-RO"/>
              </w:rPr>
            </w:pPr>
            <w:r w:rsidRPr="00387453">
              <w:rPr>
                <w:b/>
                <w:highlight w:val="yellow"/>
                <w:lang w:val="ro-RO"/>
              </w:rPr>
              <w:lastRenderedPageBreak/>
              <w:t>Ministerul Dezvoltării Regionale și Construcțiilor</w:t>
            </w:r>
            <w:r w:rsidR="009B560E" w:rsidRPr="00387453">
              <w:rPr>
                <w:b/>
                <w:highlight w:val="yellow"/>
                <w:lang w:val="ro-RO"/>
              </w:rPr>
              <w:t xml:space="preserve"> a prezentat avizul prin scrisoarea nr. </w:t>
            </w:r>
            <w:r w:rsidRPr="00387453">
              <w:rPr>
                <w:b/>
                <w:highlight w:val="yellow"/>
                <w:lang w:val="ro-RO"/>
              </w:rPr>
              <w:t>03/3-1584</w:t>
            </w:r>
            <w:r w:rsidR="008973EA" w:rsidRPr="00387453">
              <w:rPr>
                <w:b/>
                <w:highlight w:val="yellow"/>
                <w:lang w:val="ro-RO"/>
              </w:rPr>
              <w:t xml:space="preserve"> din </w:t>
            </w:r>
            <w:r w:rsidRPr="00387453">
              <w:rPr>
                <w:b/>
                <w:highlight w:val="yellow"/>
                <w:lang w:val="ro-RO"/>
              </w:rPr>
              <w:t>11.07.2016</w:t>
            </w:r>
          </w:p>
        </w:tc>
      </w:tr>
      <w:tr w:rsidR="00DA7CA1" w:rsidRPr="00387453" w:rsidTr="00CE64E8">
        <w:tc>
          <w:tcPr>
            <w:tcW w:w="840" w:type="dxa"/>
          </w:tcPr>
          <w:p w:rsidR="009B560E" w:rsidRPr="00387453" w:rsidRDefault="00651BAD" w:rsidP="00EF6366">
            <w:pPr>
              <w:jc w:val="center"/>
              <w:rPr>
                <w:lang w:val="ro-RO"/>
              </w:rPr>
            </w:pPr>
            <w:r w:rsidRPr="00387453">
              <w:rPr>
                <w:lang w:val="ro-RO"/>
              </w:rPr>
              <w:t>1.</w:t>
            </w:r>
          </w:p>
        </w:tc>
        <w:tc>
          <w:tcPr>
            <w:tcW w:w="9225" w:type="dxa"/>
            <w:vAlign w:val="center"/>
          </w:tcPr>
          <w:p w:rsidR="00E92247" w:rsidRPr="00387453" w:rsidRDefault="00E92247" w:rsidP="00E92247">
            <w:pPr>
              <w:pStyle w:val="FR2"/>
              <w:tabs>
                <w:tab w:val="left" w:pos="567"/>
                <w:tab w:val="left" w:pos="6379"/>
                <w:tab w:val="left" w:pos="9555"/>
              </w:tabs>
              <w:spacing w:before="0" w:line="240" w:lineRule="auto"/>
              <w:ind w:left="0" w:firstLine="612"/>
              <w:jc w:val="both"/>
              <w:rPr>
                <w:rFonts w:ascii="Times New Roman" w:hAnsi="Times New Roman"/>
                <w:szCs w:val="24"/>
              </w:rPr>
            </w:pPr>
            <w:r w:rsidRPr="00387453">
              <w:rPr>
                <w:rFonts w:ascii="Times New Roman" w:hAnsi="Times New Roman"/>
                <w:szCs w:val="24"/>
              </w:rPr>
              <w:t>Ministerul Dezvoltării Regionale și Construcțiilor a examinat proiectul Hotărîrii de Guvern ,,</w:t>
            </w:r>
            <w:r w:rsidRPr="00387453">
              <w:rPr>
                <w:rFonts w:ascii="Times New Roman" w:hAnsi="Times New Roman"/>
                <w:i/>
                <w:szCs w:val="24"/>
              </w:rPr>
              <w:t xml:space="preserve">Cu privire la măsurile de pregătire a economiei naționale și a sferei sociale pentru activitate în perioada de toamnă-iarnă  2016-2017”, </w:t>
            </w:r>
            <w:r w:rsidRPr="00387453">
              <w:rPr>
                <w:rFonts w:ascii="Times New Roman" w:hAnsi="Times New Roman"/>
                <w:szCs w:val="24"/>
              </w:rPr>
              <w:t>în conformitate cu prevederile art. 38 al Legii nr. 317 din 18.07.2003 ,,privind actele normative ale Guvernului și ale altor autorități ale administrației publice centrale și locale”, transmis spre avizare de Ministerul Economiei nr. 06/3-4025 din 30.06.2016.</w:t>
            </w:r>
          </w:p>
          <w:p w:rsidR="008973EA" w:rsidRPr="00387453" w:rsidRDefault="00E92247" w:rsidP="00E92247">
            <w:pPr>
              <w:pStyle w:val="FR2"/>
              <w:tabs>
                <w:tab w:val="left" w:pos="567"/>
                <w:tab w:val="left" w:pos="6379"/>
                <w:tab w:val="left" w:pos="9555"/>
              </w:tabs>
              <w:spacing w:before="0" w:line="240" w:lineRule="auto"/>
              <w:ind w:left="0" w:firstLine="612"/>
              <w:jc w:val="both"/>
              <w:rPr>
                <w:rFonts w:ascii="Times New Roman" w:hAnsi="Times New Roman"/>
                <w:szCs w:val="24"/>
              </w:rPr>
            </w:pPr>
            <w:r w:rsidRPr="00387453">
              <w:rPr>
                <w:rFonts w:ascii="Times New Roman" w:hAnsi="Times New Roman"/>
                <w:szCs w:val="24"/>
              </w:rPr>
              <w:t>Vă comunicăm lipsa de obiecții și propuneri.</w:t>
            </w:r>
          </w:p>
        </w:tc>
        <w:tc>
          <w:tcPr>
            <w:tcW w:w="4217" w:type="dxa"/>
            <w:vAlign w:val="center"/>
          </w:tcPr>
          <w:p w:rsidR="0056062D" w:rsidRPr="00387453" w:rsidRDefault="0056062D" w:rsidP="006E5663">
            <w:pPr>
              <w:rPr>
                <w:lang w:val="ro-RO"/>
              </w:rPr>
            </w:pPr>
            <w:r w:rsidRPr="00387453">
              <w:rPr>
                <w:lang w:val="ro-RO"/>
              </w:rPr>
              <w:t>Se acceptă.</w:t>
            </w:r>
          </w:p>
          <w:p w:rsidR="009B560E" w:rsidRPr="00387453" w:rsidRDefault="0056062D" w:rsidP="00EF6366">
            <w:pPr>
              <w:jc w:val="center"/>
              <w:rPr>
                <w:b/>
                <w:lang w:val="ro-RO"/>
              </w:rPr>
            </w:pPr>
            <w:r w:rsidRPr="00387453">
              <w:rPr>
                <w:b/>
                <w:lang w:val="ro-RO"/>
              </w:rPr>
              <w:t xml:space="preserve"> </w:t>
            </w:r>
          </w:p>
        </w:tc>
      </w:tr>
      <w:tr w:rsidR="007959BD" w:rsidRPr="00131B6E" w:rsidTr="002A42AF">
        <w:tc>
          <w:tcPr>
            <w:tcW w:w="14282" w:type="dxa"/>
            <w:gridSpan w:val="3"/>
          </w:tcPr>
          <w:p w:rsidR="007959BD" w:rsidRPr="00387453" w:rsidRDefault="007959BD" w:rsidP="00727C9B">
            <w:pPr>
              <w:spacing w:before="120" w:after="120"/>
              <w:jc w:val="center"/>
              <w:rPr>
                <w:lang w:val="ro-RO"/>
              </w:rPr>
            </w:pPr>
            <w:r w:rsidRPr="00387453">
              <w:rPr>
                <w:b/>
                <w:highlight w:val="yellow"/>
                <w:lang w:val="ro-RO"/>
              </w:rPr>
              <w:t xml:space="preserve">Ministerul </w:t>
            </w:r>
            <w:r w:rsidR="00727C9B" w:rsidRPr="00387453">
              <w:rPr>
                <w:b/>
                <w:highlight w:val="yellow"/>
                <w:lang w:val="ro-RO"/>
              </w:rPr>
              <w:t xml:space="preserve">Educației </w:t>
            </w:r>
            <w:r w:rsidRPr="00387453">
              <w:rPr>
                <w:b/>
                <w:highlight w:val="yellow"/>
                <w:lang w:val="ro-RO"/>
              </w:rPr>
              <w:t>a prezentat avizul prin scrisoarea nr.</w:t>
            </w:r>
            <w:r w:rsidR="007B1C5D" w:rsidRPr="00387453">
              <w:rPr>
                <w:b/>
                <w:highlight w:val="yellow"/>
                <w:lang w:val="ro-RO"/>
              </w:rPr>
              <w:t>07/12-120ph din 20.07.2016</w:t>
            </w:r>
          </w:p>
        </w:tc>
      </w:tr>
      <w:tr w:rsidR="007959BD" w:rsidRPr="00387453" w:rsidTr="00CE64E8">
        <w:tc>
          <w:tcPr>
            <w:tcW w:w="840" w:type="dxa"/>
          </w:tcPr>
          <w:p w:rsidR="007959BD" w:rsidRPr="00387453" w:rsidRDefault="007B1C5D" w:rsidP="00204DBA">
            <w:pPr>
              <w:jc w:val="center"/>
            </w:pPr>
            <w:r w:rsidRPr="00387453">
              <w:rPr>
                <w:lang w:val="ro-RO"/>
              </w:rPr>
              <w:t>1.</w:t>
            </w:r>
          </w:p>
        </w:tc>
        <w:tc>
          <w:tcPr>
            <w:tcW w:w="9225" w:type="dxa"/>
            <w:vAlign w:val="center"/>
          </w:tcPr>
          <w:p w:rsidR="007959BD" w:rsidRPr="00387453" w:rsidRDefault="007B1C5D" w:rsidP="00E92247">
            <w:pPr>
              <w:pStyle w:val="FR2"/>
              <w:tabs>
                <w:tab w:val="left" w:pos="567"/>
                <w:tab w:val="left" w:pos="6379"/>
                <w:tab w:val="left" w:pos="9555"/>
              </w:tabs>
              <w:spacing w:before="0" w:line="240" w:lineRule="auto"/>
              <w:ind w:left="0" w:firstLine="612"/>
              <w:jc w:val="both"/>
              <w:rPr>
                <w:rFonts w:ascii="Times New Roman" w:hAnsi="Times New Roman"/>
                <w:szCs w:val="24"/>
              </w:rPr>
            </w:pPr>
            <w:r w:rsidRPr="00387453">
              <w:rPr>
                <w:rFonts w:ascii="Times New Roman" w:hAnsi="Times New Roman"/>
                <w:szCs w:val="24"/>
              </w:rPr>
              <w:t xml:space="preserve">Ministerul Educației a examinat și susține, fără obiecții și propuneri, proiectul hotărîrii Guvernului ” Cu privire la măsurile </w:t>
            </w:r>
            <w:r w:rsidRPr="00387453">
              <w:rPr>
                <w:rFonts w:ascii="Times New Roman" w:eastAsia="Calibri" w:hAnsi="Times New Roman"/>
                <w:szCs w:val="24"/>
              </w:rPr>
              <w:t>de pregătire a economiei naționale și a sferei sociale pentru activitate în perioada de</w:t>
            </w:r>
            <w:r w:rsidRPr="00387453">
              <w:rPr>
                <w:rFonts w:ascii="Times New Roman" w:eastAsia="Calibri" w:hAnsi="Times New Roman"/>
                <w:szCs w:val="24"/>
                <w:lang w:val="ru-RU"/>
              </w:rPr>
              <w:t xml:space="preserve"> </w:t>
            </w:r>
            <w:r w:rsidRPr="00387453">
              <w:rPr>
                <w:rFonts w:ascii="Times New Roman" w:eastAsia="Calibri" w:hAnsi="Times New Roman"/>
                <w:szCs w:val="24"/>
              </w:rPr>
              <w:t>toamnă-iarna 2016-2017</w:t>
            </w:r>
            <w:r w:rsidRPr="00387453">
              <w:rPr>
                <w:rFonts w:ascii="Times New Roman" w:hAnsi="Times New Roman"/>
                <w:szCs w:val="24"/>
              </w:rPr>
              <w:t>”.</w:t>
            </w:r>
          </w:p>
        </w:tc>
        <w:tc>
          <w:tcPr>
            <w:tcW w:w="4217" w:type="dxa"/>
            <w:vAlign w:val="center"/>
          </w:tcPr>
          <w:p w:rsidR="007959BD" w:rsidRPr="00387453" w:rsidRDefault="007B1C5D" w:rsidP="006E5663">
            <w:pPr>
              <w:rPr>
                <w:lang w:val="ro-RO"/>
              </w:rPr>
            </w:pPr>
            <w:r w:rsidRPr="00387453">
              <w:rPr>
                <w:lang w:val="ro-RO"/>
              </w:rPr>
              <w:t>Se acceptă.</w:t>
            </w:r>
          </w:p>
        </w:tc>
      </w:tr>
      <w:tr w:rsidR="00CD547B" w:rsidRPr="00131B6E" w:rsidTr="005D0D8D">
        <w:tc>
          <w:tcPr>
            <w:tcW w:w="14282" w:type="dxa"/>
            <w:gridSpan w:val="3"/>
          </w:tcPr>
          <w:p w:rsidR="00CD547B" w:rsidRPr="00387453" w:rsidRDefault="00CD547B" w:rsidP="0054647B">
            <w:pPr>
              <w:spacing w:before="120" w:after="120"/>
              <w:jc w:val="center"/>
              <w:rPr>
                <w:b/>
                <w:lang w:val="ro-RO"/>
              </w:rPr>
            </w:pPr>
            <w:r w:rsidRPr="00387453">
              <w:rPr>
                <w:b/>
                <w:highlight w:val="yellow"/>
                <w:lang w:val="ro-RO"/>
              </w:rPr>
              <w:t xml:space="preserve">Ministerul </w:t>
            </w:r>
            <w:r w:rsidR="0054647B" w:rsidRPr="00387453">
              <w:rPr>
                <w:b/>
                <w:highlight w:val="yellow"/>
                <w:lang w:val="ro-RO"/>
              </w:rPr>
              <w:t>M</w:t>
            </w:r>
            <w:r w:rsidRPr="00387453">
              <w:rPr>
                <w:b/>
                <w:highlight w:val="yellow"/>
                <w:lang w:val="ro-RO"/>
              </w:rPr>
              <w:t>ediului a prezentat avizul prin scrisoarea</w:t>
            </w:r>
            <w:r w:rsidR="0054647B" w:rsidRPr="00387453">
              <w:rPr>
                <w:b/>
                <w:highlight w:val="yellow"/>
                <w:lang w:val="ro-RO"/>
              </w:rPr>
              <w:t xml:space="preserve"> nr. 06-07/1527 din 18.07.2016</w:t>
            </w:r>
          </w:p>
        </w:tc>
      </w:tr>
      <w:tr w:rsidR="00CD547B" w:rsidRPr="00131B6E" w:rsidTr="00CE64E8">
        <w:tc>
          <w:tcPr>
            <w:tcW w:w="840" w:type="dxa"/>
          </w:tcPr>
          <w:p w:rsidR="00CD547B" w:rsidRPr="00387453" w:rsidRDefault="00CD547B" w:rsidP="00EF6366">
            <w:pPr>
              <w:jc w:val="center"/>
              <w:rPr>
                <w:lang w:val="ro-RO"/>
              </w:rPr>
            </w:pPr>
            <w:r w:rsidRPr="00387453">
              <w:rPr>
                <w:lang w:val="ro-RO"/>
              </w:rPr>
              <w:t>1.</w:t>
            </w:r>
          </w:p>
        </w:tc>
        <w:tc>
          <w:tcPr>
            <w:tcW w:w="9225" w:type="dxa"/>
            <w:vAlign w:val="center"/>
          </w:tcPr>
          <w:p w:rsidR="00145E75" w:rsidRPr="00387453" w:rsidRDefault="00145E75" w:rsidP="00145E75">
            <w:pPr>
              <w:ind w:firstLine="612"/>
              <w:jc w:val="both"/>
              <w:rPr>
                <w:rFonts w:eastAsia="Calibri"/>
                <w:lang w:val="en-US"/>
              </w:rPr>
            </w:pPr>
            <w:r w:rsidRPr="00387453">
              <w:rPr>
                <w:rFonts w:eastAsia="Calibri"/>
                <w:lang w:val="en-US"/>
              </w:rPr>
              <w:t xml:space="preserve">Prin prezenta, Ministerul Mediului a examinat proiectul Hotărîrii de Guvern cu privire la masurile de pregătire a economiei naționale </w:t>
            </w:r>
            <w:r w:rsidR="001269FD" w:rsidRPr="00387453">
              <w:rPr>
                <w:rFonts w:eastAsia="Calibri"/>
                <w:lang w:val="en-US"/>
              </w:rPr>
              <w:t>ș</w:t>
            </w:r>
            <w:r w:rsidRPr="00387453">
              <w:rPr>
                <w:rFonts w:eastAsia="Calibri"/>
                <w:lang w:val="en-US"/>
              </w:rPr>
              <w:t xml:space="preserve">i a sferei sociale pentru activitate </w:t>
            </w:r>
            <w:r w:rsidR="001269FD" w:rsidRPr="00387453">
              <w:rPr>
                <w:rFonts w:eastAsia="Calibri"/>
                <w:lang w:val="en-US"/>
              </w:rPr>
              <w:t>î</w:t>
            </w:r>
            <w:r w:rsidRPr="00387453">
              <w:rPr>
                <w:rFonts w:eastAsia="Calibri"/>
                <w:lang w:val="en-US"/>
              </w:rPr>
              <w:t xml:space="preserve">n perioada de </w:t>
            </w:r>
            <w:r w:rsidR="001269FD" w:rsidRPr="00387453">
              <w:rPr>
                <w:rFonts w:eastAsia="Calibri"/>
                <w:lang w:val="en-US"/>
              </w:rPr>
              <w:t>toamnă</w:t>
            </w:r>
            <w:r w:rsidRPr="00387453">
              <w:rPr>
                <w:rFonts w:eastAsia="Calibri"/>
                <w:lang w:val="en-US"/>
              </w:rPr>
              <w:t>-iarna 2016-2017, consideram</w:t>
            </w:r>
            <w:r w:rsidR="001269FD" w:rsidRPr="00387453">
              <w:rPr>
                <w:rFonts w:eastAsia="Calibri"/>
                <w:lang w:val="en-US"/>
              </w:rPr>
              <w:t xml:space="preserve"> oportun introducerea</w:t>
            </w:r>
            <w:r w:rsidRPr="00387453">
              <w:rPr>
                <w:rFonts w:eastAsia="Calibri"/>
                <w:lang w:val="en-US"/>
              </w:rPr>
              <w:t xml:space="preserve"> următoarelor completări:</w:t>
            </w:r>
          </w:p>
          <w:p w:rsidR="00145E75" w:rsidRPr="00387453" w:rsidRDefault="00145E75" w:rsidP="00145E75">
            <w:pPr>
              <w:ind w:firstLine="612"/>
              <w:jc w:val="both"/>
              <w:rPr>
                <w:rFonts w:eastAsia="Calibri"/>
                <w:lang w:val="en-US"/>
              </w:rPr>
            </w:pPr>
            <w:r w:rsidRPr="00387453">
              <w:rPr>
                <w:rFonts w:eastAsia="Calibri"/>
                <w:lang w:val="en-US"/>
              </w:rPr>
              <w:t xml:space="preserve">1. La punctul 3 lit. c) </w:t>
            </w:r>
            <w:proofErr w:type="gramStart"/>
            <w:r w:rsidRPr="00387453">
              <w:rPr>
                <w:rFonts w:eastAsia="Calibri"/>
                <w:lang w:val="en-US"/>
              </w:rPr>
              <w:t>alin.2</w:t>
            </w:r>
            <w:proofErr w:type="gramEnd"/>
            <w:r w:rsidRPr="00387453">
              <w:rPr>
                <w:rFonts w:eastAsia="Calibri"/>
                <w:lang w:val="en-US"/>
              </w:rPr>
              <w:t xml:space="preserve"> după </w:t>
            </w:r>
            <w:r w:rsidR="001269FD" w:rsidRPr="00387453">
              <w:rPr>
                <w:rFonts w:eastAsia="Calibri"/>
                <w:lang w:val="en-US"/>
              </w:rPr>
              <w:t>cuvântul</w:t>
            </w:r>
            <w:r w:rsidRPr="00387453">
              <w:rPr>
                <w:rFonts w:eastAsia="Calibri"/>
                <w:lang w:val="en-US"/>
              </w:rPr>
              <w:t xml:space="preserve"> „informativă” </w:t>
            </w:r>
            <w:r w:rsidR="001269FD" w:rsidRPr="00387453">
              <w:rPr>
                <w:rFonts w:eastAsia="Calibri"/>
                <w:lang w:val="en-US"/>
              </w:rPr>
              <w:t>se va completa î</w:t>
            </w:r>
            <w:r w:rsidRPr="00387453">
              <w:rPr>
                <w:rFonts w:eastAsia="Calibri"/>
                <w:lang w:val="en-US"/>
              </w:rPr>
              <w:t>n continuare cu textul: „aceasta fiind</w:t>
            </w:r>
            <w:r w:rsidR="001269FD" w:rsidRPr="00387453">
              <w:rPr>
                <w:rFonts w:eastAsia="Calibri"/>
                <w:lang w:val="en-US"/>
              </w:rPr>
              <w:t xml:space="preserve"> generalizată ș</w:t>
            </w:r>
            <w:r w:rsidRPr="00387453">
              <w:rPr>
                <w:rFonts w:eastAsia="Calibri"/>
                <w:lang w:val="en-US"/>
              </w:rPr>
              <w:t>i prezentat</w:t>
            </w:r>
            <w:r w:rsidR="001269FD" w:rsidRPr="00387453">
              <w:rPr>
                <w:rFonts w:eastAsia="Calibri"/>
                <w:lang w:val="en-US"/>
              </w:rPr>
              <w:t>ă</w:t>
            </w:r>
            <w:r w:rsidRPr="00387453">
              <w:rPr>
                <w:rFonts w:eastAsia="Calibri"/>
                <w:lang w:val="en-US"/>
              </w:rPr>
              <w:t xml:space="preserve"> pînă la data de 25 a lunii respective Agenției</w:t>
            </w:r>
            <w:r w:rsidR="001269FD" w:rsidRPr="00387453">
              <w:rPr>
                <w:rFonts w:eastAsia="Calibri"/>
                <w:lang w:val="en-US"/>
              </w:rPr>
              <w:t xml:space="preserve"> pentru Eficiență</w:t>
            </w:r>
            <w:r w:rsidRPr="00387453">
              <w:rPr>
                <w:rFonts w:eastAsia="Calibri"/>
                <w:lang w:val="en-US"/>
              </w:rPr>
              <w:t xml:space="preserve"> Energetic</w:t>
            </w:r>
            <w:r w:rsidR="001269FD" w:rsidRPr="00387453">
              <w:rPr>
                <w:rFonts w:eastAsia="Calibri"/>
                <w:lang w:val="en-US"/>
              </w:rPr>
              <w:t>ă”</w:t>
            </w:r>
            <w:r w:rsidRPr="00387453">
              <w:rPr>
                <w:rFonts w:eastAsia="Calibri"/>
                <w:lang w:val="en-US"/>
              </w:rPr>
              <w:t>.</w:t>
            </w:r>
          </w:p>
          <w:p w:rsidR="00145E75" w:rsidRPr="00387453" w:rsidRDefault="00145E75" w:rsidP="00145E75">
            <w:pPr>
              <w:ind w:firstLine="612"/>
              <w:jc w:val="both"/>
              <w:rPr>
                <w:rFonts w:eastAsia="Calibri"/>
                <w:lang w:val="en-US"/>
              </w:rPr>
            </w:pPr>
            <w:r w:rsidRPr="00387453">
              <w:rPr>
                <w:rFonts w:eastAsia="Calibri"/>
                <w:lang w:val="en-US"/>
              </w:rPr>
              <w:t xml:space="preserve">2. La punctul 3 lit. c) </w:t>
            </w:r>
            <w:proofErr w:type="gramStart"/>
            <w:r w:rsidRPr="00387453">
              <w:rPr>
                <w:rFonts w:eastAsia="Calibri"/>
                <w:lang w:val="en-US"/>
              </w:rPr>
              <w:t>alin</w:t>
            </w:r>
            <w:proofErr w:type="gramEnd"/>
            <w:r w:rsidRPr="00387453">
              <w:rPr>
                <w:rFonts w:eastAsia="Calibri"/>
                <w:lang w:val="en-US"/>
              </w:rPr>
              <w:t xml:space="preserve">. 3 se va înlocui nr. </w:t>
            </w:r>
            <w:proofErr w:type="gramStart"/>
            <w:r w:rsidRPr="00387453">
              <w:rPr>
                <w:rFonts w:eastAsia="Calibri"/>
                <w:lang w:val="en-US"/>
              </w:rPr>
              <w:t>anexelor</w:t>
            </w:r>
            <w:proofErr w:type="gramEnd"/>
            <w:r w:rsidRPr="00387453">
              <w:rPr>
                <w:rFonts w:eastAsia="Calibri"/>
                <w:lang w:val="en-US"/>
              </w:rPr>
              <w:t xml:space="preserve"> 1-4 cu 1-3, deoarece anexa nr. 4 este specificat</w:t>
            </w:r>
            <w:r w:rsidR="001269FD" w:rsidRPr="00387453">
              <w:rPr>
                <w:rFonts w:eastAsia="Calibri"/>
                <w:lang w:val="en-US"/>
              </w:rPr>
              <w:t>ă î</w:t>
            </w:r>
            <w:r w:rsidRPr="00387453">
              <w:rPr>
                <w:rFonts w:eastAsia="Calibri"/>
                <w:lang w:val="en-US"/>
              </w:rPr>
              <w:t>n alin. 2 al prezentului punct.</w:t>
            </w:r>
          </w:p>
          <w:p w:rsidR="00145E75" w:rsidRPr="00387453" w:rsidRDefault="00145E75" w:rsidP="00145E75">
            <w:pPr>
              <w:ind w:firstLine="612"/>
              <w:jc w:val="both"/>
              <w:rPr>
                <w:rFonts w:eastAsia="Calibri"/>
                <w:lang w:val="en-US"/>
              </w:rPr>
            </w:pPr>
            <w:r w:rsidRPr="00387453">
              <w:rPr>
                <w:rFonts w:eastAsia="Calibri"/>
                <w:lang w:val="en-US"/>
              </w:rPr>
              <w:t>3. Punctul 3 se va completa cu lit. d), cu următorul conținut:</w:t>
            </w:r>
          </w:p>
          <w:p w:rsidR="00145E75" w:rsidRPr="00387453" w:rsidRDefault="00145E75" w:rsidP="00145E75">
            <w:pPr>
              <w:ind w:firstLine="612"/>
              <w:jc w:val="both"/>
              <w:rPr>
                <w:rFonts w:eastAsia="Calibri"/>
                <w:lang w:val="en-US"/>
              </w:rPr>
            </w:pPr>
            <w:proofErr w:type="gramStart"/>
            <w:r w:rsidRPr="00387453">
              <w:rPr>
                <w:rFonts w:eastAsia="Calibri"/>
                <w:lang w:val="en-US"/>
              </w:rPr>
              <w:t>,,d</w:t>
            </w:r>
            <w:proofErr w:type="gramEnd"/>
            <w:r w:rsidRPr="00387453">
              <w:rPr>
                <w:rFonts w:eastAsia="Calibri"/>
                <w:lang w:val="en-US"/>
              </w:rPr>
              <w:t xml:space="preserve">) vor elabora, aproba </w:t>
            </w:r>
            <w:r w:rsidR="001269FD" w:rsidRPr="00387453">
              <w:rPr>
                <w:rFonts w:eastAsia="Calibri"/>
                <w:lang w:val="en-US"/>
              </w:rPr>
              <w:t>ș</w:t>
            </w:r>
            <w:r w:rsidRPr="00387453">
              <w:rPr>
                <w:rFonts w:eastAsia="Calibri"/>
                <w:lang w:val="en-US"/>
              </w:rPr>
              <w:t xml:space="preserve">i prezenta instituțiilor de resort conform lit. b) a prezentului </w:t>
            </w:r>
            <w:r w:rsidR="001269FD" w:rsidRPr="00387453">
              <w:rPr>
                <w:rFonts w:eastAsia="Calibri"/>
                <w:lang w:val="en-US"/>
              </w:rPr>
              <w:t>punct, î</w:t>
            </w:r>
            <w:r w:rsidRPr="00387453">
              <w:rPr>
                <w:rFonts w:eastAsia="Calibri"/>
                <w:lang w:val="en-US"/>
              </w:rPr>
              <w:t xml:space="preserve">n termen de </w:t>
            </w:r>
            <w:r w:rsidRPr="00387453">
              <w:rPr>
                <w:rFonts w:eastAsia="Calibri"/>
              </w:rPr>
              <w:t>о</w:t>
            </w:r>
            <w:r w:rsidRPr="00387453">
              <w:rPr>
                <w:rFonts w:eastAsia="Calibri"/>
                <w:lang w:val="en-US"/>
              </w:rPr>
              <w:t xml:space="preserve"> lun</w:t>
            </w:r>
            <w:r w:rsidR="001269FD" w:rsidRPr="00387453">
              <w:rPr>
                <w:rFonts w:eastAsia="Calibri"/>
                <w:lang w:val="en-US"/>
              </w:rPr>
              <w:t xml:space="preserve">ă </w:t>
            </w:r>
            <w:r w:rsidRPr="00387453">
              <w:rPr>
                <w:rFonts w:eastAsia="Calibri"/>
                <w:lang w:val="en-US"/>
              </w:rPr>
              <w:t>de zile după încheierea sezonului rece al anului, programele de masuri ramurale și teritoriale cu privire la pregătirea pentru buna funcționare în următorul sezon de toamnă-iarna (2017-2018) a întreprinderilor și a obiectelor subordonate (</w:t>
            </w:r>
            <w:r w:rsidR="001269FD" w:rsidRPr="00387453">
              <w:rPr>
                <w:rFonts w:eastAsia="Calibri"/>
                <w:lang w:val="en-US"/>
              </w:rPr>
              <w:t>acordându-se</w:t>
            </w:r>
            <w:r w:rsidRPr="00387453">
              <w:rPr>
                <w:rFonts w:eastAsia="Calibri"/>
                <w:lang w:val="en-US"/>
              </w:rPr>
              <w:t xml:space="preserve"> prioritate fondului locativ și obiectivelor de menire socială, cu întocmirea graficelor de </w:t>
            </w:r>
            <w:r w:rsidRPr="00387453">
              <w:rPr>
                <w:rFonts w:eastAsia="Calibri"/>
                <w:lang w:val="en-US"/>
              </w:rPr>
              <w:lastRenderedPageBreak/>
              <w:t>reparare a utilajului și a instalațiilor</w:t>
            </w:r>
            <w:r w:rsidR="001269FD" w:rsidRPr="00387453">
              <w:rPr>
                <w:rFonts w:eastAsia="Calibri"/>
                <w:lang w:val="en-US"/>
              </w:rPr>
              <w:t xml:space="preserve"> energetice, a</w:t>
            </w:r>
            <w:r w:rsidRPr="00387453">
              <w:rPr>
                <w:rFonts w:eastAsia="Calibri"/>
                <w:lang w:val="en-US"/>
              </w:rPr>
              <w:t xml:space="preserve"> centralelor și a rețelelor termice, inclusiv a sistemelor interioare de încălzire a încăperilor și a clădirilor gestionate, precum și de procurare a combustibilului) și vor asigura executarea lor, sub responsabilitatea personala a conducătorilor de prim rang</w:t>
            </w:r>
            <w:r w:rsidR="001269FD" w:rsidRPr="00387453">
              <w:rPr>
                <w:rFonts w:eastAsia="Calibri"/>
                <w:lang w:val="en-US"/>
              </w:rPr>
              <w:t>”</w:t>
            </w:r>
            <w:r w:rsidRPr="00387453">
              <w:rPr>
                <w:rFonts w:eastAsia="Calibri"/>
                <w:lang w:val="en-US"/>
              </w:rPr>
              <w:t>.</w:t>
            </w:r>
          </w:p>
          <w:p w:rsidR="00145E75" w:rsidRPr="00387453" w:rsidRDefault="00145E75" w:rsidP="00145E75">
            <w:pPr>
              <w:ind w:firstLine="612"/>
              <w:jc w:val="both"/>
              <w:rPr>
                <w:rFonts w:eastAsia="Calibri"/>
                <w:lang w:val="en-US"/>
              </w:rPr>
            </w:pPr>
            <w:r w:rsidRPr="00387453">
              <w:rPr>
                <w:rFonts w:eastAsia="Calibri"/>
                <w:lang w:val="en-US"/>
              </w:rPr>
              <w:t>4. La punctul 8 lit. b) propoziția „</w:t>
            </w:r>
            <w:r w:rsidR="001269FD" w:rsidRPr="00387453">
              <w:rPr>
                <w:rFonts w:eastAsia="Calibri"/>
                <w:lang w:val="en-US"/>
              </w:rPr>
              <w:t>Agenți</w:t>
            </w:r>
            <w:r w:rsidRPr="00387453">
              <w:rPr>
                <w:rFonts w:eastAsia="Calibri"/>
                <w:lang w:val="en-US"/>
              </w:rPr>
              <w:t xml:space="preserve">a “Moldsilva” va </w:t>
            </w:r>
            <w:r w:rsidR="00870A3F" w:rsidRPr="00387453">
              <w:rPr>
                <w:rFonts w:eastAsia="Calibri"/>
                <w:lang w:val="en-US"/>
              </w:rPr>
              <w:t>precauta</w:t>
            </w:r>
            <w:r w:rsidRPr="00387453">
              <w:rPr>
                <w:rFonts w:eastAsia="Calibri"/>
                <w:lang w:val="en-US"/>
              </w:rPr>
              <w:t xml:space="preserve"> organizarea colectării rămășițelor neutilizate în timpul tăierilor sanitare ca materie primă pentru biocombustibil” se va înlocui cu propoziția „Agen</w:t>
            </w:r>
            <w:r w:rsidR="00870A3F" w:rsidRPr="00387453">
              <w:rPr>
                <w:rFonts w:eastAsia="Calibri"/>
                <w:lang w:val="en-US"/>
              </w:rPr>
              <w:t>ția</w:t>
            </w:r>
            <w:r w:rsidRPr="00387453">
              <w:rPr>
                <w:rFonts w:eastAsia="Calibri"/>
                <w:lang w:val="en-US"/>
              </w:rPr>
              <w:t xml:space="preserve"> “Moldsilva</w:t>
            </w:r>
            <w:r w:rsidR="001269FD" w:rsidRPr="00387453">
              <w:rPr>
                <w:rFonts w:eastAsia="Calibri"/>
                <w:lang w:val="en-US"/>
              </w:rPr>
              <w:t>”</w:t>
            </w:r>
            <w:r w:rsidRPr="00387453">
              <w:rPr>
                <w:rFonts w:eastAsia="Calibri"/>
                <w:lang w:val="en-US"/>
              </w:rPr>
              <w:t xml:space="preserve"> va asigura </w:t>
            </w:r>
            <w:r w:rsidR="001269FD" w:rsidRPr="00387453">
              <w:rPr>
                <w:rFonts w:eastAsia="Calibri"/>
                <w:lang w:val="en-US"/>
              </w:rPr>
              <w:t>î</w:t>
            </w:r>
            <w:r w:rsidRPr="00387453">
              <w:rPr>
                <w:rFonts w:eastAsia="Calibri"/>
                <w:lang w:val="en-US"/>
              </w:rPr>
              <w:t>n limita stocurilor disponibile aprovizionarea persoanelor fizice</w:t>
            </w:r>
            <w:r w:rsidR="001269FD" w:rsidRPr="00387453">
              <w:rPr>
                <w:rFonts w:eastAsia="Calibri"/>
                <w:lang w:val="en-US"/>
              </w:rPr>
              <w:t xml:space="preserve"> ș</w:t>
            </w:r>
            <w:r w:rsidRPr="00387453">
              <w:rPr>
                <w:rFonts w:eastAsia="Calibri"/>
                <w:lang w:val="en-US"/>
              </w:rPr>
              <w:t>i juridice cu resurse de mas</w:t>
            </w:r>
            <w:r w:rsidR="001269FD" w:rsidRPr="00387453">
              <w:rPr>
                <w:rFonts w:eastAsia="Calibri"/>
                <w:lang w:val="en-US"/>
              </w:rPr>
              <w:t>ă</w:t>
            </w:r>
            <w:r w:rsidRPr="00387453">
              <w:rPr>
                <w:rFonts w:eastAsia="Calibri"/>
                <w:lang w:val="en-US"/>
              </w:rPr>
              <w:t xml:space="preserve"> lemnoas</w:t>
            </w:r>
            <w:r w:rsidR="001269FD" w:rsidRPr="00387453">
              <w:rPr>
                <w:rFonts w:eastAsia="Calibri"/>
                <w:lang w:val="en-US"/>
              </w:rPr>
              <w:t>ă</w:t>
            </w:r>
            <w:r w:rsidRPr="00387453">
              <w:rPr>
                <w:rFonts w:eastAsia="Calibri"/>
                <w:lang w:val="en-US"/>
              </w:rPr>
              <w:t xml:space="preserve"> </w:t>
            </w:r>
            <w:r w:rsidR="001269FD" w:rsidRPr="00387453">
              <w:rPr>
                <w:rFonts w:eastAsia="Calibri"/>
                <w:lang w:val="en-US"/>
              </w:rPr>
              <w:t>î</w:t>
            </w:r>
            <w:r w:rsidRPr="00387453">
              <w:rPr>
                <w:rFonts w:eastAsia="Calibri"/>
                <w:lang w:val="en-US"/>
              </w:rPr>
              <w:t>n calitate de combustibil” .</w:t>
            </w:r>
          </w:p>
          <w:p w:rsidR="00CD547B" w:rsidRPr="00387453" w:rsidRDefault="00145E75" w:rsidP="001269FD">
            <w:pPr>
              <w:ind w:firstLine="612"/>
              <w:jc w:val="both"/>
              <w:rPr>
                <w:rFonts w:eastAsia="Calibri"/>
                <w:lang w:val="en-US"/>
              </w:rPr>
            </w:pPr>
            <w:r w:rsidRPr="00387453">
              <w:rPr>
                <w:rFonts w:eastAsia="Calibri"/>
                <w:lang w:val="en-US"/>
              </w:rPr>
              <w:t>5. La anexa nr. 4 se va exclude luna „august”, pentru c</w:t>
            </w:r>
            <w:r w:rsidR="001269FD" w:rsidRPr="00387453">
              <w:rPr>
                <w:rFonts w:eastAsia="Calibri"/>
                <w:lang w:val="en-US"/>
              </w:rPr>
              <w:t>ă</w:t>
            </w:r>
            <w:r w:rsidRPr="00387453">
              <w:rPr>
                <w:rFonts w:eastAsia="Calibri"/>
                <w:lang w:val="en-US"/>
              </w:rPr>
              <w:t xml:space="preserve"> nu este rentabil atunci cînd Hotărîrea Guvernului se public</w:t>
            </w:r>
            <w:r w:rsidR="001269FD" w:rsidRPr="00387453">
              <w:rPr>
                <w:rFonts w:eastAsia="Calibri"/>
                <w:lang w:val="en-US"/>
              </w:rPr>
              <w:t>ă</w:t>
            </w:r>
            <w:r w:rsidRPr="00387453">
              <w:rPr>
                <w:rFonts w:eastAsia="Calibri"/>
                <w:lang w:val="en-US"/>
              </w:rPr>
              <w:t xml:space="preserve"> </w:t>
            </w:r>
            <w:r w:rsidR="001269FD" w:rsidRPr="00387453">
              <w:rPr>
                <w:rFonts w:eastAsia="Calibri"/>
                <w:lang w:val="en-US"/>
              </w:rPr>
              <w:t>î</w:t>
            </w:r>
            <w:r w:rsidRPr="00387453">
              <w:rPr>
                <w:rFonts w:eastAsia="Calibri"/>
                <w:lang w:val="en-US"/>
              </w:rPr>
              <w:t>n luna august, asemenea anilor precedenți.</w:t>
            </w:r>
          </w:p>
        </w:tc>
        <w:tc>
          <w:tcPr>
            <w:tcW w:w="4217" w:type="dxa"/>
            <w:vAlign w:val="center"/>
          </w:tcPr>
          <w:p w:rsidR="00CD547B" w:rsidRPr="00387453" w:rsidRDefault="00CD547B" w:rsidP="006E5663">
            <w:pPr>
              <w:rPr>
                <w:lang w:val="ro-RO"/>
              </w:rPr>
            </w:pPr>
          </w:p>
          <w:p w:rsidR="00204DBA" w:rsidRPr="00387453" w:rsidRDefault="00204DBA" w:rsidP="006E5663">
            <w:pPr>
              <w:rPr>
                <w:lang w:val="ro-RO"/>
              </w:rPr>
            </w:pPr>
          </w:p>
          <w:p w:rsidR="00204DBA" w:rsidRPr="00387453" w:rsidRDefault="00204DBA" w:rsidP="006E5663">
            <w:pPr>
              <w:rPr>
                <w:lang w:val="ro-RO"/>
              </w:rPr>
            </w:pPr>
          </w:p>
          <w:p w:rsidR="00204DBA" w:rsidRPr="00387453" w:rsidRDefault="00C76163" w:rsidP="00C76163">
            <w:pPr>
              <w:jc w:val="both"/>
              <w:rPr>
                <w:lang w:val="ro-RO"/>
              </w:rPr>
            </w:pPr>
            <w:r w:rsidRPr="00387453">
              <w:rPr>
                <w:lang w:val="ro-RO"/>
              </w:rPr>
              <w:t>Se acceptă. Textul a fost redactat</w:t>
            </w:r>
          </w:p>
          <w:p w:rsidR="00C76163" w:rsidRPr="00387453" w:rsidRDefault="00C76163" w:rsidP="00C76163">
            <w:pPr>
              <w:jc w:val="both"/>
              <w:rPr>
                <w:lang w:val="ro-RO"/>
              </w:rPr>
            </w:pPr>
          </w:p>
          <w:p w:rsidR="00C76163" w:rsidRPr="00387453" w:rsidRDefault="00C76163" w:rsidP="00C76163">
            <w:pPr>
              <w:jc w:val="both"/>
              <w:rPr>
                <w:lang w:val="ro-RO"/>
              </w:rPr>
            </w:pPr>
          </w:p>
          <w:p w:rsidR="00C76163" w:rsidRPr="00387453" w:rsidRDefault="00C76163" w:rsidP="00C76163">
            <w:pPr>
              <w:jc w:val="both"/>
              <w:rPr>
                <w:lang w:val="ro-RO"/>
              </w:rPr>
            </w:pPr>
            <w:r w:rsidRPr="00387453">
              <w:rPr>
                <w:lang w:val="ro-RO"/>
              </w:rPr>
              <w:t>Se acceptă. Textul a fost redactat</w:t>
            </w:r>
          </w:p>
          <w:p w:rsidR="00C76163" w:rsidRPr="00387453" w:rsidRDefault="00C76163" w:rsidP="00C76163">
            <w:pPr>
              <w:jc w:val="both"/>
              <w:rPr>
                <w:lang w:val="ro-RO"/>
              </w:rPr>
            </w:pPr>
          </w:p>
          <w:p w:rsidR="00C76163" w:rsidRPr="00387453" w:rsidRDefault="00C76163" w:rsidP="00C76163">
            <w:pPr>
              <w:jc w:val="both"/>
              <w:rPr>
                <w:lang w:val="ro-RO"/>
              </w:rPr>
            </w:pPr>
            <w:r w:rsidRPr="00387453">
              <w:rPr>
                <w:lang w:val="ro-RO"/>
              </w:rPr>
              <w:t>Se acceptă. Textul a fost redactat</w:t>
            </w:r>
          </w:p>
          <w:p w:rsidR="00C76163" w:rsidRPr="00387453" w:rsidRDefault="00C76163" w:rsidP="006E5663">
            <w:pPr>
              <w:rPr>
                <w:lang w:val="ro-RO"/>
              </w:rPr>
            </w:pPr>
          </w:p>
          <w:p w:rsidR="00C76163" w:rsidRPr="00387453" w:rsidRDefault="00C76163" w:rsidP="006E5663">
            <w:pPr>
              <w:rPr>
                <w:lang w:val="ro-RO"/>
              </w:rPr>
            </w:pPr>
          </w:p>
          <w:p w:rsidR="00C76163" w:rsidRPr="00387453" w:rsidRDefault="00C76163" w:rsidP="006E5663">
            <w:pPr>
              <w:rPr>
                <w:lang w:val="ro-RO"/>
              </w:rPr>
            </w:pPr>
          </w:p>
          <w:p w:rsidR="00C76163" w:rsidRPr="00387453" w:rsidRDefault="00C76163" w:rsidP="006E5663">
            <w:pPr>
              <w:rPr>
                <w:lang w:val="ro-RO"/>
              </w:rPr>
            </w:pPr>
          </w:p>
          <w:p w:rsidR="00C76163" w:rsidRPr="00387453" w:rsidRDefault="00C76163" w:rsidP="006E5663">
            <w:pPr>
              <w:rPr>
                <w:lang w:val="ro-RO"/>
              </w:rPr>
            </w:pPr>
          </w:p>
          <w:p w:rsidR="00C76163" w:rsidRPr="00387453" w:rsidRDefault="00C76163" w:rsidP="006E5663">
            <w:pPr>
              <w:rPr>
                <w:lang w:val="ro-RO"/>
              </w:rPr>
            </w:pPr>
          </w:p>
          <w:p w:rsidR="00C76163" w:rsidRPr="00387453" w:rsidRDefault="00C76163" w:rsidP="006E5663">
            <w:pPr>
              <w:rPr>
                <w:lang w:val="ro-RO"/>
              </w:rPr>
            </w:pPr>
          </w:p>
          <w:p w:rsidR="00C76163" w:rsidRPr="00387453" w:rsidRDefault="00C76163" w:rsidP="006E5663">
            <w:pPr>
              <w:rPr>
                <w:lang w:val="ro-RO"/>
              </w:rPr>
            </w:pPr>
          </w:p>
          <w:p w:rsidR="00C76163" w:rsidRPr="00387453" w:rsidRDefault="00C76163" w:rsidP="006E5663">
            <w:pPr>
              <w:rPr>
                <w:lang w:val="ro-RO"/>
              </w:rPr>
            </w:pPr>
          </w:p>
          <w:p w:rsidR="00C76163" w:rsidRPr="00387453" w:rsidRDefault="00C76163" w:rsidP="00C76163">
            <w:pPr>
              <w:jc w:val="both"/>
              <w:rPr>
                <w:lang w:val="ro-RO"/>
              </w:rPr>
            </w:pPr>
            <w:r w:rsidRPr="00387453">
              <w:rPr>
                <w:lang w:val="ro-RO"/>
              </w:rPr>
              <w:t>Se acceptă parțial. Textul a fost redactat</w:t>
            </w:r>
          </w:p>
          <w:p w:rsidR="00C76163" w:rsidRPr="00387453" w:rsidRDefault="00C76163" w:rsidP="006E5663">
            <w:pPr>
              <w:rPr>
                <w:lang w:val="ro-RO"/>
              </w:rPr>
            </w:pPr>
          </w:p>
          <w:p w:rsidR="00C76163" w:rsidRPr="00387453" w:rsidRDefault="00C76163" w:rsidP="006E5663">
            <w:pPr>
              <w:rPr>
                <w:lang w:val="ro-RO"/>
              </w:rPr>
            </w:pPr>
          </w:p>
          <w:p w:rsidR="00C76163" w:rsidRDefault="00C76163" w:rsidP="006E5663">
            <w:pPr>
              <w:rPr>
                <w:lang w:val="ro-RO"/>
              </w:rPr>
            </w:pPr>
          </w:p>
          <w:p w:rsidR="006E0C0F" w:rsidRPr="00387453" w:rsidRDefault="006E0C0F" w:rsidP="006E5663">
            <w:pPr>
              <w:rPr>
                <w:lang w:val="ro-RO"/>
              </w:rPr>
            </w:pPr>
          </w:p>
          <w:p w:rsidR="00C76163" w:rsidRPr="00387453" w:rsidRDefault="00C76163" w:rsidP="006E5663">
            <w:pPr>
              <w:rPr>
                <w:lang w:val="ro-RO"/>
              </w:rPr>
            </w:pPr>
            <w:r w:rsidRPr="00387453">
              <w:rPr>
                <w:lang w:val="ro-RO"/>
              </w:rPr>
              <w:t>Se acceptă. Textul a fost redactat</w:t>
            </w:r>
          </w:p>
        </w:tc>
      </w:tr>
      <w:tr w:rsidR="00DA7CA1" w:rsidRPr="00131B6E" w:rsidTr="00CE64E8">
        <w:trPr>
          <w:trHeight w:val="669"/>
        </w:trPr>
        <w:tc>
          <w:tcPr>
            <w:tcW w:w="14282" w:type="dxa"/>
            <w:gridSpan w:val="3"/>
            <w:vAlign w:val="center"/>
          </w:tcPr>
          <w:p w:rsidR="009B560E" w:rsidRPr="00387453" w:rsidRDefault="007959BD" w:rsidP="00E92247">
            <w:pPr>
              <w:jc w:val="center"/>
              <w:rPr>
                <w:b/>
                <w:lang w:val="ro-RO"/>
              </w:rPr>
            </w:pPr>
            <w:r w:rsidRPr="00387453">
              <w:rPr>
                <w:b/>
                <w:highlight w:val="yellow"/>
                <w:lang w:val="ro-RO"/>
              </w:rPr>
              <w:lastRenderedPageBreak/>
              <w:t>Ministerul Transporturilor și Infrastructurii Drumurilor</w:t>
            </w:r>
            <w:r w:rsidR="009B560E" w:rsidRPr="00387453">
              <w:rPr>
                <w:b/>
                <w:highlight w:val="yellow"/>
                <w:lang w:val="ro-RO"/>
              </w:rPr>
              <w:t xml:space="preserve"> a prezentat avizul prin scrisoarea nr. </w:t>
            </w:r>
            <w:r w:rsidR="00E92247" w:rsidRPr="00387453">
              <w:rPr>
                <w:b/>
                <w:highlight w:val="yellow"/>
                <w:lang w:val="ro-RO"/>
              </w:rPr>
              <w:t>03</w:t>
            </w:r>
            <w:r w:rsidRPr="00387453">
              <w:rPr>
                <w:b/>
                <w:highlight w:val="yellow"/>
                <w:lang w:val="ro-RO"/>
              </w:rPr>
              <w:t>-02-</w:t>
            </w:r>
            <w:r w:rsidR="00E92247" w:rsidRPr="00387453">
              <w:rPr>
                <w:b/>
                <w:highlight w:val="yellow"/>
                <w:lang w:val="ro-RO"/>
              </w:rPr>
              <w:t>5</w:t>
            </w:r>
            <w:r w:rsidRPr="00387453">
              <w:rPr>
                <w:b/>
                <w:highlight w:val="yellow"/>
                <w:lang w:val="ro-RO"/>
              </w:rPr>
              <w:t>/496 din 11</w:t>
            </w:r>
            <w:r w:rsidR="00E92247" w:rsidRPr="00387453">
              <w:rPr>
                <w:b/>
                <w:highlight w:val="yellow"/>
                <w:lang w:val="ro-RO"/>
              </w:rPr>
              <w:t>.07.2016</w:t>
            </w:r>
          </w:p>
        </w:tc>
      </w:tr>
      <w:tr w:rsidR="00DA7CA1" w:rsidRPr="00387453" w:rsidTr="00CE64E8">
        <w:tc>
          <w:tcPr>
            <w:tcW w:w="840" w:type="dxa"/>
          </w:tcPr>
          <w:p w:rsidR="009B560E" w:rsidRPr="00387453" w:rsidRDefault="00651BAD" w:rsidP="00EF6366">
            <w:pPr>
              <w:jc w:val="center"/>
              <w:rPr>
                <w:lang w:val="ro-RO"/>
              </w:rPr>
            </w:pPr>
            <w:r w:rsidRPr="00387453">
              <w:rPr>
                <w:lang w:val="ro-RO"/>
              </w:rPr>
              <w:t>1.</w:t>
            </w:r>
          </w:p>
        </w:tc>
        <w:tc>
          <w:tcPr>
            <w:tcW w:w="9225" w:type="dxa"/>
            <w:vAlign w:val="center"/>
          </w:tcPr>
          <w:p w:rsidR="00E92247" w:rsidRPr="00387453" w:rsidRDefault="007959BD" w:rsidP="007959BD">
            <w:pPr>
              <w:ind w:firstLine="612"/>
              <w:jc w:val="both"/>
              <w:rPr>
                <w:lang w:val="ro-RO"/>
              </w:rPr>
            </w:pPr>
            <w:r w:rsidRPr="00387453">
              <w:rPr>
                <w:lang w:val="ro-RO"/>
              </w:rPr>
              <w:t>Ministerul Transporturilor și Infrastructurii Drumurilor</w:t>
            </w:r>
            <w:r w:rsidRPr="00387453">
              <w:rPr>
                <w:b/>
                <w:lang w:val="ro-RO"/>
              </w:rPr>
              <w:t xml:space="preserve"> </w:t>
            </w:r>
            <w:r w:rsidR="00E92247" w:rsidRPr="00387453">
              <w:rPr>
                <w:lang w:val="ro-RO"/>
              </w:rPr>
              <w:t xml:space="preserve">a examinat </w:t>
            </w:r>
            <w:r w:rsidRPr="00387453">
              <w:rPr>
                <w:lang w:val="ro-RO"/>
              </w:rPr>
              <w:t>demersul nr. 06/3-4025 din 30.06.2016</w:t>
            </w:r>
            <w:r w:rsidR="00E92247" w:rsidRPr="00387453">
              <w:rPr>
                <w:lang w:val="ro-RO"/>
              </w:rPr>
              <w:t xml:space="preserve"> cu privire la </w:t>
            </w:r>
            <w:r w:rsidRPr="00387453">
              <w:rPr>
                <w:lang w:val="ro-RO"/>
              </w:rPr>
              <w:t xml:space="preserve">avizarea proiectului Hotărîrii de Guvern </w:t>
            </w:r>
            <w:r w:rsidRPr="00387453">
              <w:rPr>
                <w:i/>
                <w:lang w:val="ro-RO"/>
              </w:rPr>
              <w:t xml:space="preserve">”cu privire la </w:t>
            </w:r>
            <w:r w:rsidR="00E92247" w:rsidRPr="00387453">
              <w:rPr>
                <w:i/>
                <w:lang w:val="ro-RO"/>
              </w:rPr>
              <w:t>măsurile de pregătire a economiei naționale și a sferei sociale pentru activitate în perioada de toamnă-iarnă 2016-2017</w:t>
            </w:r>
            <w:r w:rsidRPr="00387453">
              <w:rPr>
                <w:i/>
                <w:lang w:val="ro-RO"/>
              </w:rPr>
              <w:t>”</w:t>
            </w:r>
            <w:r w:rsidRPr="00387453">
              <w:rPr>
                <w:lang w:val="ro-RO"/>
              </w:rPr>
              <w:t xml:space="preserve"> și</w:t>
            </w:r>
            <w:r w:rsidR="00D154C4" w:rsidRPr="00387453">
              <w:rPr>
                <w:lang w:val="ro-RO"/>
              </w:rPr>
              <w:t xml:space="preserve"> î</w:t>
            </w:r>
            <w:r w:rsidRPr="00387453">
              <w:rPr>
                <w:lang w:val="ro-RO"/>
              </w:rPr>
              <w:t xml:space="preserve">n temeiul art.40 al Legii nr.317 din 18.07.2003 </w:t>
            </w:r>
            <w:r w:rsidRPr="00387453">
              <w:rPr>
                <w:i/>
                <w:lang w:val="ro-RO"/>
              </w:rPr>
              <w:t>”privind actele normative ale Guvernului și ale altor autorități ale administrației publice centrale și locale”</w:t>
            </w:r>
            <w:r w:rsidRPr="00387453">
              <w:rPr>
                <w:lang w:val="ro-RO"/>
              </w:rPr>
              <w:t>, Vă comunică lipsa de obiecții și propuneri asupra proiectului nominalizat.</w:t>
            </w:r>
          </w:p>
        </w:tc>
        <w:tc>
          <w:tcPr>
            <w:tcW w:w="4217" w:type="dxa"/>
            <w:vAlign w:val="center"/>
          </w:tcPr>
          <w:p w:rsidR="009B560E" w:rsidRPr="00387453" w:rsidRDefault="00637631" w:rsidP="006E5663">
            <w:pPr>
              <w:rPr>
                <w:b/>
                <w:lang w:val="ro-RO"/>
              </w:rPr>
            </w:pPr>
            <w:r w:rsidRPr="00387453">
              <w:rPr>
                <w:lang w:val="ro-RO"/>
              </w:rPr>
              <w:t xml:space="preserve">Se acceptă. </w:t>
            </w:r>
          </w:p>
        </w:tc>
      </w:tr>
      <w:tr w:rsidR="00797C59" w:rsidRPr="00131B6E" w:rsidTr="00990B95">
        <w:tc>
          <w:tcPr>
            <w:tcW w:w="14282" w:type="dxa"/>
            <w:gridSpan w:val="3"/>
          </w:tcPr>
          <w:p w:rsidR="00797C59" w:rsidRPr="00387453" w:rsidRDefault="00797C59" w:rsidP="00797C59">
            <w:pPr>
              <w:spacing w:before="120" w:after="120"/>
              <w:jc w:val="center"/>
              <w:rPr>
                <w:b/>
                <w:lang w:val="ro-RO"/>
              </w:rPr>
            </w:pPr>
            <w:r w:rsidRPr="00387453">
              <w:rPr>
                <w:b/>
                <w:highlight w:val="yellow"/>
                <w:lang w:val="ro-RO"/>
              </w:rPr>
              <w:t>Ministerul Sănătății a prezentat avizul prin scrisoarea nr. 01-9/1233 din 12.07.2016</w:t>
            </w:r>
          </w:p>
        </w:tc>
      </w:tr>
      <w:tr w:rsidR="00797C59" w:rsidRPr="00387453" w:rsidTr="00CE64E8">
        <w:tc>
          <w:tcPr>
            <w:tcW w:w="840" w:type="dxa"/>
          </w:tcPr>
          <w:p w:rsidR="00797C59" w:rsidRPr="00387453" w:rsidRDefault="00797C59" w:rsidP="00EF6366">
            <w:pPr>
              <w:jc w:val="center"/>
              <w:rPr>
                <w:lang w:val="ro-RO"/>
              </w:rPr>
            </w:pPr>
          </w:p>
        </w:tc>
        <w:tc>
          <w:tcPr>
            <w:tcW w:w="9225" w:type="dxa"/>
            <w:vAlign w:val="center"/>
          </w:tcPr>
          <w:p w:rsidR="00797C59" w:rsidRPr="00387453" w:rsidRDefault="00797C59" w:rsidP="007959BD">
            <w:pPr>
              <w:ind w:firstLine="612"/>
              <w:jc w:val="both"/>
              <w:rPr>
                <w:lang w:val="ro-RO"/>
              </w:rPr>
            </w:pPr>
            <w:r w:rsidRPr="00387453">
              <w:rPr>
                <w:lang w:val="ro-RO"/>
              </w:rPr>
              <w:t xml:space="preserve">La solicitarea nr. 06/3-4025 din 30 iunie 2016, privind examinarea și avizarea proiectului Hotărîrii de Guvern </w:t>
            </w:r>
            <w:r w:rsidRPr="00387453">
              <w:rPr>
                <w:rFonts w:eastAsia="Calibri"/>
                <w:lang w:val="ro-RO"/>
              </w:rPr>
              <w:t>„</w:t>
            </w:r>
            <w:r w:rsidRPr="00387453">
              <w:rPr>
                <w:lang w:val="ro-RO"/>
              </w:rPr>
              <w:t xml:space="preserve">cu privire la măsurile de pregătire a economiei naționale și a sferei sociale, pentru activitate în perioada de toamnă-iarnă 2016-2017”, Ministerul Sănătății Vă comunică, că nu are obiecții și propuneri. </w:t>
            </w:r>
          </w:p>
        </w:tc>
        <w:tc>
          <w:tcPr>
            <w:tcW w:w="4217" w:type="dxa"/>
            <w:vAlign w:val="center"/>
          </w:tcPr>
          <w:p w:rsidR="00797C59" w:rsidRPr="00387453" w:rsidRDefault="00797C59" w:rsidP="006E5663">
            <w:pPr>
              <w:rPr>
                <w:lang w:val="ro-RO"/>
              </w:rPr>
            </w:pPr>
            <w:r w:rsidRPr="00387453">
              <w:rPr>
                <w:lang w:val="ro-RO"/>
              </w:rPr>
              <w:t xml:space="preserve">Se acceptă. </w:t>
            </w:r>
          </w:p>
        </w:tc>
      </w:tr>
      <w:tr w:rsidR="00D154C4" w:rsidRPr="00131B6E" w:rsidTr="00BC0AB7">
        <w:tc>
          <w:tcPr>
            <w:tcW w:w="14282" w:type="dxa"/>
            <w:gridSpan w:val="3"/>
          </w:tcPr>
          <w:p w:rsidR="00D154C4" w:rsidRPr="00387453" w:rsidRDefault="00D154C4" w:rsidP="00D154C4">
            <w:pPr>
              <w:spacing w:before="120" w:after="120"/>
              <w:jc w:val="center"/>
              <w:rPr>
                <w:lang w:val="ro-RO"/>
              </w:rPr>
            </w:pPr>
            <w:r w:rsidRPr="00387453">
              <w:rPr>
                <w:b/>
                <w:highlight w:val="yellow"/>
                <w:lang w:val="ro-RO"/>
              </w:rPr>
              <w:t xml:space="preserve">Agenția Rezerve Materiale a prezentat avizul prin scrisoarea nr. </w:t>
            </w:r>
            <w:r w:rsidR="00E90657" w:rsidRPr="00387453">
              <w:rPr>
                <w:b/>
                <w:highlight w:val="yellow"/>
                <w:lang w:val="ro-RO"/>
              </w:rPr>
              <w:t>0305-445 din 12.07.2016</w:t>
            </w:r>
            <w:r w:rsidR="00E90657" w:rsidRPr="00387453">
              <w:rPr>
                <w:b/>
                <w:lang w:val="ro-RO"/>
              </w:rPr>
              <w:t xml:space="preserve"> </w:t>
            </w:r>
          </w:p>
        </w:tc>
      </w:tr>
      <w:tr w:rsidR="00D154C4" w:rsidRPr="00387453" w:rsidTr="00CE64E8">
        <w:tc>
          <w:tcPr>
            <w:tcW w:w="840" w:type="dxa"/>
          </w:tcPr>
          <w:p w:rsidR="00D154C4" w:rsidRPr="00387453" w:rsidRDefault="00D154C4" w:rsidP="003C479B">
            <w:pPr>
              <w:jc w:val="center"/>
              <w:rPr>
                <w:lang w:val="en-US"/>
              </w:rPr>
            </w:pPr>
            <w:r w:rsidRPr="00387453">
              <w:rPr>
                <w:lang w:val="en-US"/>
              </w:rPr>
              <w:t>1.</w:t>
            </w:r>
          </w:p>
          <w:p w:rsidR="00D154C4" w:rsidRPr="00387453" w:rsidRDefault="00D154C4" w:rsidP="003C479B">
            <w:pPr>
              <w:jc w:val="center"/>
              <w:rPr>
                <w:lang w:val="ro-RO"/>
              </w:rPr>
            </w:pPr>
          </w:p>
        </w:tc>
        <w:tc>
          <w:tcPr>
            <w:tcW w:w="9225" w:type="dxa"/>
            <w:vAlign w:val="center"/>
          </w:tcPr>
          <w:p w:rsidR="00D154C4" w:rsidRPr="00387453" w:rsidRDefault="00D154C4" w:rsidP="003C479B">
            <w:pPr>
              <w:ind w:firstLine="612"/>
              <w:jc w:val="both"/>
              <w:rPr>
                <w:lang w:val="ro-RO"/>
              </w:rPr>
            </w:pPr>
            <w:r w:rsidRPr="00387453">
              <w:rPr>
                <w:lang w:val="ro-RO"/>
              </w:rPr>
              <w:t xml:space="preserve">Agenția Rezerve Materiale a examinat proiectul hotărîrii de Guvern ”Cu privire la măsurile de pregătire a economiei naționale ți a sferei sociale pentru activitate în perioada de toamnă-iarnă 2016-2017” și comunică lipsa obiecțiilor și propunerilor. </w:t>
            </w:r>
          </w:p>
        </w:tc>
        <w:tc>
          <w:tcPr>
            <w:tcW w:w="4217" w:type="dxa"/>
            <w:vAlign w:val="center"/>
          </w:tcPr>
          <w:p w:rsidR="00D154C4" w:rsidRPr="00387453" w:rsidRDefault="00D154C4" w:rsidP="003C479B">
            <w:pPr>
              <w:rPr>
                <w:lang w:val="ro-RO"/>
              </w:rPr>
            </w:pPr>
            <w:r w:rsidRPr="00387453">
              <w:rPr>
                <w:lang w:val="ro-RO"/>
              </w:rPr>
              <w:t xml:space="preserve">Se acceptă. </w:t>
            </w:r>
          </w:p>
        </w:tc>
      </w:tr>
      <w:tr w:rsidR="00402733" w:rsidRPr="00131B6E" w:rsidTr="00E45E22">
        <w:tc>
          <w:tcPr>
            <w:tcW w:w="14282" w:type="dxa"/>
            <w:gridSpan w:val="3"/>
          </w:tcPr>
          <w:p w:rsidR="00402733" w:rsidRPr="00387453" w:rsidRDefault="00402733" w:rsidP="00402733">
            <w:pPr>
              <w:spacing w:before="120" w:after="120"/>
              <w:jc w:val="center"/>
              <w:rPr>
                <w:lang w:val="ro-RO"/>
              </w:rPr>
            </w:pPr>
            <w:r w:rsidRPr="00387453">
              <w:rPr>
                <w:b/>
                <w:highlight w:val="yellow"/>
                <w:lang w:val="ro-RO"/>
              </w:rPr>
              <w:t>Agenția Națională pentru Reglementare în Energetică a prezentat avizul prin scrisoarea nr. 03/597 din 08.07.2016</w:t>
            </w:r>
          </w:p>
        </w:tc>
      </w:tr>
      <w:tr w:rsidR="00402733" w:rsidRPr="00387453" w:rsidTr="00CE64E8">
        <w:tc>
          <w:tcPr>
            <w:tcW w:w="840" w:type="dxa"/>
          </w:tcPr>
          <w:p w:rsidR="00402733" w:rsidRPr="00387453" w:rsidRDefault="00402733" w:rsidP="003C479B">
            <w:pPr>
              <w:jc w:val="center"/>
              <w:rPr>
                <w:lang w:val="en-US"/>
              </w:rPr>
            </w:pPr>
            <w:r w:rsidRPr="00387453">
              <w:rPr>
                <w:lang w:val="en-US"/>
              </w:rPr>
              <w:t xml:space="preserve">1. </w:t>
            </w:r>
          </w:p>
        </w:tc>
        <w:tc>
          <w:tcPr>
            <w:tcW w:w="9225" w:type="dxa"/>
            <w:vAlign w:val="center"/>
          </w:tcPr>
          <w:p w:rsidR="00402733" w:rsidRPr="00387453" w:rsidRDefault="00402733" w:rsidP="00402733">
            <w:pPr>
              <w:ind w:firstLine="612"/>
              <w:jc w:val="both"/>
              <w:rPr>
                <w:lang w:val="ro-RO"/>
              </w:rPr>
            </w:pPr>
            <w:r w:rsidRPr="00387453">
              <w:rPr>
                <w:lang w:val="ro-RO"/>
              </w:rPr>
              <w:t>Agenția Națională pentru Reglementare în Energetică comunică, că reieșind din competența funcțională, a examinat proiectul Hotărîrii de Guvern cu privire la măsurile de pregătire a economiei naționale și a sferei sociale pentru activitate în perioada de toamnă-iarnă 2016-2017.</w:t>
            </w:r>
          </w:p>
          <w:p w:rsidR="00402733" w:rsidRPr="00387453" w:rsidRDefault="00402733" w:rsidP="00402733">
            <w:pPr>
              <w:ind w:firstLine="612"/>
              <w:jc w:val="both"/>
              <w:rPr>
                <w:lang w:val="ro-RO"/>
              </w:rPr>
            </w:pPr>
            <w:r w:rsidRPr="00387453">
              <w:rPr>
                <w:lang w:val="ro-RO"/>
              </w:rPr>
              <w:lastRenderedPageBreak/>
              <w:t>Vă informăm, că obiecții sau propuneri nu avem.</w:t>
            </w:r>
          </w:p>
        </w:tc>
        <w:tc>
          <w:tcPr>
            <w:tcW w:w="4217" w:type="dxa"/>
            <w:vAlign w:val="center"/>
          </w:tcPr>
          <w:p w:rsidR="00402733" w:rsidRPr="00387453" w:rsidRDefault="00402733" w:rsidP="003C479B">
            <w:pPr>
              <w:rPr>
                <w:lang w:val="ro-RO"/>
              </w:rPr>
            </w:pPr>
            <w:r w:rsidRPr="00387453">
              <w:rPr>
                <w:lang w:val="ro-RO"/>
              </w:rPr>
              <w:lastRenderedPageBreak/>
              <w:t>Se acceptă.</w:t>
            </w:r>
          </w:p>
        </w:tc>
      </w:tr>
      <w:tr w:rsidR="00125E08" w:rsidRPr="00131B6E" w:rsidTr="00125E08">
        <w:trPr>
          <w:trHeight w:val="520"/>
        </w:trPr>
        <w:tc>
          <w:tcPr>
            <w:tcW w:w="14282" w:type="dxa"/>
            <w:gridSpan w:val="3"/>
            <w:vAlign w:val="center"/>
          </w:tcPr>
          <w:p w:rsidR="00125E08" w:rsidRPr="00387453" w:rsidRDefault="00125E08" w:rsidP="00E85E13">
            <w:pPr>
              <w:jc w:val="center"/>
              <w:rPr>
                <w:lang w:val="ro-RO"/>
              </w:rPr>
            </w:pPr>
            <w:r w:rsidRPr="00387453">
              <w:rPr>
                <w:b/>
                <w:highlight w:val="yellow"/>
                <w:lang w:val="ro-RO"/>
              </w:rPr>
              <w:lastRenderedPageBreak/>
              <w:t xml:space="preserve">Agenția pentru Eficienţă Energetică a prezentat avizul prin scrisoarea nr. </w:t>
            </w:r>
            <w:r w:rsidR="00E85E13" w:rsidRPr="00387453">
              <w:rPr>
                <w:b/>
                <w:highlight w:val="yellow"/>
                <w:lang w:val="ro-RO"/>
              </w:rPr>
              <w:t xml:space="preserve">29-425 </w:t>
            </w:r>
            <w:r w:rsidRPr="00387453">
              <w:rPr>
                <w:b/>
                <w:highlight w:val="yellow"/>
                <w:lang w:val="ro-RO"/>
              </w:rPr>
              <w:t>din 0</w:t>
            </w:r>
            <w:r w:rsidR="00E85E13" w:rsidRPr="00387453">
              <w:rPr>
                <w:b/>
                <w:highlight w:val="yellow"/>
                <w:lang w:val="ro-RO"/>
              </w:rPr>
              <w:t>1</w:t>
            </w:r>
            <w:r w:rsidRPr="00387453">
              <w:rPr>
                <w:b/>
                <w:highlight w:val="yellow"/>
                <w:lang w:val="ro-RO"/>
              </w:rPr>
              <w:t>.0</w:t>
            </w:r>
            <w:r w:rsidR="00E85E13" w:rsidRPr="00387453">
              <w:rPr>
                <w:b/>
                <w:highlight w:val="yellow"/>
                <w:lang w:val="ro-RO"/>
              </w:rPr>
              <w:t>8</w:t>
            </w:r>
            <w:r w:rsidRPr="00387453">
              <w:rPr>
                <w:b/>
                <w:highlight w:val="yellow"/>
                <w:lang w:val="ro-RO"/>
              </w:rPr>
              <w:t>.2016</w:t>
            </w:r>
          </w:p>
        </w:tc>
      </w:tr>
      <w:tr w:rsidR="00125E08" w:rsidRPr="00131B6E" w:rsidTr="00CE64E8">
        <w:tc>
          <w:tcPr>
            <w:tcW w:w="840" w:type="dxa"/>
          </w:tcPr>
          <w:p w:rsidR="00125E08" w:rsidRPr="00387453" w:rsidRDefault="00125E08" w:rsidP="003C479B">
            <w:pPr>
              <w:jc w:val="center"/>
              <w:rPr>
                <w:lang w:val="en-US"/>
              </w:rPr>
            </w:pPr>
            <w:r w:rsidRPr="00387453">
              <w:rPr>
                <w:lang w:val="en-US"/>
              </w:rPr>
              <w:t>1.</w:t>
            </w:r>
          </w:p>
        </w:tc>
        <w:tc>
          <w:tcPr>
            <w:tcW w:w="9225" w:type="dxa"/>
            <w:vAlign w:val="center"/>
          </w:tcPr>
          <w:p w:rsidR="00125E08" w:rsidRPr="00387453" w:rsidRDefault="00125E08" w:rsidP="00BE7FDD">
            <w:pPr>
              <w:autoSpaceDE w:val="0"/>
              <w:autoSpaceDN w:val="0"/>
              <w:adjustRightInd w:val="0"/>
              <w:spacing w:line="276" w:lineRule="auto"/>
              <w:jc w:val="both"/>
              <w:rPr>
                <w:rFonts w:eastAsia="Calibri"/>
                <w:lang w:val="en-US" w:eastAsia="en-US"/>
              </w:rPr>
            </w:pPr>
            <w:r w:rsidRPr="00387453">
              <w:rPr>
                <w:lang w:val="ro-RO"/>
              </w:rPr>
              <w:t>Agenția pentru Eficienţă Energetică</w:t>
            </w:r>
            <w:r w:rsidRPr="00387453">
              <w:rPr>
                <w:rFonts w:eastAsia="Calibri"/>
                <w:lang w:val="en-US" w:eastAsia="en-US"/>
              </w:rPr>
              <w:t xml:space="preserve"> </w:t>
            </w:r>
            <w:r w:rsidRPr="00387453">
              <w:rPr>
                <w:rFonts w:eastAsia="Calibri"/>
                <w:lang w:eastAsia="en-US"/>
              </w:rPr>
              <w:t>а</w:t>
            </w:r>
            <w:r w:rsidRPr="00387453">
              <w:rPr>
                <w:rFonts w:eastAsia="Calibri"/>
                <w:lang w:val="en-US" w:eastAsia="en-US"/>
              </w:rPr>
              <w:t xml:space="preserve"> examinat solicitarea privind examinarea şi avizarea proiectului </w:t>
            </w:r>
            <w:r w:rsidRPr="00387453">
              <w:rPr>
                <w:lang w:val="ro-RO"/>
              </w:rPr>
              <w:t>Hotărîrii de Guvern cu privire la măsurile de pregătire a economiei naționale și a sferei sociale pentru activitate în perioada de toamnă-iarnă 2016-2017</w:t>
            </w:r>
            <w:r w:rsidRPr="00387453">
              <w:rPr>
                <w:rFonts w:eastAsia="Calibri"/>
                <w:lang w:val="en-US" w:eastAsia="en-US"/>
              </w:rPr>
              <w:t xml:space="preserve"> şi transmite anexat modificările </w:t>
            </w:r>
            <w:r w:rsidRPr="00387453">
              <w:rPr>
                <w:rFonts w:eastAsia="Calibri"/>
                <w:lang w:val="ro-RO" w:eastAsia="en-US"/>
              </w:rPr>
              <w:t>propuse</w:t>
            </w:r>
            <w:r w:rsidRPr="00387453">
              <w:rPr>
                <w:rFonts w:eastAsia="Calibri"/>
                <w:lang w:val="en-US" w:eastAsia="en-US"/>
              </w:rPr>
              <w:t>.</w:t>
            </w:r>
          </w:p>
          <w:p w:rsidR="00125E08" w:rsidRPr="00387453" w:rsidRDefault="00125E08" w:rsidP="00BE7FDD">
            <w:pPr>
              <w:autoSpaceDE w:val="0"/>
              <w:autoSpaceDN w:val="0"/>
              <w:adjustRightInd w:val="0"/>
              <w:spacing w:line="276" w:lineRule="auto"/>
              <w:jc w:val="both"/>
              <w:rPr>
                <w:rFonts w:eastAsia="Calibri"/>
                <w:lang w:val="en-US" w:eastAsia="en-US"/>
              </w:rPr>
            </w:pPr>
            <w:r w:rsidRPr="00387453">
              <w:rPr>
                <w:rFonts w:eastAsia="Calibri"/>
                <w:lang w:val="ro-RO" w:eastAsia="en-US"/>
              </w:rPr>
              <w:t xml:space="preserve">De asemenea, </w:t>
            </w:r>
            <w:r w:rsidRPr="00387453">
              <w:rPr>
                <w:rFonts w:eastAsia="Calibri"/>
                <w:lang w:val="en-US" w:eastAsia="en-US"/>
              </w:rPr>
              <w:t>se menţionează necesitatea verificării greşelilor gramaticale şi utilizarea diacriticelor în tot conţinutul proiectului prenotat.</w:t>
            </w:r>
          </w:p>
        </w:tc>
        <w:tc>
          <w:tcPr>
            <w:tcW w:w="4217" w:type="dxa"/>
            <w:vAlign w:val="center"/>
          </w:tcPr>
          <w:p w:rsidR="00125E08" w:rsidRPr="00387453" w:rsidRDefault="00125E08" w:rsidP="003C479B">
            <w:pPr>
              <w:rPr>
                <w:lang w:val="ro-RO"/>
              </w:rPr>
            </w:pPr>
          </w:p>
          <w:p w:rsidR="007A2EF1" w:rsidRPr="00387453" w:rsidRDefault="007A2EF1" w:rsidP="007A2EF1">
            <w:pPr>
              <w:jc w:val="both"/>
              <w:rPr>
                <w:lang w:val="ro-RO"/>
              </w:rPr>
            </w:pPr>
            <w:r w:rsidRPr="00387453">
              <w:rPr>
                <w:lang w:val="ro-RO"/>
              </w:rPr>
              <w:t>Se acceptă parțial. Textul a fost redactat</w:t>
            </w:r>
          </w:p>
          <w:p w:rsidR="007A2EF1" w:rsidRPr="00387453" w:rsidRDefault="007A2EF1" w:rsidP="003C479B">
            <w:pPr>
              <w:rPr>
                <w:lang w:val="ro-RO"/>
              </w:rPr>
            </w:pPr>
          </w:p>
          <w:p w:rsidR="007A2EF1" w:rsidRPr="00387453" w:rsidRDefault="007A2EF1" w:rsidP="003C479B">
            <w:pPr>
              <w:rPr>
                <w:lang w:val="ro-RO"/>
              </w:rPr>
            </w:pPr>
          </w:p>
          <w:p w:rsidR="007A2EF1" w:rsidRPr="00387453" w:rsidRDefault="007A2EF1" w:rsidP="007A2EF1">
            <w:pPr>
              <w:jc w:val="both"/>
              <w:rPr>
                <w:lang w:val="ro-RO"/>
              </w:rPr>
            </w:pPr>
            <w:r w:rsidRPr="00387453">
              <w:rPr>
                <w:lang w:val="ro-RO"/>
              </w:rPr>
              <w:t>Se acceptă. Textul a fost redactat</w:t>
            </w:r>
          </w:p>
        </w:tc>
      </w:tr>
      <w:tr w:rsidR="00CD547B" w:rsidRPr="00131B6E" w:rsidTr="00B95535">
        <w:tc>
          <w:tcPr>
            <w:tcW w:w="14282" w:type="dxa"/>
            <w:gridSpan w:val="3"/>
          </w:tcPr>
          <w:p w:rsidR="00CD547B" w:rsidRPr="00387453" w:rsidRDefault="00CD547B" w:rsidP="00CD547B">
            <w:pPr>
              <w:spacing w:before="120" w:after="120"/>
              <w:jc w:val="center"/>
              <w:rPr>
                <w:b/>
                <w:lang w:val="ro-RO"/>
              </w:rPr>
            </w:pPr>
            <w:r w:rsidRPr="00387453">
              <w:rPr>
                <w:b/>
                <w:highlight w:val="yellow"/>
                <w:lang w:val="ro-RO"/>
              </w:rPr>
              <w:t>Fondul pentru Eficiență Energetică a prezentat avizul prin scrisoarea nr. 722 din 15.07.2016</w:t>
            </w:r>
          </w:p>
        </w:tc>
      </w:tr>
      <w:tr w:rsidR="00CD547B" w:rsidRPr="00387453" w:rsidTr="00CE64E8">
        <w:tc>
          <w:tcPr>
            <w:tcW w:w="840" w:type="dxa"/>
          </w:tcPr>
          <w:p w:rsidR="00CD547B" w:rsidRPr="00387453" w:rsidRDefault="00CD547B" w:rsidP="00EF6366">
            <w:pPr>
              <w:jc w:val="center"/>
              <w:rPr>
                <w:lang w:val="ro-RO"/>
              </w:rPr>
            </w:pPr>
            <w:r w:rsidRPr="00387453">
              <w:rPr>
                <w:lang w:val="ro-RO"/>
              </w:rPr>
              <w:t>1.</w:t>
            </w:r>
          </w:p>
        </w:tc>
        <w:tc>
          <w:tcPr>
            <w:tcW w:w="9225" w:type="dxa"/>
            <w:vAlign w:val="center"/>
          </w:tcPr>
          <w:p w:rsidR="00CD547B" w:rsidRPr="00387453" w:rsidRDefault="00CD547B" w:rsidP="007959BD">
            <w:pPr>
              <w:ind w:firstLine="612"/>
              <w:jc w:val="both"/>
              <w:rPr>
                <w:lang w:val="ro-RO"/>
              </w:rPr>
            </w:pPr>
            <w:r w:rsidRPr="00387453">
              <w:rPr>
                <w:lang w:val="ro-RO"/>
              </w:rPr>
              <w:t>Prin prezenta, Fondul pentru Eficiență Energetică, Vă informează că a analizat proiectul Hotărîrii Guvernului cu privire la măsurile de pregătire a economiei naționale și a sferei sociale pentru activitatea în perioada toamnă-iarnă 2016-2017 și Vă comunică lipsă de propuneri și obiecții.</w:t>
            </w:r>
          </w:p>
        </w:tc>
        <w:tc>
          <w:tcPr>
            <w:tcW w:w="4217" w:type="dxa"/>
            <w:vAlign w:val="center"/>
          </w:tcPr>
          <w:p w:rsidR="00CD547B" w:rsidRPr="00387453" w:rsidRDefault="00CD547B" w:rsidP="006E5663">
            <w:pPr>
              <w:rPr>
                <w:lang w:val="ro-RO"/>
              </w:rPr>
            </w:pPr>
            <w:r w:rsidRPr="00387453">
              <w:rPr>
                <w:lang w:val="ro-RO"/>
              </w:rPr>
              <w:t>Se acceptă.</w:t>
            </w:r>
          </w:p>
        </w:tc>
      </w:tr>
      <w:tr w:rsidR="000577F8" w:rsidRPr="00131B6E" w:rsidTr="00660604">
        <w:tc>
          <w:tcPr>
            <w:tcW w:w="14282" w:type="dxa"/>
            <w:gridSpan w:val="3"/>
          </w:tcPr>
          <w:p w:rsidR="000577F8" w:rsidRPr="00387453" w:rsidRDefault="000577F8" w:rsidP="00D3015B">
            <w:pPr>
              <w:spacing w:before="120" w:after="120"/>
              <w:jc w:val="center"/>
              <w:rPr>
                <w:b/>
                <w:lang w:val="ro-RO"/>
              </w:rPr>
            </w:pPr>
            <w:r w:rsidRPr="00387453">
              <w:rPr>
                <w:b/>
                <w:highlight w:val="yellow"/>
                <w:lang w:val="ro-RO"/>
              </w:rPr>
              <w:t>Inspectoratul Principal de Stat pentru Supravegherea Tehnică a Obiectelor Industriale Periculoase a prezentat avizul prin scrisoarea nr. 28-04/257 din 11.07.2016</w:t>
            </w:r>
          </w:p>
        </w:tc>
      </w:tr>
      <w:tr w:rsidR="000577F8" w:rsidRPr="00387453" w:rsidTr="00CE64E8">
        <w:tc>
          <w:tcPr>
            <w:tcW w:w="840" w:type="dxa"/>
          </w:tcPr>
          <w:p w:rsidR="000577F8" w:rsidRPr="00387453" w:rsidRDefault="000577F8" w:rsidP="00EF6366">
            <w:pPr>
              <w:jc w:val="center"/>
              <w:rPr>
                <w:lang w:val="ro-RO"/>
              </w:rPr>
            </w:pPr>
            <w:r w:rsidRPr="00387453">
              <w:rPr>
                <w:lang w:val="ro-RO"/>
              </w:rPr>
              <w:t xml:space="preserve">1. </w:t>
            </w:r>
          </w:p>
        </w:tc>
        <w:tc>
          <w:tcPr>
            <w:tcW w:w="9225" w:type="dxa"/>
            <w:vAlign w:val="center"/>
          </w:tcPr>
          <w:p w:rsidR="000577F8" w:rsidRPr="00387453" w:rsidRDefault="000577F8" w:rsidP="000577F8">
            <w:pPr>
              <w:ind w:firstLine="612"/>
              <w:jc w:val="both"/>
              <w:rPr>
                <w:lang w:val="en-US"/>
              </w:rPr>
            </w:pPr>
            <w:r w:rsidRPr="00387453">
              <w:rPr>
                <w:lang w:val="en-US"/>
              </w:rPr>
              <w:t>Inspectoratul Principal de Stat pentru Supravegherea Tehnică a Obiectelor Industriale Periculoase (IPSSTOIP), a examinat scrisoarea  nr.06/3-4025 din 30.06.2016 al ME privind avizarea proiectului Hotărîrii de Guvern cu privire la măsurile de pregătire a economiei naționale și a sferei sociale pentru activitate în perioada de toamnă-iarnă 2016-2017, și vă comunică următoarele.</w:t>
            </w:r>
          </w:p>
          <w:p w:rsidR="000577F8" w:rsidRPr="00387453" w:rsidRDefault="000577F8" w:rsidP="000577F8">
            <w:pPr>
              <w:ind w:firstLine="612"/>
              <w:jc w:val="both"/>
              <w:rPr>
                <w:lang w:val="en-US"/>
              </w:rPr>
            </w:pPr>
            <w:r w:rsidRPr="00387453">
              <w:rPr>
                <w:lang w:val="en-US"/>
              </w:rPr>
              <w:t xml:space="preserve">Cu referire la activitatea  IPSSTOIP care se regăsește în art.2 și 3 al proiectului de HG menționat că  conform  atribuțiilor  privind verificările tehnice care urmează să le efectueze prin întocmirea actelor  de constatare a gradului de pregătire tehnică pentru funcționare sezonieră/permanentă a sistemului de gaze conform </w:t>
            </w:r>
            <w:r w:rsidRPr="00387453">
              <w:rPr>
                <w:i/>
                <w:lang w:val="en-US"/>
              </w:rPr>
              <w:t>anexei nr.6</w:t>
            </w:r>
            <w:r w:rsidRPr="00387453">
              <w:rPr>
                <w:lang w:val="en-US"/>
              </w:rPr>
              <w:t xml:space="preserve">  nu are propuneri.</w:t>
            </w:r>
          </w:p>
          <w:p w:rsidR="000577F8" w:rsidRPr="00387453" w:rsidRDefault="000577F8" w:rsidP="000577F8">
            <w:pPr>
              <w:ind w:firstLine="612"/>
              <w:jc w:val="both"/>
              <w:rPr>
                <w:lang w:val="en-US"/>
              </w:rPr>
            </w:pPr>
            <w:r w:rsidRPr="00387453">
              <w:rPr>
                <w:lang w:val="en-US"/>
              </w:rPr>
              <w:t xml:space="preserve">Reieșind din analiza activităților desfășurate identic în anii anteriori în perioada </w:t>
            </w:r>
            <w:proofErr w:type="gramStart"/>
            <w:r w:rsidRPr="00387453">
              <w:rPr>
                <w:lang w:val="en-US"/>
              </w:rPr>
              <w:t>pregătirii  către</w:t>
            </w:r>
            <w:proofErr w:type="gramEnd"/>
            <w:r w:rsidRPr="00387453">
              <w:rPr>
                <w:lang w:val="en-US"/>
              </w:rPr>
              <w:t xml:space="preserve"> sezonul de toamnă-iarnă,  IPSSTOIP acordă servicii publice în scopul prevenirii avariilor,  consultă și participă conform prevederilor cadrului legislativ ca terță parte la constatarea gradului de pregătire tehnică pentru funcționare inofensivă a sistemului de gaze a centralelor termice.</w:t>
            </w:r>
          </w:p>
        </w:tc>
        <w:tc>
          <w:tcPr>
            <w:tcW w:w="4217" w:type="dxa"/>
            <w:vAlign w:val="center"/>
          </w:tcPr>
          <w:p w:rsidR="00402733" w:rsidRPr="00387453" w:rsidRDefault="00402733" w:rsidP="006E5663">
            <w:pPr>
              <w:rPr>
                <w:lang w:val="ro-RO"/>
              </w:rPr>
            </w:pPr>
          </w:p>
          <w:p w:rsidR="00402733" w:rsidRPr="00387453" w:rsidRDefault="00402733" w:rsidP="006E5663">
            <w:pPr>
              <w:rPr>
                <w:lang w:val="ro-RO"/>
              </w:rPr>
            </w:pPr>
          </w:p>
          <w:p w:rsidR="00402733" w:rsidRPr="00387453" w:rsidRDefault="00402733" w:rsidP="006E5663">
            <w:pPr>
              <w:rPr>
                <w:lang w:val="ro-RO"/>
              </w:rPr>
            </w:pPr>
          </w:p>
          <w:p w:rsidR="00402733" w:rsidRPr="00387453" w:rsidRDefault="00402733" w:rsidP="006E5663">
            <w:pPr>
              <w:rPr>
                <w:lang w:val="ro-RO"/>
              </w:rPr>
            </w:pPr>
          </w:p>
          <w:p w:rsidR="00402733" w:rsidRPr="00387453" w:rsidRDefault="00402733" w:rsidP="006E5663">
            <w:pPr>
              <w:rPr>
                <w:lang w:val="ro-RO"/>
              </w:rPr>
            </w:pPr>
          </w:p>
          <w:p w:rsidR="00402733" w:rsidRPr="00387453" w:rsidRDefault="00402733" w:rsidP="006E5663">
            <w:pPr>
              <w:rPr>
                <w:lang w:val="ro-RO"/>
              </w:rPr>
            </w:pPr>
          </w:p>
          <w:p w:rsidR="000577F8" w:rsidRPr="00387453" w:rsidRDefault="000577F8" w:rsidP="006E5663">
            <w:pPr>
              <w:rPr>
                <w:lang w:val="ro-RO"/>
              </w:rPr>
            </w:pPr>
            <w:r w:rsidRPr="00387453">
              <w:rPr>
                <w:lang w:val="ro-RO"/>
              </w:rPr>
              <w:t>Se acceptă.</w:t>
            </w:r>
          </w:p>
        </w:tc>
      </w:tr>
      <w:tr w:rsidR="00DA7CA1" w:rsidRPr="00131B6E" w:rsidTr="00CE64E8">
        <w:trPr>
          <w:trHeight w:val="708"/>
        </w:trPr>
        <w:tc>
          <w:tcPr>
            <w:tcW w:w="14282" w:type="dxa"/>
            <w:gridSpan w:val="3"/>
            <w:vAlign w:val="center"/>
          </w:tcPr>
          <w:p w:rsidR="009B560E" w:rsidRPr="00387453" w:rsidRDefault="00637631" w:rsidP="0087520A">
            <w:pPr>
              <w:ind w:firstLine="720"/>
              <w:jc w:val="center"/>
              <w:rPr>
                <w:lang w:val="ro-RO"/>
              </w:rPr>
            </w:pPr>
            <w:r w:rsidRPr="00387453">
              <w:rPr>
                <w:b/>
                <w:highlight w:val="yellow"/>
                <w:lang w:val="ro-RO"/>
              </w:rPr>
              <w:t>SA ”TERMOELECTRICA”</w:t>
            </w:r>
            <w:r w:rsidR="009B560E" w:rsidRPr="00387453">
              <w:rPr>
                <w:b/>
                <w:highlight w:val="yellow"/>
                <w:lang w:val="ro-RO"/>
              </w:rPr>
              <w:t xml:space="preserve"> a prezentat avizul prin scrisoarea nr. </w:t>
            </w:r>
            <w:r w:rsidRPr="00387453">
              <w:rPr>
                <w:b/>
                <w:highlight w:val="yellow"/>
                <w:lang w:val="ro-RO"/>
              </w:rPr>
              <w:t>79/3</w:t>
            </w:r>
            <w:r w:rsidR="000577F8" w:rsidRPr="00387453">
              <w:rPr>
                <w:b/>
                <w:highlight w:val="yellow"/>
                <w:lang w:val="ro-RO"/>
              </w:rPr>
              <w:t>918</w:t>
            </w:r>
            <w:r w:rsidR="009B560E" w:rsidRPr="00387453">
              <w:rPr>
                <w:b/>
                <w:highlight w:val="yellow"/>
                <w:lang w:val="ro-RO"/>
              </w:rPr>
              <w:t xml:space="preserve"> din </w:t>
            </w:r>
            <w:r w:rsidR="000577F8" w:rsidRPr="00387453">
              <w:rPr>
                <w:b/>
                <w:highlight w:val="yellow"/>
                <w:lang w:val="ro-RO"/>
              </w:rPr>
              <w:t>12.07.2016</w:t>
            </w:r>
          </w:p>
        </w:tc>
      </w:tr>
      <w:tr w:rsidR="00DA7CA1" w:rsidRPr="00387453" w:rsidTr="00CE64E8">
        <w:tc>
          <w:tcPr>
            <w:tcW w:w="840" w:type="dxa"/>
          </w:tcPr>
          <w:p w:rsidR="009B560E" w:rsidRPr="00387453" w:rsidRDefault="009B560E" w:rsidP="00EF6366">
            <w:pPr>
              <w:jc w:val="center"/>
              <w:rPr>
                <w:lang w:val="ro-RO"/>
              </w:rPr>
            </w:pPr>
            <w:r w:rsidRPr="00387453">
              <w:rPr>
                <w:lang w:val="ro-RO"/>
              </w:rPr>
              <w:t>1.</w:t>
            </w:r>
          </w:p>
        </w:tc>
        <w:tc>
          <w:tcPr>
            <w:tcW w:w="9225" w:type="dxa"/>
            <w:vAlign w:val="center"/>
          </w:tcPr>
          <w:p w:rsidR="00FB7EC4" w:rsidRPr="00387453" w:rsidRDefault="000577F8" w:rsidP="00FB7EC4">
            <w:pPr>
              <w:ind w:firstLine="612"/>
              <w:jc w:val="both"/>
              <w:rPr>
                <w:lang w:val="en-US"/>
              </w:rPr>
            </w:pPr>
            <w:r w:rsidRPr="00387453">
              <w:rPr>
                <w:lang w:val="ro-RO"/>
              </w:rPr>
              <w:t xml:space="preserve">Prin prezenta, Vă informăm că </w:t>
            </w:r>
            <w:r w:rsidR="00565971" w:rsidRPr="00387453">
              <w:rPr>
                <w:lang w:val="ro-RO"/>
              </w:rPr>
              <w:t xml:space="preserve">”Termoelectrica” </w:t>
            </w:r>
            <w:r w:rsidRPr="00387453">
              <w:rPr>
                <w:lang w:val="ro-RO"/>
              </w:rPr>
              <w:t xml:space="preserve">SA </w:t>
            </w:r>
            <w:r w:rsidR="00565971" w:rsidRPr="00387453">
              <w:rPr>
                <w:lang w:val="ro-RO"/>
              </w:rPr>
              <w:t>a</w:t>
            </w:r>
            <w:r w:rsidR="00637631" w:rsidRPr="00387453">
              <w:rPr>
                <w:lang w:val="ro-RO"/>
              </w:rPr>
              <w:t xml:space="preserve"> </w:t>
            </w:r>
            <w:r w:rsidR="00FB7EC4" w:rsidRPr="00387453">
              <w:rPr>
                <w:lang w:val="ro-RO"/>
              </w:rPr>
              <w:t xml:space="preserve">studiat proiectul </w:t>
            </w:r>
            <w:r w:rsidR="00FB7EC4" w:rsidRPr="00387453">
              <w:rPr>
                <w:lang w:val="en-US"/>
              </w:rPr>
              <w:t xml:space="preserve">Hotărîrii de </w:t>
            </w:r>
            <w:r w:rsidR="00FB7EC4" w:rsidRPr="00387453">
              <w:rPr>
                <w:lang w:val="en-US"/>
              </w:rPr>
              <w:lastRenderedPageBreak/>
              <w:t>Guvern privind pregătirea economiei naționale și a sferei sociale pentru activitate în perioada de toamnă-iarnă 2016-2017.</w:t>
            </w:r>
          </w:p>
          <w:p w:rsidR="00FB7EC4" w:rsidRPr="00387453" w:rsidRDefault="00FB7EC4" w:rsidP="00FB7EC4">
            <w:pPr>
              <w:ind w:firstLine="612"/>
              <w:jc w:val="both"/>
              <w:rPr>
                <w:lang w:val="en-US"/>
              </w:rPr>
            </w:pPr>
            <w:r w:rsidRPr="00387453">
              <w:rPr>
                <w:lang w:val="ro-RO"/>
              </w:rPr>
              <w:t>”Termoelectrica” SA nu are obiecții referitor la documentul respectiv, considerându-l amplu și complex și se obligă să respecte cu strictețe prevederile acestui document.</w:t>
            </w:r>
          </w:p>
        </w:tc>
        <w:tc>
          <w:tcPr>
            <w:tcW w:w="4217" w:type="dxa"/>
            <w:vAlign w:val="center"/>
          </w:tcPr>
          <w:p w:rsidR="009B560E" w:rsidRPr="00387453" w:rsidRDefault="00D66664" w:rsidP="006E5663">
            <w:pPr>
              <w:rPr>
                <w:lang w:val="ro-RO"/>
              </w:rPr>
            </w:pPr>
            <w:r w:rsidRPr="00387453">
              <w:rPr>
                <w:lang w:val="ro-RO"/>
              </w:rPr>
              <w:lastRenderedPageBreak/>
              <w:t>Se acceptă</w:t>
            </w:r>
          </w:p>
        </w:tc>
      </w:tr>
      <w:tr w:rsidR="00DA7CA1" w:rsidRPr="00131B6E" w:rsidTr="00CE64E8">
        <w:trPr>
          <w:trHeight w:val="542"/>
        </w:trPr>
        <w:tc>
          <w:tcPr>
            <w:tcW w:w="14282" w:type="dxa"/>
            <w:gridSpan w:val="3"/>
            <w:vAlign w:val="center"/>
          </w:tcPr>
          <w:p w:rsidR="009B560E" w:rsidRPr="00387453" w:rsidRDefault="00637631" w:rsidP="00D3015B">
            <w:pPr>
              <w:spacing w:before="120" w:after="120"/>
              <w:jc w:val="center"/>
              <w:rPr>
                <w:b/>
                <w:lang w:val="ro-RO"/>
              </w:rPr>
            </w:pPr>
            <w:r w:rsidRPr="00387453">
              <w:rPr>
                <w:b/>
                <w:highlight w:val="yellow"/>
                <w:lang w:val="ro-RO"/>
              </w:rPr>
              <w:lastRenderedPageBreak/>
              <w:t xml:space="preserve">SA ”CET-NORD” </w:t>
            </w:r>
            <w:r w:rsidR="009B560E" w:rsidRPr="00387453">
              <w:rPr>
                <w:b/>
                <w:highlight w:val="yellow"/>
                <w:lang w:val="ro-RO"/>
              </w:rPr>
              <w:t>a prezentat avizul prin scrisoarea nr.</w:t>
            </w:r>
            <w:r w:rsidRPr="00387453">
              <w:rPr>
                <w:b/>
                <w:highlight w:val="yellow"/>
                <w:lang w:val="ro-RO"/>
              </w:rPr>
              <w:t xml:space="preserve"> 0</w:t>
            </w:r>
            <w:r w:rsidR="00FB7EC4" w:rsidRPr="00387453">
              <w:rPr>
                <w:b/>
                <w:highlight w:val="yellow"/>
                <w:lang w:val="ro-RO"/>
              </w:rPr>
              <w:t xml:space="preserve">4-14/419 </w:t>
            </w:r>
            <w:r w:rsidR="00D735F3" w:rsidRPr="00387453">
              <w:rPr>
                <w:b/>
                <w:highlight w:val="yellow"/>
                <w:lang w:val="ro-RO"/>
              </w:rPr>
              <w:t xml:space="preserve">din </w:t>
            </w:r>
            <w:r w:rsidR="00FB7EC4" w:rsidRPr="00387453">
              <w:rPr>
                <w:b/>
                <w:highlight w:val="yellow"/>
                <w:lang w:val="ro-RO"/>
              </w:rPr>
              <w:t>07.07.2016</w:t>
            </w:r>
          </w:p>
        </w:tc>
      </w:tr>
      <w:tr w:rsidR="00DA7CA1" w:rsidRPr="00387453" w:rsidTr="00CE64E8">
        <w:trPr>
          <w:trHeight w:val="159"/>
        </w:trPr>
        <w:tc>
          <w:tcPr>
            <w:tcW w:w="840" w:type="dxa"/>
          </w:tcPr>
          <w:p w:rsidR="009B560E" w:rsidRPr="00387453" w:rsidRDefault="009B560E" w:rsidP="00EF6366">
            <w:pPr>
              <w:jc w:val="center"/>
              <w:rPr>
                <w:lang w:val="ro-RO"/>
              </w:rPr>
            </w:pPr>
            <w:r w:rsidRPr="00387453">
              <w:rPr>
                <w:lang w:val="ro-RO"/>
              </w:rPr>
              <w:t>1.</w:t>
            </w:r>
          </w:p>
        </w:tc>
        <w:tc>
          <w:tcPr>
            <w:tcW w:w="9225" w:type="dxa"/>
            <w:vAlign w:val="center"/>
          </w:tcPr>
          <w:p w:rsidR="0087520A" w:rsidRPr="00387453" w:rsidRDefault="00FB7EC4" w:rsidP="0087520A">
            <w:pPr>
              <w:ind w:firstLine="612"/>
              <w:jc w:val="both"/>
              <w:rPr>
                <w:lang w:val="ro-RO"/>
              </w:rPr>
            </w:pPr>
            <w:r w:rsidRPr="00387453">
              <w:rPr>
                <w:lang w:val="ro-RO"/>
              </w:rPr>
              <w:t>Prin prezenta vă înştiinţăm că, SA „CET-Nord” a examinat proiectul Hotărîrii Guvernului „Cu privire la măsurile de pregătire a economiei naţionale şi a sferei sociale pentru activitate în perioada de toamnă-iarnă 2016-2017”.</w:t>
            </w:r>
          </w:p>
          <w:p w:rsidR="00B6506A" w:rsidRPr="00387453" w:rsidRDefault="00FB7EC4" w:rsidP="0087520A">
            <w:pPr>
              <w:ind w:firstLine="612"/>
              <w:jc w:val="both"/>
              <w:rPr>
                <w:lang w:val="ro-RO"/>
              </w:rPr>
            </w:pPr>
            <w:r w:rsidRPr="00387453">
              <w:rPr>
                <w:lang w:val="ro-RO"/>
              </w:rPr>
              <w:t>La proiectul prezent întrebări şi propuneri nu sunt.</w:t>
            </w:r>
          </w:p>
        </w:tc>
        <w:tc>
          <w:tcPr>
            <w:tcW w:w="4217" w:type="dxa"/>
          </w:tcPr>
          <w:p w:rsidR="00651BAD" w:rsidRPr="00387453" w:rsidRDefault="00651BAD" w:rsidP="009742DE">
            <w:pPr>
              <w:jc w:val="center"/>
              <w:rPr>
                <w:lang w:val="ro-RO"/>
              </w:rPr>
            </w:pPr>
          </w:p>
          <w:p w:rsidR="009B560E" w:rsidRPr="00387453" w:rsidRDefault="009742DE" w:rsidP="006E5663">
            <w:pPr>
              <w:rPr>
                <w:lang w:val="ro-RO"/>
              </w:rPr>
            </w:pPr>
            <w:r w:rsidRPr="00387453">
              <w:rPr>
                <w:lang w:val="ro-RO"/>
              </w:rPr>
              <w:t>Se acceptă</w:t>
            </w:r>
          </w:p>
        </w:tc>
      </w:tr>
      <w:tr w:rsidR="006E5663" w:rsidRPr="00131B6E" w:rsidTr="00CE64E8">
        <w:trPr>
          <w:trHeight w:val="159"/>
        </w:trPr>
        <w:tc>
          <w:tcPr>
            <w:tcW w:w="840" w:type="dxa"/>
          </w:tcPr>
          <w:p w:rsidR="006E5663" w:rsidRPr="00387453" w:rsidRDefault="006E5663" w:rsidP="00EF6366">
            <w:pPr>
              <w:jc w:val="center"/>
              <w:rPr>
                <w:lang w:val="ro-RO"/>
              </w:rPr>
            </w:pPr>
          </w:p>
        </w:tc>
        <w:tc>
          <w:tcPr>
            <w:tcW w:w="13442" w:type="dxa"/>
            <w:gridSpan w:val="2"/>
            <w:vAlign w:val="center"/>
          </w:tcPr>
          <w:p w:rsidR="006E5663" w:rsidRPr="00387453" w:rsidRDefault="00D154C4" w:rsidP="00D3015B">
            <w:pPr>
              <w:spacing w:before="120" w:after="120"/>
              <w:jc w:val="center"/>
              <w:rPr>
                <w:lang w:val="ro-RO"/>
              </w:rPr>
            </w:pPr>
            <w:r w:rsidRPr="00387453">
              <w:rPr>
                <w:rFonts w:eastAsia="Arial-BoldMT"/>
                <w:b/>
                <w:bCs/>
                <w:highlight w:val="yellow"/>
                <w:lang w:val="ro-RO" w:eastAsia="en-US"/>
              </w:rPr>
              <w:t>Î</w:t>
            </w:r>
            <w:r w:rsidR="0087520A" w:rsidRPr="00387453">
              <w:rPr>
                <w:rFonts w:eastAsia="Arial-BoldMT"/>
                <w:b/>
                <w:bCs/>
                <w:highlight w:val="yellow"/>
                <w:lang w:val="ro-RO" w:eastAsia="en-US"/>
              </w:rPr>
              <w:t>M ”Termogaz-Bălți”</w:t>
            </w:r>
            <w:r w:rsidR="006E5663" w:rsidRPr="00387453">
              <w:rPr>
                <w:b/>
                <w:highlight w:val="yellow"/>
                <w:lang w:val="ro-RO"/>
              </w:rPr>
              <w:t xml:space="preserve"> a prezentat avizul prin scrisoarea nr. </w:t>
            </w:r>
            <w:r w:rsidR="0087520A" w:rsidRPr="00387453">
              <w:rPr>
                <w:b/>
                <w:highlight w:val="yellow"/>
                <w:lang w:val="ro-RO"/>
              </w:rPr>
              <w:t xml:space="preserve">295 </w:t>
            </w:r>
            <w:r w:rsidR="00D3015B" w:rsidRPr="00387453">
              <w:rPr>
                <w:b/>
                <w:highlight w:val="yellow"/>
                <w:lang w:val="ro-RO"/>
              </w:rPr>
              <w:t xml:space="preserve"> din</w:t>
            </w:r>
            <w:r w:rsidR="0087520A" w:rsidRPr="00387453">
              <w:rPr>
                <w:b/>
                <w:highlight w:val="yellow"/>
                <w:lang w:val="ro-RO"/>
              </w:rPr>
              <w:t>11.07.2016</w:t>
            </w:r>
          </w:p>
        </w:tc>
      </w:tr>
      <w:tr w:rsidR="0097711F" w:rsidRPr="00387453" w:rsidTr="00CE64E8">
        <w:trPr>
          <w:trHeight w:val="159"/>
        </w:trPr>
        <w:tc>
          <w:tcPr>
            <w:tcW w:w="840" w:type="dxa"/>
          </w:tcPr>
          <w:p w:rsidR="0097711F" w:rsidRPr="00387453" w:rsidRDefault="0097711F" w:rsidP="00EF6366">
            <w:pPr>
              <w:jc w:val="center"/>
              <w:rPr>
                <w:lang w:val="ro-RO"/>
              </w:rPr>
            </w:pPr>
            <w:r w:rsidRPr="00387453">
              <w:rPr>
                <w:lang w:val="ro-RO"/>
              </w:rPr>
              <w:t>1.</w:t>
            </w:r>
          </w:p>
        </w:tc>
        <w:tc>
          <w:tcPr>
            <w:tcW w:w="9225" w:type="dxa"/>
            <w:vAlign w:val="center"/>
          </w:tcPr>
          <w:p w:rsidR="0087520A" w:rsidRPr="00387453" w:rsidRDefault="0087520A" w:rsidP="0087520A">
            <w:pPr>
              <w:ind w:firstLine="612"/>
              <w:jc w:val="both"/>
              <w:rPr>
                <w:lang w:val="en-US"/>
              </w:rPr>
            </w:pPr>
            <w:r w:rsidRPr="00387453">
              <w:rPr>
                <w:lang w:val="en-US"/>
              </w:rPr>
              <w:t>Conform interpelării DVS, nr.06/3-4025 din 30.06.2016, putem menţiona următoarele:</w:t>
            </w:r>
          </w:p>
          <w:p w:rsidR="00DA7CA1" w:rsidRPr="00387453" w:rsidRDefault="0087520A" w:rsidP="0087520A">
            <w:pPr>
              <w:ind w:firstLine="612"/>
              <w:jc w:val="both"/>
              <w:rPr>
                <w:lang w:val="en-US"/>
              </w:rPr>
            </w:pPr>
            <w:r w:rsidRPr="00387453">
              <w:rPr>
                <w:lang w:val="en-US"/>
              </w:rPr>
              <w:t>ÎM „Termogaz-Bălţi” califică sub aspect pozitiv proiectul HG „Cu privire la măsurile de pregătire a economiei naţionale şi a sferei sociale pentru activitate în perioada de toamnă – iarnă 2016-2017”, fiind ca un factor decisiv asupra garantării şi asigurării fiabile a economiei naţionale şi a populaţiei cu resurse energetice şi servicii comunale, precum şi creării condiţiilor optime de activitate în perioada rece al anului.</w:t>
            </w:r>
          </w:p>
        </w:tc>
        <w:tc>
          <w:tcPr>
            <w:tcW w:w="4217" w:type="dxa"/>
          </w:tcPr>
          <w:p w:rsidR="0087520A" w:rsidRPr="00387453" w:rsidRDefault="0087520A" w:rsidP="0087520A">
            <w:pPr>
              <w:jc w:val="both"/>
              <w:rPr>
                <w:lang w:val="ro-RO"/>
              </w:rPr>
            </w:pPr>
          </w:p>
          <w:p w:rsidR="0087520A" w:rsidRPr="00387453" w:rsidRDefault="0087520A" w:rsidP="0087520A">
            <w:pPr>
              <w:jc w:val="both"/>
              <w:rPr>
                <w:lang w:val="ro-RO"/>
              </w:rPr>
            </w:pPr>
          </w:p>
          <w:p w:rsidR="0087520A" w:rsidRPr="00387453" w:rsidRDefault="0087520A" w:rsidP="0087520A">
            <w:pPr>
              <w:jc w:val="both"/>
              <w:rPr>
                <w:lang w:val="ro-RO"/>
              </w:rPr>
            </w:pPr>
          </w:p>
          <w:p w:rsidR="0087520A" w:rsidRPr="00387453" w:rsidRDefault="0087520A" w:rsidP="0087520A">
            <w:pPr>
              <w:jc w:val="both"/>
              <w:rPr>
                <w:lang w:val="ro-RO"/>
              </w:rPr>
            </w:pPr>
          </w:p>
          <w:p w:rsidR="008B18A9" w:rsidRPr="00387453" w:rsidRDefault="008B18A9" w:rsidP="0087520A">
            <w:pPr>
              <w:jc w:val="both"/>
              <w:rPr>
                <w:lang w:val="ro-RO"/>
              </w:rPr>
            </w:pPr>
            <w:r w:rsidRPr="00387453">
              <w:rPr>
                <w:lang w:val="ro-RO"/>
              </w:rPr>
              <w:t>Se acceptă</w:t>
            </w:r>
          </w:p>
          <w:p w:rsidR="008B18A9" w:rsidRPr="00387453" w:rsidRDefault="008B18A9" w:rsidP="00713A99">
            <w:pPr>
              <w:rPr>
                <w:lang w:val="ro-RO"/>
              </w:rPr>
            </w:pPr>
          </w:p>
        </w:tc>
      </w:tr>
      <w:tr w:rsidR="0087520A" w:rsidRPr="00131B6E" w:rsidTr="001E446E">
        <w:trPr>
          <w:trHeight w:val="159"/>
        </w:trPr>
        <w:tc>
          <w:tcPr>
            <w:tcW w:w="14282" w:type="dxa"/>
            <w:gridSpan w:val="3"/>
          </w:tcPr>
          <w:p w:rsidR="0087520A" w:rsidRPr="00387453" w:rsidRDefault="00D3015B" w:rsidP="00D3015B">
            <w:pPr>
              <w:spacing w:before="120" w:after="120"/>
              <w:jc w:val="center"/>
              <w:rPr>
                <w:lang w:val="ro-RO"/>
              </w:rPr>
            </w:pPr>
            <w:r w:rsidRPr="00387453">
              <w:rPr>
                <w:rFonts w:eastAsia="Arial-BoldMT"/>
                <w:b/>
                <w:bCs/>
                <w:highlight w:val="yellow"/>
                <w:lang w:val="ro-RO" w:eastAsia="en-US"/>
              </w:rPr>
              <w:t>SA</w:t>
            </w:r>
            <w:r w:rsidR="0087520A" w:rsidRPr="00387453">
              <w:rPr>
                <w:rFonts w:eastAsia="Arial-BoldMT"/>
                <w:b/>
                <w:bCs/>
                <w:highlight w:val="yellow"/>
                <w:lang w:val="ro-RO" w:eastAsia="en-US"/>
              </w:rPr>
              <w:t xml:space="preserve"> ”</w:t>
            </w:r>
            <w:r w:rsidRPr="00387453">
              <w:rPr>
                <w:rFonts w:eastAsia="Arial-BoldMT"/>
                <w:b/>
                <w:bCs/>
                <w:highlight w:val="yellow"/>
                <w:lang w:val="ro-RO" w:eastAsia="en-US"/>
              </w:rPr>
              <w:t>APĂ-CANAL CHIȘINĂU</w:t>
            </w:r>
            <w:r w:rsidR="0087520A" w:rsidRPr="00387453">
              <w:rPr>
                <w:rFonts w:eastAsia="Arial-BoldMT"/>
                <w:b/>
                <w:bCs/>
                <w:highlight w:val="yellow"/>
                <w:lang w:val="ro-RO" w:eastAsia="en-US"/>
              </w:rPr>
              <w:t>”</w:t>
            </w:r>
            <w:r w:rsidR="0087520A" w:rsidRPr="00387453">
              <w:rPr>
                <w:b/>
                <w:highlight w:val="yellow"/>
                <w:lang w:val="ro-RO"/>
              </w:rPr>
              <w:t xml:space="preserve"> a prezentat avizul prin scrisoarea nr. </w:t>
            </w:r>
            <w:r w:rsidRPr="00387453">
              <w:rPr>
                <w:b/>
                <w:highlight w:val="yellow"/>
                <w:lang w:val="ro-RO"/>
              </w:rPr>
              <w:t>01-1417 din 08</w:t>
            </w:r>
            <w:r w:rsidR="0087520A" w:rsidRPr="00387453">
              <w:rPr>
                <w:b/>
                <w:highlight w:val="yellow"/>
                <w:lang w:val="ro-RO"/>
              </w:rPr>
              <w:t>.07.2016</w:t>
            </w:r>
          </w:p>
        </w:tc>
      </w:tr>
      <w:tr w:rsidR="0087520A" w:rsidRPr="00387453" w:rsidTr="00CE64E8">
        <w:trPr>
          <w:trHeight w:val="159"/>
        </w:trPr>
        <w:tc>
          <w:tcPr>
            <w:tcW w:w="840" w:type="dxa"/>
          </w:tcPr>
          <w:p w:rsidR="0087520A" w:rsidRPr="00387453" w:rsidRDefault="0087520A" w:rsidP="00EF6366">
            <w:pPr>
              <w:jc w:val="center"/>
              <w:rPr>
                <w:lang w:val="ro-RO"/>
              </w:rPr>
            </w:pPr>
            <w:r w:rsidRPr="00387453">
              <w:rPr>
                <w:lang w:val="ro-RO"/>
              </w:rPr>
              <w:t>1.</w:t>
            </w:r>
          </w:p>
        </w:tc>
        <w:tc>
          <w:tcPr>
            <w:tcW w:w="9225" w:type="dxa"/>
            <w:vAlign w:val="center"/>
          </w:tcPr>
          <w:p w:rsidR="0087520A" w:rsidRPr="00387453" w:rsidRDefault="00D3015B" w:rsidP="00D3015B">
            <w:pPr>
              <w:ind w:firstLine="612"/>
              <w:jc w:val="both"/>
              <w:rPr>
                <w:lang w:val="ro-RO"/>
              </w:rPr>
            </w:pPr>
            <w:r w:rsidRPr="00387453">
              <w:rPr>
                <w:lang w:val="ro-RO"/>
              </w:rPr>
              <w:t>Ca urmare a examinării proiectului Hotărîrii de Guvern cu privire la măsurile de pregătire a economiei naţionale şi a sferei sociale pentru activitatea în perioada de toamnă-iarnă 2016-2017, Vă informăm, că careva obiecții la proiectul menționat nu avem.</w:t>
            </w:r>
          </w:p>
        </w:tc>
        <w:tc>
          <w:tcPr>
            <w:tcW w:w="4217" w:type="dxa"/>
          </w:tcPr>
          <w:p w:rsidR="00D3015B" w:rsidRPr="00387453" w:rsidRDefault="00D3015B" w:rsidP="00D3015B">
            <w:pPr>
              <w:jc w:val="both"/>
              <w:rPr>
                <w:lang w:val="ro-RO"/>
              </w:rPr>
            </w:pPr>
          </w:p>
          <w:p w:rsidR="00D3015B" w:rsidRPr="00387453" w:rsidRDefault="00D3015B" w:rsidP="00D3015B">
            <w:pPr>
              <w:jc w:val="both"/>
              <w:rPr>
                <w:lang w:val="ro-RO"/>
              </w:rPr>
            </w:pPr>
            <w:r w:rsidRPr="00387453">
              <w:rPr>
                <w:lang w:val="ro-RO"/>
              </w:rPr>
              <w:t>Se acceptă</w:t>
            </w:r>
          </w:p>
          <w:p w:rsidR="0087520A" w:rsidRPr="00387453" w:rsidRDefault="0087520A" w:rsidP="0087520A">
            <w:pPr>
              <w:jc w:val="both"/>
              <w:rPr>
                <w:lang w:val="ro-RO"/>
              </w:rPr>
            </w:pPr>
          </w:p>
        </w:tc>
      </w:tr>
      <w:tr w:rsidR="00D3015B" w:rsidRPr="00131B6E" w:rsidTr="000A20AD">
        <w:trPr>
          <w:trHeight w:val="159"/>
        </w:trPr>
        <w:tc>
          <w:tcPr>
            <w:tcW w:w="14282" w:type="dxa"/>
            <w:gridSpan w:val="3"/>
          </w:tcPr>
          <w:p w:rsidR="00D3015B" w:rsidRPr="00387453" w:rsidRDefault="00D3015B" w:rsidP="00D3015B">
            <w:pPr>
              <w:spacing w:before="120" w:after="120"/>
              <w:jc w:val="center"/>
              <w:rPr>
                <w:lang w:val="ro-RO"/>
              </w:rPr>
            </w:pPr>
            <w:r w:rsidRPr="00387453">
              <w:rPr>
                <w:rFonts w:eastAsia="Arial-BoldMT"/>
                <w:b/>
                <w:bCs/>
                <w:highlight w:val="yellow"/>
                <w:lang w:val="ro-RO" w:eastAsia="en-US"/>
              </w:rPr>
              <w:t>SA ”MOLDOVAGAZ”</w:t>
            </w:r>
            <w:r w:rsidRPr="00387453">
              <w:rPr>
                <w:b/>
                <w:highlight w:val="yellow"/>
                <w:lang w:val="ro-RO"/>
              </w:rPr>
              <w:t xml:space="preserve"> a prezentat avizul prin scrisoarea nr. 02/1-2634 din 14.07.2016</w:t>
            </w:r>
          </w:p>
        </w:tc>
      </w:tr>
      <w:tr w:rsidR="00D3015B" w:rsidRPr="00387453" w:rsidTr="00CE64E8">
        <w:trPr>
          <w:trHeight w:val="159"/>
        </w:trPr>
        <w:tc>
          <w:tcPr>
            <w:tcW w:w="840" w:type="dxa"/>
          </w:tcPr>
          <w:p w:rsidR="00D3015B" w:rsidRPr="00387453" w:rsidRDefault="00D3015B" w:rsidP="00EF6366">
            <w:pPr>
              <w:jc w:val="center"/>
              <w:rPr>
                <w:lang w:val="ro-RO"/>
              </w:rPr>
            </w:pPr>
            <w:r w:rsidRPr="00387453">
              <w:rPr>
                <w:lang w:val="ro-RO"/>
              </w:rPr>
              <w:t>1.</w:t>
            </w:r>
          </w:p>
        </w:tc>
        <w:tc>
          <w:tcPr>
            <w:tcW w:w="9225" w:type="dxa"/>
            <w:vAlign w:val="center"/>
          </w:tcPr>
          <w:p w:rsidR="00D3015B" w:rsidRPr="00387453" w:rsidRDefault="00D3015B" w:rsidP="00D3015B">
            <w:pPr>
              <w:ind w:firstLine="612"/>
              <w:jc w:val="both"/>
              <w:rPr>
                <w:lang w:val="ro-RO"/>
              </w:rPr>
            </w:pPr>
            <w:r w:rsidRPr="00387453">
              <w:rPr>
                <w:lang w:val="ro-RO"/>
              </w:rPr>
              <w:t>SA Moldovagaz a examinat proiectul Hotărîrii de Guvern „Cu privire la măsurile de pregătire a economiei naţionale şi a sferei sociale pentru activitate în perioada de toamnă – iarnă 2016-2017” și Vă comunică că nu are obiecții sau propuneri la documentul vizat.</w:t>
            </w:r>
          </w:p>
        </w:tc>
        <w:tc>
          <w:tcPr>
            <w:tcW w:w="4217" w:type="dxa"/>
          </w:tcPr>
          <w:p w:rsidR="00D3015B" w:rsidRPr="00387453" w:rsidRDefault="00D3015B" w:rsidP="00D3015B">
            <w:pPr>
              <w:jc w:val="both"/>
              <w:rPr>
                <w:lang w:val="ro-RO"/>
              </w:rPr>
            </w:pPr>
          </w:p>
          <w:p w:rsidR="00D3015B" w:rsidRPr="00387453" w:rsidRDefault="00D3015B" w:rsidP="00D3015B">
            <w:pPr>
              <w:jc w:val="both"/>
              <w:rPr>
                <w:lang w:val="ro-RO"/>
              </w:rPr>
            </w:pPr>
            <w:r w:rsidRPr="00387453">
              <w:rPr>
                <w:lang w:val="ro-RO"/>
              </w:rPr>
              <w:t>Se acceptă</w:t>
            </w:r>
          </w:p>
          <w:p w:rsidR="00D3015B" w:rsidRPr="00387453" w:rsidRDefault="00D3015B" w:rsidP="00D3015B">
            <w:pPr>
              <w:jc w:val="both"/>
              <w:rPr>
                <w:lang w:val="ro-RO"/>
              </w:rPr>
            </w:pPr>
            <w:r w:rsidRPr="00387453">
              <w:rPr>
                <w:lang w:val="ro-RO"/>
              </w:rPr>
              <w:t xml:space="preserve"> </w:t>
            </w:r>
          </w:p>
        </w:tc>
      </w:tr>
      <w:tr w:rsidR="000977F9" w:rsidRPr="00131B6E" w:rsidTr="00167501">
        <w:trPr>
          <w:trHeight w:val="159"/>
        </w:trPr>
        <w:tc>
          <w:tcPr>
            <w:tcW w:w="14282" w:type="dxa"/>
            <w:gridSpan w:val="3"/>
          </w:tcPr>
          <w:p w:rsidR="000977F9" w:rsidRPr="00387453" w:rsidRDefault="000977F9" w:rsidP="000977F9">
            <w:pPr>
              <w:spacing w:before="120" w:after="120"/>
              <w:jc w:val="center"/>
              <w:rPr>
                <w:b/>
                <w:highlight w:val="yellow"/>
                <w:lang w:val="ro-RO"/>
              </w:rPr>
            </w:pPr>
            <w:r w:rsidRPr="00387453">
              <w:rPr>
                <w:b/>
                <w:highlight w:val="yellow"/>
                <w:lang w:val="ro-RO"/>
              </w:rPr>
              <w:t>Primăria Municipiului Chișinău a prezentat avizul prin scrisoarea nr. 02-112/5255 din 15.07.2016</w:t>
            </w:r>
          </w:p>
        </w:tc>
      </w:tr>
      <w:tr w:rsidR="000977F9" w:rsidRPr="00387453" w:rsidTr="00CE64E8">
        <w:trPr>
          <w:trHeight w:val="159"/>
        </w:trPr>
        <w:tc>
          <w:tcPr>
            <w:tcW w:w="840" w:type="dxa"/>
          </w:tcPr>
          <w:p w:rsidR="000977F9" w:rsidRPr="00387453" w:rsidRDefault="000977F9" w:rsidP="00EF6366">
            <w:pPr>
              <w:jc w:val="center"/>
              <w:rPr>
                <w:lang w:val="ro-RO"/>
              </w:rPr>
            </w:pPr>
            <w:r w:rsidRPr="00387453">
              <w:rPr>
                <w:lang w:val="ro-RO"/>
              </w:rPr>
              <w:t xml:space="preserve">1. </w:t>
            </w:r>
          </w:p>
        </w:tc>
        <w:tc>
          <w:tcPr>
            <w:tcW w:w="9225" w:type="dxa"/>
            <w:vAlign w:val="center"/>
          </w:tcPr>
          <w:p w:rsidR="000977F9" w:rsidRPr="00387453" w:rsidRDefault="000977F9" w:rsidP="00D3015B">
            <w:pPr>
              <w:ind w:firstLine="612"/>
              <w:jc w:val="both"/>
              <w:rPr>
                <w:lang w:val="en-US"/>
              </w:rPr>
            </w:pPr>
            <w:r w:rsidRPr="00387453">
              <w:rPr>
                <w:lang w:val="en-US"/>
              </w:rPr>
              <w:t xml:space="preserve">Prin prezenta, vă informăm referitor la demersul nr.06/3-4025 din 30.06.2016 următoarele. </w:t>
            </w:r>
          </w:p>
          <w:p w:rsidR="000977F9" w:rsidRPr="00387453" w:rsidRDefault="000977F9" w:rsidP="00D3015B">
            <w:pPr>
              <w:ind w:firstLine="612"/>
              <w:jc w:val="both"/>
              <w:rPr>
                <w:lang w:val="en-US"/>
              </w:rPr>
            </w:pPr>
            <w:r w:rsidRPr="00387453">
              <w:rPr>
                <w:lang w:val="en-US"/>
              </w:rPr>
              <w:t xml:space="preserve">Având în vedere că propunerile date anterior au fost luate în considerație, Primăria municipiului Chișinău avizează pozitiv proiectul de hotărîre. </w:t>
            </w:r>
          </w:p>
        </w:tc>
        <w:tc>
          <w:tcPr>
            <w:tcW w:w="4217" w:type="dxa"/>
          </w:tcPr>
          <w:p w:rsidR="000977F9" w:rsidRPr="00387453" w:rsidRDefault="000977F9" w:rsidP="00D3015B">
            <w:pPr>
              <w:jc w:val="both"/>
              <w:rPr>
                <w:lang w:val="ro-RO"/>
              </w:rPr>
            </w:pPr>
          </w:p>
          <w:p w:rsidR="000977F9" w:rsidRPr="00387453" w:rsidRDefault="000977F9" w:rsidP="00D3015B">
            <w:pPr>
              <w:jc w:val="both"/>
              <w:rPr>
                <w:lang w:val="ro-RO"/>
              </w:rPr>
            </w:pPr>
            <w:r w:rsidRPr="00387453">
              <w:rPr>
                <w:lang w:val="ro-RO"/>
              </w:rPr>
              <w:t xml:space="preserve">Se acceptă. </w:t>
            </w:r>
          </w:p>
        </w:tc>
      </w:tr>
    </w:tbl>
    <w:p w:rsidR="009B560E" w:rsidRPr="00387453" w:rsidRDefault="009B560E">
      <w:pPr>
        <w:rPr>
          <w:lang w:val="ro-RO"/>
        </w:rPr>
      </w:pPr>
    </w:p>
    <w:sectPr w:rsidR="009B560E" w:rsidRPr="00387453" w:rsidSect="004F2A9D">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altName w:val="MS Gothic"/>
    <w:panose1 w:val="00000000000000000000"/>
    <w:charset w:val="80"/>
    <w:family w:val="auto"/>
    <w:notTrueType/>
    <w:pitch w:val="default"/>
    <w:sig w:usb0="00000001" w:usb1="08070000" w:usb2="00000010" w:usb3="00000000" w:csb0="00020000" w:csb1="00000000"/>
  </w:font>
  <w:font w:name="Arial-BoldItalicMT">
    <w:altName w:val="MS Gothic"/>
    <w:panose1 w:val="00000000000000000000"/>
    <w:charset w:val="80"/>
    <w:family w:val="auto"/>
    <w:notTrueType/>
    <w:pitch w:val="default"/>
    <w:sig w:usb0="00000001"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0">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17">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69BE7B62"/>
    <w:multiLevelType w:val="multilevel"/>
    <w:tmpl w:val="7BC475FC"/>
    <w:lvl w:ilvl="0">
      <w:start w:val="1"/>
      <w:numFmt w:val="decimal"/>
      <w:lvlText w:val="%1."/>
      <w:lvlJc w:val="left"/>
      <w:pPr>
        <w:ind w:left="450" w:hanging="45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2">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22"/>
  </w:num>
  <w:num w:numId="12">
    <w:abstractNumId w:val="4"/>
  </w:num>
  <w:num w:numId="13">
    <w:abstractNumId w:val="6"/>
  </w:num>
  <w:num w:numId="14">
    <w:abstractNumId w:val="0"/>
  </w:num>
  <w:num w:numId="15">
    <w:abstractNumId w:val="19"/>
  </w:num>
  <w:num w:numId="16">
    <w:abstractNumId w:val="2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9"/>
  </w:num>
  <w:num w:numId="22">
    <w:abstractNumId w:val="5"/>
  </w:num>
  <w:num w:numId="23">
    <w:abstractNumId w:val="1"/>
  </w:num>
  <w:num w:numId="24">
    <w:abstractNumId w:val="17"/>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39"/>
    <w:rsid w:val="00012B7F"/>
    <w:rsid w:val="000141E1"/>
    <w:rsid w:val="00021378"/>
    <w:rsid w:val="000453B1"/>
    <w:rsid w:val="00046C0E"/>
    <w:rsid w:val="000577F8"/>
    <w:rsid w:val="000665EC"/>
    <w:rsid w:val="0007429E"/>
    <w:rsid w:val="000977F9"/>
    <w:rsid w:val="000D2639"/>
    <w:rsid w:val="00106419"/>
    <w:rsid w:val="00120AD5"/>
    <w:rsid w:val="00125E08"/>
    <w:rsid w:val="001269FD"/>
    <w:rsid w:val="00131B6E"/>
    <w:rsid w:val="00134C9B"/>
    <w:rsid w:val="00135851"/>
    <w:rsid w:val="00145E75"/>
    <w:rsid w:val="00155C15"/>
    <w:rsid w:val="0018725E"/>
    <w:rsid w:val="001C01CD"/>
    <w:rsid w:val="0020271F"/>
    <w:rsid w:val="00204DBA"/>
    <w:rsid w:val="0021061B"/>
    <w:rsid w:val="00235D36"/>
    <w:rsid w:val="002567DC"/>
    <w:rsid w:val="00274F19"/>
    <w:rsid w:val="002836E6"/>
    <w:rsid w:val="00291D03"/>
    <w:rsid w:val="00315925"/>
    <w:rsid w:val="00387453"/>
    <w:rsid w:val="003B1152"/>
    <w:rsid w:val="003B4F5C"/>
    <w:rsid w:val="003D4BAA"/>
    <w:rsid w:val="003F4CA0"/>
    <w:rsid w:val="00402733"/>
    <w:rsid w:val="00442B61"/>
    <w:rsid w:val="004A3974"/>
    <w:rsid w:val="004F2A9D"/>
    <w:rsid w:val="00511046"/>
    <w:rsid w:val="00514606"/>
    <w:rsid w:val="005213AB"/>
    <w:rsid w:val="00532F6F"/>
    <w:rsid w:val="00535352"/>
    <w:rsid w:val="00544872"/>
    <w:rsid w:val="0054647B"/>
    <w:rsid w:val="0056062D"/>
    <w:rsid w:val="00565971"/>
    <w:rsid w:val="005C70EF"/>
    <w:rsid w:val="005D3331"/>
    <w:rsid w:val="005E12DD"/>
    <w:rsid w:val="005F4EA7"/>
    <w:rsid w:val="006235A7"/>
    <w:rsid w:val="00623E11"/>
    <w:rsid w:val="00637631"/>
    <w:rsid w:val="00651BAD"/>
    <w:rsid w:val="00665D64"/>
    <w:rsid w:val="006823DF"/>
    <w:rsid w:val="00684C78"/>
    <w:rsid w:val="00687253"/>
    <w:rsid w:val="00687B8D"/>
    <w:rsid w:val="006C5229"/>
    <w:rsid w:val="006C6996"/>
    <w:rsid w:val="006E0C0F"/>
    <w:rsid w:val="006E23BE"/>
    <w:rsid w:val="006E5663"/>
    <w:rsid w:val="00712E79"/>
    <w:rsid w:val="00713A99"/>
    <w:rsid w:val="00716CFA"/>
    <w:rsid w:val="00716D2A"/>
    <w:rsid w:val="00722691"/>
    <w:rsid w:val="00724456"/>
    <w:rsid w:val="00727C9B"/>
    <w:rsid w:val="0073642B"/>
    <w:rsid w:val="0074493C"/>
    <w:rsid w:val="007959BD"/>
    <w:rsid w:val="00797C59"/>
    <w:rsid w:val="007A2EF1"/>
    <w:rsid w:val="007B1C5D"/>
    <w:rsid w:val="007C736D"/>
    <w:rsid w:val="007D7976"/>
    <w:rsid w:val="008300CB"/>
    <w:rsid w:val="00850491"/>
    <w:rsid w:val="00862983"/>
    <w:rsid w:val="00870A3F"/>
    <w:rsid w:val="0087520A"/>
    <w:rsid w:val="008973EA"/>
    <w:rsid w:val="008B0B68"/>
    <w:rsid w:val="008B18A9"/>
    <w:rsid w:val="00903273"/>
    <w:rsid w:val="00934B2C"/>
    <w:rsid w:val="009419F5"/>
    <w:rsid w:val="0094270E"/>
    <w:rsid w:val="0097386B"/>
    <w:rsid w:val="009742DE"/>
    <w:rsid w:val="0097711F"/>
    <w:rsid w:val="00981122"/>
    <w:rsid w:val="009B560E"/>
    <w:rsid w:val="009E7FA6"/>
    <w:rsid w:val="00A11AF6"/>
    <w:rsid w:val="00A222AD"/>
    <w:rsid w:val="00A22FD5"/>
    <w:rsid w:val="00AC369D"/>
    <w:rsid w:val="00AF47A9"/>
    <w:rsid w:val="00B4757F"/>
    <w:rsid w:val="00B47E2D"/>
    <w:rsid w:val="00B6506A"/>
    <w:rsid w:val="00B7206E"/>
    <w:rsid w:val="00BE7FDD"/>
    <w:rsid w:val="00C03CCB"/>
    <w:rsid w:val="00C12359"/>
    <w:rsid w:val="00C241DA"/>
    <w:rsid w:val="00C516AB"/>
    <w:rsid w:val="00C60815"/>
    <w:rsid w:val="00C705E0"/>
    <w:rsid w:val="00C70C8A"/>
    <w:rsid w:val="00C76163"/>
    <w:rsid w:val="00CB20FD"/>
    <w:rsid w:val="00CD4799"/>
    <w:rsid w:val="00CD547B"/>
    <w:rsid w:val="00CE6495"/>
    <w:rsid w:val="00CE64E8"/>
    <w:rsid w:val="00D0240C"/>
    <w:rsid w:val="00D154C4"/>
    <w:rsid w:val="00D3015B"/>
    <w:rsid w:val="00D451BE"/>
    <w:rsid w:val="00D659CD"/>
    <w:rsid w:val="00D66664"/>
    <w:rsid w:val="00D735F3"/>
    <w:rsid w:val="00D80EBE"/>
    <w:rsid w:val="00D873FE"/>
    <w:rsid w:val="00D94F81"/>
    <w:rsid w:val="00D95523"/>
    <w:rsid w:val="00DA7CA1"/>
    <w:rsid w:val="00DE4175"/>
    <w:rsid w:val="00DF38BD"/>
    <w:rsid w:val="00E051DC"/>
    <w:rsid w:val="00E22899"/>
    <w:rsid w:val="00E357B2"/>
    <w:rsid w:val="00E35DE1"/>
    <w:rsid w:val="00E45F95"/>
    <w:rsid w:val="00E50037"/>
    <w:rsid w:val="00E53E11"/>
    <w:rsid w:val="00E836EB"/>
    <w:rsid w:val="00E85E13"/>
    <w:rsid w:val="00E90657"/>
    <w:rsid w:val="00E92247"/>
    <w:rsid w:val="00EE052F"/>
    <w:rsid w:val="00EF1B93"/>
    <w:rsid w:val="00EF587C"/>
    <w:rsid w:val="00EF6366"/>
    <w:rsid w:val="00F2030D"/>
    <w:rsid w:val="00F778B9"/>
    <w:rsid w:val="00FA26F8"/>
    <w:rsid w:val="00FB7EC4"/>
    <w:rsid w:val="00FE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39"/>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DefaultParagraphFont"/>
    <w:uiPriority w:val="99"/>
    <w:rsid w:val="000D2639"/>
    <w:rPr>
      <w:rFonts w:cs="Times New Roman"/>
    </w:rPr>
  </w:style>
  <w:style w:type="character" w:styleId="Strong">
    <w:name w:val="Strong"/>
    <w:basedOn w:val="DefaultParagraphFont"/>
    <w:uiPriority w:val="99"/>
    <w:qFormat/>
    <w:rsid w:val="000D2639"/>
    <w:rPr>
      <w:rFonts w:cs="Times New Roman"/>
      <w:b/>
      <w:bCs/>
    </w:rPr>
  </w:style>
  <w:style w:type="character" w:customStyle="1" w:styleId="hps">
    <w:name w:val="hps"/>
    <w:basedOn w:val="DefaultParagraphFont"/>
    <w:uiPriority w:val="99"/>
    <w:rsid w:val="000D2639"/>
    <w:rPr>
      <w:rFonts w:cs="Times New Roman"/>
    </w:rPr>
  </w:style>
  <w:style w:type="paragraph" w:styleId="Caption">
    <w:name w:val="caption"/>
    <w:basedOn w:val="Normal"/>
    <w:uiPriority w:val="99"/>
    <w:qFormat/>
    <w:rsid w:val="000D2639"/>
    <w:pPr>
      <w:jc w:val="center"/>
    </w:pPr>
    <w:rPr>
      <w:b/>
      <w:sz w:val="28"/>
      <w:szCs w:val="20"/>
      <w:lang w:val="ro-RO"/>
    </w:rPr>
  </w:style>
  <w:style w:type="paragraph" w:styleId="BodyText">
    <w:name w:val="Body Text"/>
    <w:basedOn w:val="Normal"/>
    <w:link w:val="BodyTextChar"/>
    <w:uiPriority w:val="99"/>
    <w:rsid w:val="000D2639"/>
    <w:rPr>
      <w:szCs w:val="20"/>
      <w:lang w:val="ro-RO"/>
    </w:rPr>
  </w:style>
  <w:style w:type="character" w:customStyle="1" w:styleId="BodyTextChar">
    <w:name w:val="Body Text Char"/>
    <w:basedOn w:val="DefaultParagraphFont"/>
    <w:link w:val="BodyText"/>
    <w:uiPriority w:val="99"/>
    <w:locked/>
    <w:rsid w:val="000D2639"/>
    <w:rPr>
      <w:rFonts w:ascii="Times New Roman" w:hAnsi="Times New Roman" w:cs="Times New Roman"/>
      <w:sz w:val="20"/>
      <w:szCs w:val="20"/>
      <w:lang w:val="ro-RO" w:eastAsia="ru-RU"/>
    </w:rPr>
  </w:style>
  <w:style w:type="character" w:customStyle="1" w:styleId="longtext">
    <w:name w:val="long_text"/>
    <w:basedOn w:val="DefaultParagraphFont"/>
    <w:uiPriority w:val="99"/>
    <w:rsid w:val="000D2639"/>
    <w:rPr>
      <w:rFonts w:cs="Times New Roman"/>
    </w:rPr>
  </w:style>
  <w:style w:type="paragraph" w:styleId="BodyTextIndent">
    <w:name w:val="Body Text Indent"/>
    <w:basedOn w:val="Normal"/>
    <w:link w:val="BodyTextIndentChar"/>
    <w:uiPriority w:val="99"/>
    <w:rsid w:val="000D2639"/>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locked/>
    <w:rsid w:val="000D2639"/>
    <w:rPr>
      <w:rFonts w:ascii="Calibri" w:eastAsia="Times New Roman" w:hAnsi="Calibri" w:cs="Times New Roman"/>
    </w:rPr>
  </w:style>
  <w:style w:type="paragraph" w:styleId="ListParagraph">
    <w:name w:val="List Paragraph"/>
    <w:basedOn w:val="Normal"/>
    <w:uiPriority w:val="34"/>
    <w:qFormat/>
    <w:rsid w:val="000D2639"/>
    <w:pPr>
      <w:spacing w:after="200" w:line="276" w:lineRule="auto"/>
      <w:ind w:left="720"/>
      <w:contextualSpacing/>
    </w:pPr>
    <w:rPr>
      <w:rFonts w:eastAsia="Calibri"/>
      <w:lang w:val="ro-RO" w:eastAsia="en-US"/>
    </w:rPr>
  </w:style>
  <w:style w:type="paragraph" w:customStyle="1" w:styleId="1">
    <w:name w:val="Абзац списка1"/>
    <w:basedOn w:val="Normal"/>
    <w:uiPriority w:val="99"/>
    <w:rsid w:val="000D2639"/>
    <w:pPr>
      <w:spacing w:after="200" w:line="276" w:lineRule="auto"/>
      <w:ind w:left="720"/>
      <w:contextualSpacing/>
    </w:pPr>
    <w:rPr>
      <w:rFonts w:eastAsia="Calibri"/>
      <w:lang w:val="ro-RO" w:eastAsia="en-US"/>
    </w:rPr>
  </w:style>
  <w:style w:type="paragraph" w:styleId="BodyTextIndent3">
    <w:name w:val="Body Text Indent 3"/>
    <w:basedOn w:val="Normal"/>
    <w:link w:val="BodyTextIndent3Char"/>
    <w:uiPriority w:val="99"/>
    <w:semiHidden/>
    <w:rsid w:val="000D263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D2639"/>
    <w:rPr>
      <w:rFonts w:ascii="Times New Roman" w:hAnsi="Times New Roman" w:cs="Times New Roman"/>
      <w:sz w:val="16"/>
      <w:szCs w:val="16"/>
      <w:lang w:eastAsia="ru-RU"/>
    </w:rPr>
  </w:style>
  <w:style w:type="paragraph" w:styleId="NoSpacing">
    <w:name w:val="No Spacing"/>
    <w:uiPriority w:val="99"/>
    <w:qFormat/>
    <w:rsid w:val="000D2639"/>
    <w:rPr>
      <w:lang w:val="ru-RU"/>
    </w:rPr>
  </w:style>
  <w:style w:type="paragraph" w:customStyle="1" w:styleId="Normal0">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DefaultParagraphFont"/>
    <w:uiPriority w:val="99"/>
    <w:rsid w:val="000D2639"/>
    <w:rPr>
      <w:rFonts w:cs="Times New Roman"/>
    </w:rPr>
  </w:style>
  <w:style w:type="paragraph" w:customStyle="1" w:styleId="cn">
    <w:name w:val="cn"/>
    <w:basedOn w:val="Normal"/>
    <w:uiPriority w:val="99"/>
    <w:rsid w:val="000D2639"/>
    <w:pPr>
      <w:jc w:val="center"/>
    </w:pPr>
  </w:style>
  <w:style w:type="character" w:customStyle="1" w:styleId="docheader1">
    <w:name w:val="doc_header1"/>
    <w:basedOn w:val="DefaultParagraphFont"/>
    <w:uiPriority w:val="99"/>
    <w:rsid w:val="00862983"/>
    <w:rPr>
      <w:rFonts w:ascii="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20271F"/>
    <w:rPr>
      <w:rFonts w:ascii="Tahoma" w:hAnsi="Tahoma" w:cs="Tahoma"/>
      <w:sz w:val="16"/>
      <w:szCs w:val="16"/>
    </w:rPr>
  </w:style>
  <w:style w:type="character" w:customStyle="1" w:styleId="BalloonTextChar">
    <w:name w:val="Balloon Text Char"/>
    <w:basedOn w:val="DefaultParagraphFont"/>
    <w:link w:val="BalloonText"/>
    <w:uiPriority w:val="99"/>
    <w:semiHidden/>
    <w:rsid w:val="0020271F"/>
    <w:rPr>
      <w:rFonts w:ascii="Tahoma" w:eastAsia="Times New Roman" w:hAnsi="Tahoma" w:cs="Tahoma"/>
      <w:sz w:val="16"/>
      <w:szCs w:val="16"/>
      <w:lang w:val="ru-RU" w:eastAsia="ru-RU"/>
    </w:rPr>
  </w:style>
  <w:style w:type="character" w:customStyle="1" w:styleId="a">
    <w:name w:val="Основной текст_"/>
    <w:basedOn w:val="DefaultParagraphFont"/>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
    <w:rsid w:val="000665EC"/>
    <w:rPr>
      <w:rFonts w:ascii="Times New Roman" w:eastAsia="Times New Roman" w:hAnsi="Times New Roman"/>
      <w:b/>
      <w:bCs/>
      <w:spacing w:val="10"/>
      <w:sz w:val="21"/>
      <w:szCs w:val="21"/>
      <w:shd w:val="clear" w:color="auto" w:fill="FFFFFF"/>
    </w:rPr>
  </w:style>
  <w:style w:type="character" w:customStyle="1" w:styleId="a0">
    <w:name w:val="Основной текст + Полужирный"/>
    <w:basedOn w:val="a"/>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Normal"/>
    <w:link w:val="a"/>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DefaultParagraphFont"/>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1">
    <w:name w:val="Основной текст + Курсив"/>
    <w:basedOn w:val="a"/>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DefaultParagraphFont"/>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Normal"/>
    <w:link w:val="6"/>
    <w:rsid w:val="00012B7F"/>
    <w:pPr>
      <w:shd w:val="clear" w:color="auto" w:fill="FFFFFF"/>
      <w:spacing w:line="350" w:lineRule="exact"/>
      <w:jc w:val="both"/>
    </w:pPr>
    <w:rPr>
      <w:sz w:val="27"/>
      <w:szCs w:val="27"/>
      <w:lang w:val="en-US" w:eastAsia="en-US"/>
    </w:rPr>
  </w:style>
  <w:style w:type="paragraph" w:customStyle="1" w:styleId="tt">
    <w:name w:val="tt"/>
    <w:basedOn w:val="Normal"/>
    <w:rsid w:val="00E92247"/>
    <w:pPr>
      <w:jc w:val="center"/>
    </w:pPr>
    <w:rPr>
      <w:b/>
      <w:bCs/>
      <w:lang w:val="en-US" w:eastAsia="en-US"/>
    </w:rPr>
  </w:style>
  <w:style w:type="paragraph" w:customStyle="1" w:styleId="a2">
    <w:name w:val="Знак Знак Знак Знак Знак"/>
    <w:basedOn w:val="Normal"/>
    <w:next w:val="Normal"/>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39"/>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DefaultParagraphFont"/>
    <w:uiPriority w:val="99"/>
    <w:rsid w:val="000D2639"/>
    <w:rPr>
      <w:rFonts w:cs="Times New Roman"/>
    </w:rPr>
  </w:style>
  <w:style w:type="character" w:styleId="Strong">
    <w:name w:val="Strong"/>
    <w:basedOn w:val="DefaultParagraphFont"/>
    <w:uiPriority w:val="99"/>
    <w:qFormat/>
    <w:rsid w:val="000D2639"/>
    <w:rPr>
      <w:rFonts w:cs="Times New Roman"/>
      <w:b/>
      <w:bCs/>
    </w:rPr>
  </w:style>
  <w:style w:type="character" w:customStyle="1" w:styleId="hps">
    <w:name w:val="hps"/>
    <w:basedOn w:val="DefaultParagraphFont"/>
    <w:uiPriority w:val="99"/>
    <w:rsid w:val="000D2639"/>
    <w:rPr>
      <w:rFonts w:cs="Times New Roman"/>
    </w:rPr>
  </w:style>
  <w:style w:type="paragraph" w:styleId="Caption">
    <w:name w:val="caption"/>
    <w:basedOn w:val="Normal"/>
    <w:uiPriority w:val="99"/>
    <w:qFormat/>
    <w:rsid w:val="000D2639"/>
    <w:pPr>
      <w:jc w:val="center"/>
    </w:pPr>
    <w:rPr>
      <w:b/>
      <w:sz w:val="28"/>
      <w:szCs w:val="20"/>
      <w:lang w:val="ro-RO"/>
    </w:rPr>
  </w:style>
  <w:style w:type="paragraph" w:styleId="BodyText">
    <w:name w:val="Body Text"/>
    <w:basedOn w:val="Normal"/>
    <w:link w:val="BodyTextChar"/>
    <w:uiPriority w:val="99"/>
    <w:rsid w:val="000D2639"/>
    <w:rPr>
      <w:szCs w:val="20"/>
      <w:lang w:val="ro-RO"/>
    </w:rPr>
  </w:style>
  <w:style w:type="character" w:customStyle="1" w:styleId="BodyTextChar">
    <w:name w:val="Body Text Char"/>
    <w:basedOn w:val="DefaultParagraphFont"/>
    <w:link w:val="BodyText"/>
    <w:uiPriority w:val="99"/>
    <w:locked/>
    <w:rsid w:val="000D2639"/>
    <w:rPr>
      <w:rFonts w:ascii="Times New Roman" w:hAnsi="Times New Roman" w:cs="Times New Roman"/>
      <w:sz w:val="20"/>
      <w:szCs w:val="20"/>
      <w:lang w:val="ro-RO" w:eastAsia="ru-RU"/>
    </w:rPr>
  </w:style>
  <w:style w:type="character" w:customStyle="1" w:styleId="longtext">
    <w:name w:val="long_text"/>
    <w:basedOn w:val="DefaultParagraphFont"/>
    <w:uiPriority w:val="99"/>
    <w:rsid w:val="000D2639"/>
    <w:rPr>
      <w:rFonts w:cs="Times New Roman"/>
    </w:rPr>
  </w:style>
  <w:style w:type="paragraph" w:styleId="BodyTextIndent">
    <w:name w:val="Body Text Indent"/>
    <w:basedOn w:val="Normal"/>
    <w:link w:val="BodyTextIndentChar"/>
    <w:uiPriority w:val="99"/>
    <w:rsid w:val="000D2639"/>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locked/>
    <w:rsid w:val="000D2639"/>
    <w:rPr>
      <w:rFonts w:ascii="Calibri" w:eastAsia="Times New Roman" w:hAnsi="Calibri" w:cs="Times New Roman"/>
    </w:rPr>
  </w:style>
  <w:style w:type="paragraph" w:styleId="ListParagraph">
    <w:name w:val="List Paragraph"/>
    <w:basedOn w:val="Normal"/>
    <w:uiPriority w:val="34"/>
    <w:qFormat/>
    <w:rsid w:val="000D2639"/>
    <w:pPr>
      <w:spacing w:after="200" w:line="276" w:lineRule="auto"/>
      <w:ind w:left="720"/>
      <w:contextualSpacing/>
    </w:pPr>
    <w:rPr>
      <w:rFonts w:eastAsia="Calibri"/>
      <w:lang w:val="ro-RO" w:eastAsia="en-US"/>
    </w:rPr>
  </w:style>
  <w:style w:type="paragraph" w:customStyle="1" w:styleId="1">
    <w:name w:val="Абзац списка1"/>
    <w:basedOn w:val="Normal"/>
    <w:uiPriority w:val="99"/>
    <w:rsid w:val="000D2639"/>
    <w:pPr>
      <w:spacing w:after="200" w:line="276" w:lineRule="auto"/>
      <w:ind w:left="720"/>
      <w:contextualSpacing/>
    </w:pPr>
    <w:rPr>
      <w:rFonts w:eastAsia="Calibri"/>
      <w:lang w:val="ro-RO" w:eastAsia="en-US"/>
    </w:rPr>
  </w:style>
  <w:style w:type="paragraph" w:styleId="BodyTextIndent3">
    <w:name w:val="Body Text Indent 3"/>
    <w:basedOn w:val="Normal"/>
    <w:link w:val="BodyTextIndent3Char"/>
    <w:uiPriority w:val="99"/>
    <w:semiHidden/>
    <w:rsid w:val="000D263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D2639"/>
    <w:rPr>
      <w:rFonts w:ascii="Times New Roman" w:hAnsi="Times New Roman" w:cs="Times New Roman"/>
      <w:sz w:val="16"/>
      <w:szCs w:val="16"/>
      <w:lang w:eastAsia="ru-RU"/>
    </w:rPr>
  </w:style>
  <w:style w:type="paragraph" w:styleId="NoSpacing">
    <w:name w:val="No Spacing"/>
    <w:uiPriority w:val="99"/>
    <w:qFormat/>
    <w:rsid w:val="000D2639"/>
    <w:rPr>
      <w:lang w:val="ru-RU"/>
    </w:rPr>
  </w:style>
  <w:style w:type="paragraph" w:customStyle="1" w:styleId="Normal0">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DefaultParagraphFont"/>
    <w:uiPriority w:val="99"/>
    <w:rsid w:val="000D2639"/>
    <w:rPr>
      <w:rFonts w:cs="Times New Roman"/>
    </w:rPr>
  </w:style>
  <w:style w:type="paragraph" w:customStyle="1" w:styleId="cn">
    <w:name w:val="cn"/>
    <w:basedOn w:val="Normal"/>
    <w:uiPriority w:val="99"/>
    <w:rsid w:val="000D2639"/>
    <w:pPr>
      <w:jc w:val="center"/>
    </w:pPr>
  </w:style>
  <w:style w:type="character" w:customStyle="1" w:styleId="docheader1">
    <w:name w:val="doc_header1"/>
    <w:basedOn w:val="DefaultParagraphFont"/>
    <w:uiPriority w:val="99"/>
    <w:rsid w:val="00862983"/>
    <w:rPr>
      <w:rFonts w:ascii="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20271F"/>
    <w:rPr>
      <w:rFonts w:ascii="Tahoma" w:hAnsi="Tahoma" w:cs="Tahoma"/>
      <w:sz w:val="16"/>
      <w:szCs w:val="16"/>
    </w:rPr>
  </w:style>
  <w:style w:type="character" w:customStyle="1" w:styleId="BalloonTextChar">
    <w:name w:val="Balloon Text Char"/>
    <w:basedOn w:val="DefaultParagraphFont"/>
    <w:link w:val="BalloonText"/>
    <w:uiPriority w:val="99"/>
    <w:semiHidden/>
    <w:rsid w:val="0020271F"/>
    <w:rPr>
      <w:rFonts w:ascii="Tahoma" w:eastAsia="Times New Roman" w:hAnsi="Tahoma" w:cs="Tahoma"/>
      <w:sz w:val="16"/>
      <w:szCs w:val="16"/>
      <w:lang w:val="ru-RU" w:eastAsia="ru-RU"/>
    </w:rPr>
  </w:style>
  <w:style w:type="character" w:customStyle="1" w:styleId="a">
    <w:name w:val="Основной текст_"/>
    <w:basedOn w:val="DefaultParagraphFont"/>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
    <w:rsid w:val="000665EC"/>
    <w:rPr>
      <w:rFonts w:ascii="Times New Roman" w:eastAsia="Times New Roman" w:hAnsi="Times New Roman"/>
      <w:b/>
      <w:bCs/>
      <w:spacing w:val="10"/>
      <w:sz w:val="21"/>
      <w:szCs w:val="21"/>
      <w:shd w:val="clear" w:color="auto" w:fill="FFFFFF"/>
    </w:rPr>
  </w:style>
  <w:style w:type="character" w:customStyle="1" w:styleId="a0">
    <w:name w:val="Основной текст + Полужирный"/>
    <w:basedOn w:val="a"/>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Normal"/>
    <w:link w:val="a"/>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DefaultParagraphFont"/>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1">
    <w:name w:val="Основной текст + Курсив"/>
    <w:basedOn w:val="a"/>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DefaultParagraphFont"/>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Normal"/>
    <w:link w:val="6"/>
    <w:rsid w:val="00012B7F"/>
    <w:pPr>
      <w:shd w:val="clear" w:color="auto" w:fill="FFFFFF"/>
      <w:spacing w:line="350" w:lineRule="exact"/>
      <w:jc w:val="both"/>
    </w:pPr>
    <w:rPr>
      <w:sz w:val="27"/>
      <w:szCs w:val="27"/>
      <w:lang w:val="en-US" w:eastAsia="en-US"/>
    </w:rPr>
  </w:style>
  <w:style w:type="paragraph" w:customStyle="1" w:styleId="tt">
    <w:name w:val="tt"/>
    <w:basedOn w:val="Normal"/>
    <w:rsid w:val="00E92247"/>
    <w:pPr>
      <w:jc w:val="center"/>
    </w:pPr>
    <w:rPr>
      <w:b/>
      <w:bCs/>
      <w:lang w:val="en-US" w:eastAsia="en-US"/>
    </w:rPr>
  </w:style>
  <w:style w:type="paragraph" w:customStyle="1" w:styleId="a2">
    <w:name w:val="Знак Знак Знак Знак Знак"/>
    <w:basedOn w:val="Normal"/>
    <w:next w:val="Normal"/>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260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4398-DC08-4147-B298-96CF7432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3516</Words>
  <Characters>20042</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avizelor la proiectul Hotărîri de Guvern cu privire la reorganizarea prin fuziune (contopire) a</vt:lpstr>
      <vt:lpstr>Analiza avizelor la proiectul Hotărîri de Guvern cu privire la reorganizarea prin fuziune (contopire) a</vt:lpstr>
    </vt:vector>
  </TitlesOfParts>
  <Company>SPecialiST RePack</Company>
  <LinksUpToDate>false</LinksUpToDate>
  <CharactersWithSpaces>23511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Hotărîri de Guvern cu privire la reorganizarea prin fuziune (contopire) a</dc:title>
  <dc:creator>PIU01</dc:creator>
  <cp:lastModifiedBy>Jomiru</cp:lastModifiedBy>
  <cp:revision>5</cp:revision>
  <cp:lastPrinted>2016-07-21T10:23:00Z</cp:lastPrinted>
  <dcterms:created xsi:type="dcterms:W3CDTF">2016-08-11T14:04:00Z</dcterms:created>
  <dcterms:modified xsi:type="dcterms:W3CDTF">2016-08-15T10:55:00Z</dcterms:modified>
</cp:coreProperties>
</file>