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B8D" w:rsidRPr="00DA7CA1" w:rsidRDefault="009B560E" w:rsidP="00687B8D">
      <w:pPr>
        <w:jc w:val="center"/>
        <w:rPr>
          <w:b/>
          <w:sz w:val="28"/>
          <w:szCs w:val="28"/>
          <w:lang w:val="ro-RO"/>
        </w:rPr>
      </w:pPr>
      <w:r w:rsidRPr="00DA7CA1">
        <w:rPr>
          <w:b/>
          <w:sz w:val="28"/>
          <w:szCs w:val="28"/>
          <w:lang w:val="ro-RO"/>
        </w:rPr>
        <w:t>Analiza avizelor la proiectul Hotărîri</w:t>
      </w:r>
      <w:r w:rsidR="00D873FE" w:rsidRPr="00DA7CA1">
        <w:rPr>
          <w:b/>
          <w:sz w:val="28"/>
          <w:szCs w:val="28"/>
          <w:lang w:val="ro-RO"/>
        </w:rPr>
        <w:t>i</w:t>
      </w:r>
      <w:r w:rsidRPr="00DA7CA1">
        <w:rPr>
          <w:b/>
          <w:sz w:val="28"/>
          <w:szCs w:val="28"/>
          <w:lang w:val="ro-RO"/>
        </w:rPr>
        <w:t xml:space="preserve"> de Guvern cu privire la </w:t>
      </w:r>
      <w:r w:rsidR="007C736D" w:rsidRPr="00DA7CA1">
        <w:rPr>
          <w:b/>
          <w:sz w:val="28"/>
          <w:szCs w:val="28"/>
          <w:lang w:val="ro-RO"/>
        </w:rPr>
        <w:t xml:space="preserve">modificarea </w:t>
      </w:r>
    </w:p>
    <w:p w:rsidR="009B560E" w:rsidRPr="00DA7CA1" w:rsidRDefault="007C736D" w:rsidP="007C736D">
      <w:pPr>
        <w:jc w:val="center"/>
        <w:rPr>
          <w:sz w:val="28"/>
          <w:szCs w:val="28"/>
          <w:lang w:val="ro-RO"/>
        </w:rPr>
      </w:pPr>
      <w:r w:rsidRPr="00DA7CA1">
        <w:rPr>
          <w:b/>
          <w:sz w:val="28"/>
          <w:szCs w:val="28"/>
          <w:lang w:val="ro-RO"/>
        </w:rPr>
        <w:t>Hotărîrii Guvernului nr.20 din 20 ianuarie 2009</w:t>
      </w:r>
    </w:p>
    <w:p w:rsidR="007C736D" w:rsidRPr="00DA7CA1" w:rsidRDefault="007C736D" w:rsidP="000D2639">
      <w:pPr>
        <w:jc w:val="center"/>
        <w:rPr>
          <w:b/>
          <w:sz w:val="28"/>
          <w:szCs w:val="28"/>
          <w:lang w:val="ro-RO"/>
        </w:rPr>
      </w:pPr>
    </w:p>
    <w:tbl>
      <w:tblPr>
        <w:tblW w:w="14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9225"/>
        <w:gridCol w:w="4217"/>
      </w:tblGrid>
      <w:tr w:rsidR="00DA7CA1" w:rsidRPr="00DA7CA1" w:rsidTr="00CE64E8">
        <w:tc>
          <w:tcPr>
            <w:tcW w:w="840" w:type="dxa"/>
            <w:vAlign w:val="center"/>
          </w:tcPr>
          <w:p w:rsidR="009B560E" w:rsidRPr="00DA7CA1" w:rsidRDefault="009B560E" w:rsidP="00EF6366">
            <w:pPr>
              <w:jc w:val="center"/>
              <w:rPr>
                <w:b/>
                <w:sz w:val="28"/>
                <w:szCs w:val="28"/>
                <w:lang w:val="ro-RO"/>
              </w:rPr>
            </w:pPr>
            <w:r w:rsidRPr="00DA7CA1">
              <w:rPr>
                <w:b/>
                <w:sz w:val="28"/>
                <w:szCs w:val="28"/>
                <w:lang w:val="ro-RO"/>
              </w:rPr>
              <w:t>nr. d/o</w:t>
            </w:r>
          </w:p>
        </w:tc>
        <w:tc>
          <w:tcPr>
            <w:tcW w:w="9225" w:type="dxa"/>
            <w:vAlign w:val="center"/>
          </w:tcPr>
          <w:p w:rsidR="009B560E" w:rsidRPr="00DA7CA1" w:rsidRDefault="009B560E" w:rsidP="00EF6366">
            <w:pPr>
              <w:jc w:val="center"/>
              <w:rPr>
                <w:b/>
                <w:sz w:val="28"/>
                <w:szCs w:val="28"/>
                <w:lang w:val="ro-RO"/>
              </w:rPr>
            </w:pPr>
            <w:r w:rsidRPr="00DA7CA1">
              <w:rPr>
                <w:b/>
                <w:sz w:val="28"/>
                <w:szCs w:val="28"/>
                <w:lang w:val="ro-RO"/>
              </w:rPr>
              <w:t>Conţinutul propunerilor şi obiecţiilor</w:t>
            </w:r>
          </w:p>
        </w:tc>
        <w:tc>
          <w:tcPr>
            <w:tcW w:w="4217" w:type="dxa"/>
            <w:vAlign w:val="center"/>
          </w:tcPr>
          <w:p w:rsidR="009B560E" w:rsidRPr="00DA7CA1" w:rsidRDefault="009B560E" w:rsidP="00EF6366">
            <w:pPr>
              <w:jc w:val="center"/>
              <w:rPr>
                <w:b/>
                <w:sz w:val="28"/>
                <w:szCs w:val="28"/>
                <w:lang w:val="ro-RO"/>
              </w:rPr>
            </w:pPr>
            <w:r w:rsidRPr="00DA7CA1">
              <w:rPr>
                <w:b/>
                <w:sz w:val="28"/>
                <w:szCs w:val="28"/>
                <w:lang w:val="ro-RO"/>
              </w:rPr>
              <w:t>Comentarii</w:t>
            </w:r>
          </w:p>
        </w:tc>
      </w:tr>
      <w:tr w:rsidR="00DA7CA1" w:rsidRPr="008B18A9" w:rsidTr="00CE64E8">
        <w:trPr>
          <w:trHeight w:val="640"/>
        </w:trPr>
        <w:tc>
          <w:tcPr>
            <w:tcW w:w="14282" w:type="dxa"/>
            <w:gridSpan w:val="3"/>
            <w:vAlign w:val="center"/>
          </w:tcPr>
          <w:p w:rsidR="009B560E" w:rsidRPr="00DA7CA1" w:rsidRDefault="007C736D" w:rsidP="007C736D">
            <w:pPr>
              <w:jc w:val="center"/>
              <w:rPr>
                <w:b/>
                <w:sz w:val="28"/>
                <w:szCs w:val="28"/>
                <w:lang w:val="ro-RO"/>
              </w:rPr>
            </w:pPr>
            <w:r w:rsidRPr="00DA7CA1">
              <w:rPr>
                <w:b/>
                <w:sz w:val="28"/>
                <w:szCs w:val="28"/>
                <w:lang w:val="ro-RO"/>
              </w:rPr>
              <w:t>Ministerul Finanțelor</w:t>
            </w:r>
            <w:r w:rsidRPr="00DA7CA1">
              <w:rPr>
                <w:sz w:val="28"/>
                <w:szCs w:val="28"/>
                <w:lang w:val="ro-RO"/>
              </w:rPr>
              <w:t xml:space="preserve"> </w:t>
            </w:r>
            <w:r w:rsidR="009B560E" w:rsidRPr="00DA7CA1">
              <w:rPr>
                <w:b/>
                <w:sz w:val="28"/>
                <w:szCs w:val="28"/>
                <w:lang w:val="ro-RO"/>
              </w:rPr>
              <w:t>a prezentat avizul prin scrisoarea nr. 0</w:t>
            </w:r>
            <w:r w:rsidRPr="00DA7CA1">
              <w:rPr>
                <w:b/>
                <w:sz w:val="28"/>
                <w:szCs w:val="28"/>
                <w:lang w:val="ro-RO"/>
              </w:rPr>
              <w:t>9-04</w:t>
            </w:r>
            <w:r w:rsidR="009B560E" w:rsidRPr="00DA7CA1">
              <w:rPr>
                <w:b/>
                <w:sz w:val="28"/>
                <w:szCs w:val="28"/>
                <w:lang w:val="ro-RO"/>
              </w:rPr>
              <w:t>/</w:t>
            </w:r>
            <w:r w:rsidRPr="00DA7CA1">
              <w:rPr>
                <w:b/>
                <w:sz w:val="28"/>
                <w:szCs w:val="28"/>
                <w:lang w:val="ro-RO"/>
              </w:rPr>
              <w:t>770</w:t>
            </w:r>
            <w:r w:rsidR="009B560E" w:rsidRPr="00DA7CA1">
              <w:rPr>
                <w:b/>
                <w:sz w:val="28"/>
                <w:szCs w:val="28"/>
                <w:lang w:val="ro-RO"/>
              </w:rPr>
              <w:t xml:space="preserve"> din </w:t>
            </w:r>
            <w:r w:rsidRPr="00DA7CA1">
              <w:rPr>
                <w:b/>
                <w:sz w:val="28"/>
                <w:szCs w:val="28"/>
                <w:lang w:val="ro-RO"/>
              </w:rPr>
              <w:t>1</w:t>
            </w:r>
            <w:r w:rsidR="009B560E" w:rsidRPr="00DA7CA1">
              <w:rPr>
                <w:b/>
                <w:sz w:val="28"/>
                <w:szCs w:val="28"/>
                <w:lang w:val="ro-RO"/>
              </w:rPr>
              <w:t xml:space="preserve">4 </w:t>
            </w:r>
            <w:r w:rsidRPr="00DA7CA1">
              <w:rPr>
                <w:b/>
                <w:sz w:val="28"/>
                <w:szCs w:val="28"/>
                <w:lang w:val="ro-RO"/>
              </w:rPr>
              <w:t>septembrie</w:t>
            </w:r>
            <w:r w:rsidR="009B560E" w:rsidRPr="00DA7CA1">
              <w:rPr>
                <w:b/>
                <w:sz w:val="28"/>
                <w:szCs w:val="28"/>
                <w:lang w:val="ro-RO"/>
              </w:rPr>
              <w:t xml:space="preserve"> 201</w:t>
            </w:r>
            <w:r w:rsidRPr="00DA7CA1">
              <w:rPr>
                <w:b/>
                <w:sz w:val="28"/>
                <w:szCs w:val="28"/>
                <w:lang w:val="ro-RO"/>
              </w:rPr>
              <w:t>5</w:t>
            </w:r>
          </w:p>
        </w:tc>
      </w:tr>
      <w:tr w:rsidR="00DA7CA1" w:rsidRPr="00DA7CA1" w:rsidTr="00CE64E8">
        <w:tc>
          <w:tcPr>
            <w:tcW w:w="840" w:type="dxa"/>
          </w:tcPr>
          <w:p w:rsidR="009B560E" w:rsidRPr="00DA7CA1" w:rsidRDefault="009B560E" w:rsidP="00EF6366">
            <w:pPr>
              <w:jc w:val="center"/>
              <w:rPr>
                <w:sz w:val="28"/>
                <w:szCs w:val="28"/>
                <w:lang w:val="ro-RO"/>
              </w:rPr>
            </w:pPr>
            <w:r w:rsidRPr="00DA7CA1">
              <w:rPr>
                <w:sz w:val="28"/>
                <w:szCs w:val="28"/>
                <w:lang w:val="ro-RO"/>
              </w:rPr>
              <w:t>1.</w:t>
            </w:r>
          </w:p>
        </w:tc>
        <w:tc>
          <w:tcPr>
            <w:tcW w:w="9225" w:type="dxa"/>
            <w:vAlign w:val="center"/>
          </w:tcPr>
          <w:p w:rsidR="009B560E" w:rsidRPr="00DA7CA1" w:rsidRDefault="007C736D" w:rsidP="00565971">
            <w:pPr>
              <w:ind w:firstLine="753"/>
              <w:jc w:val="both"/>
              <w:rPr>
                <w:sz w:val="28"/>
                <w:szCs w:val="28"/>
                <w:lang w:val="ro-RO"/>
              </w:rPr>
            </w:pPr>
            <w:r w:rsidRPr="00DA7CA1">
              <w:rPr>
                <w:sz w:val="28"/>
                <w:szCs w:val="28"/>
                <w:lang w:val="ro-RO"/>
              </w:rPr>
              <w:t xml:space="preserve">Ministerul Finanțelor a examinat proiectul hotărîrii Guvernului </w:t>
            </w:r>
            <w:r w:rsidR="009B560E" w:rsidRPr="00DA7CA1">
              <w:rPr>
                <w:sz w:val="28"/>
                <w:szCs w:val="28"/>
                <w:lang w:val="ro-RO"/>
              </w:rPr>
              <w:t xml:space="preserve">„Cu privire la </w:t>
            </w:r>
            <w:r w:rsidRPr="00DA7CA1">
              <w:rPr>
                <w:sz w:val="28"/>
                <w:szCs w:val="28"/>
                <w:lang w:val="ro-RO"/>
              </w:rPr>
              <w:t xml:space="preserve"> modificarea Hotărîrii Guvernului nr.20 din 20 ianuarie 2009</w:t>
            </w:r>
            <w:r w:rsidR="009B560E" w:rsidRPr="00DA7CA1">
              <w:rPr>
                <w:sz w:val="28"/>
                <w:szCs w:val="28"/>
                <w:lang w:val="ro-RO"/>
              </w:rPr>
              <w:t>”</w:t>
            </w:r>
            <w:r w:rsidRPr="00DA7CA1">
              <w:rPr>
                <w:sz w:val="28"/>
                <w:szCs w:val="28"/>
                <w:lang w:val="ro-RO"/>
              </w:rPr>
              <w:t xml:space="preserve">, care prevede prelungirea termenului de restituire a păcurii către Agenția Rezerve Materiale de către S.A. </w:t>
            </w:r>
            <w:r w:rsidR="009B560E" w:rsidRPr="00DA7CA1">
              <w:rPr>
                <w:sz w:val="28"/>
                <w:szCs w:val="28"/>
                <w:lang w:val="ro-RO"/>
              </w:rPr>
              <w:t xml:space="preserve"> „C</w:t>
            </w:r>
            <w:r w:rsidRPr="00DA7CA1">
              <w:rPr>
                <w:sz w:val="28"/>
                <w:szCs w:val="28"/>
                <w:lang w:val="ro-RO"/>
              </w:rPr>
              <w:t>.E.T.-</w:t>
            </w:r>
            <w:r w:rsidR="009B560E" w:rsidRPr="00DA7CA1">
              <w:rPr>
                <w:sz w:val="28"/>
                <w:szCs w:val="28"/>
                <w:lang w:val="ro-RO"/>
              </w:rPr>
              <w:t xml:space="preserve">2” </w:t>
            </w:r>
            <w:r w:rsidRPr="00DA7CA1">
              <w:rPr>
                <w:sz w:val="28"/>
                <w:szCs w:val="28"/>
                <w:lang w:val="ro-RO"/>
              </w:rPr>
              <w:t xml:space="preserve">și </w:t>
            </w:r>
            <w:r w:rsidR="009B560E" w:rsidRPr="00DA7CA1">
              <w:rPr>
                <w:sz w:val="28"/>
                <w:szCs w:val="28"/>
                <w:lang w:val="ro-RO"/>
              </w:rPr>
              <w:t>„</w:t>
            </w:r>
            <w:r w:rsidRPr="00DA7CA1">
              <w:rPr>
                <w:sz w:val="28"/>
                <w:szCs w:val="28"/>
                <w:lang w:val="ro-RO"/>
              </w:rPr>
              <w:t>CET-NORD</w:t>
            </w:r>
            <w:r w:rsidR="009B560E" w:rsidRPr="00DA7CA1">
              <w:rPr>
                <w:sz w:val="28"/>
                <w:szCs w:val="28"/>
                <w:lang w:val="ro-RO"/>
              </w:rPr>
              <w:t>”</w:t>
            </w:r>
            <w:r w:rsidRPr="00DA7CA1">
              <w:rPr>
                <w:sz w:val="28"/>
                <w:szCs w:val="28"/>
                <w:lang w:val="ro-RO"/>
              </w:rPr>
              <w:t>, și</w:t>
            </w:r>
            <w:r w:rsidR="009B560E" w:rsidRPr="00DA7CA1">
              <w:rPr>
                <w:sz w:val="28"/>
                <w:szCs w:val="28"/>
                <w:lang w:val="ro-RO"/>
              </w:rPr>
              <w:t xml:space="preserve"> în </w:t>
            </w:r>
            <w:r w:rsidRPr="00DA7CA1">
              <w:rPr>
                <w:sz w:val="28"/>
                <w:szCs w:val="28"/>
                <w:lang w:val="ro-RO"/>
              </w:rPr>
              <w:t>limitele competenței funcționale comunică lipsă de obiecții.</w:t>
            </w:r>
          </w:p>
        </w:tc>
        <w:tc>
          <w:tcPr>
            <w:tcW w:w="4217" w:type="dxa"/>
          </w:tcPr>
          <w:p w:rsidR="009B560E" w:rsidRPr="00DA7CA1" w:rsidRDefault="009B560E" w:rsidP="006E5663">
            <w:pPr>
              <w:rPr>
                <w:sz w:val="28"/>
                <w:szCs w:val="28"/>
                <w:lang w:val="ro-RO"/>
              </w:rPr>
            </w:pPr>
            <w:r w:rsidRPr="00DA7CA1">
              <w:rPr>
                <w:sz w:val="28"/>
                <w:szCs w:val="28"/>
                <w:lang w:val="ro-RO"/>
              </w:rPr>
              <w:t>Se acceptă</w:t>
            </w:r>
            <w:r w:rsidR="0073642B" w:rsidRPr="00DA7CA1">
              <w:rPr>
                <w:sz w:val="28"/>
                <w:szCs w:val="28"/>
                <w:lang w:val="ro-RO"/>
              </w:rPr>
              <w:t>.</w:t>
            </w:r>
          </w:p>
          <w:p w:rsidR="009B560E" w:rsidRPr="00DA7CA1" w:rsidRDefault="009B560E" w:rsidP="007C736D">
            <w:pPr>
              <w:jc w:val="center"/>
              <w:rPr>
                <w:sz w:val="28"/>
                <w:szCs w:val="28"/>
                <w:lang w:val="ro-RO"/>
              </w:rPr>
            </w:pPr>
          </w:p>
        </w:tc>
      </w:tr>
      <w:tr w:rsidR="00DA7CA1" w:rsidRPr="008B18A9" w:rsidTr="00CE64E8">
        <w:trPr>
          <w:trHeight w:val="654"/>
        </w:trPr>
        <w:tc>
          <w:tcPr>
            <w:tcW w:w="14282" w:type="dxa"/>
            <w:gridSpan w:val="3"/>
            <w:vAlign w:val="center"/>
          </w:tcPr>
          <w:p w:rsidR="009B560E" w:rsidRPr="00DA7CA1" w:rsidRDefault="008973EA" w:rsidP="008973EA">
            <w:pPr>
              <w:jc w:val="center"/>
              <w:rPr>
                <w:b/>
                <w:sz w:val="28"/>
                <w:szCs w:val="28"/>
                <w:lang w:val="ro-RO"/>
              </w:rPr>
            </w:pPr>
            <w:r w:rsidRPr="00DA7CA1">
              <w:rPr>
                <w:b/>
                <w:sz w:val="28"/>
                <w:szCs w:val="28"/>
                <w:lang w:val="ro-RO"/>
              </w:rPr>
              <w:t>Agenția Rezerve Materiale</w:t>
            </w:r>
            <w:r w:rsidR="009B560E" w:rsidRPr="00DA7CA1">
              <w:rPr>
                <w:b/>
                <w:sz w:val="28"/>
                <w:szCs w:val="28"/>
                <w:lang w:val="ro-RO"/>
              </w:rPr>
              <w:t xml:space="preserve"> a prezentat avizul prin scrisoarea nr. </w:t>
            </w:r>
            <w:r w:rsidRPr="00DA7CA1">
              <w:rPr>
                <w:b/>
                <w:sz w:val="28"/>
                <w:szCs w:val="28"/>
                <w:lang w:val="ro-RO"/>
              </w:rPr>
              <w:t>0305-570 din 08</w:t>
            </w:r>
            <w:r w:rsidR="009B560E" w:rsidRPr="00DA7CA1">
              <w:rPr>
                <w:b/>
                <w:sz w:val="28"/>
                <w:szCs w:val="28"/>
                <w:lang w:val="ro-RO"/>
              </w:rPr>
              <w:t xml:space="preserve"> </w:t>
            </w:r>
            <w:r w:rsidRPr="00DA7CA1">
              <w:rPr>
                <w:b/>
                <w:sz w:val="28"/>
                <w:szCs w:val="28"/>
                <w:lang w:val="ro-RO"/>
              </w:rPr>
              <w:t>septe</w:t>
            </w:r>
            <w:r w:rsidR="009B560E" w:rsidRPr="00DA7CA1">
              <w:rPr>
                <w:b/>
                <w:sz w:val="28"/>
                <w:szCs w:val="28"/>
                <w:lang w:val="ro-RO"/>
              </w:rPr>
              <w:t>mbrie 201</w:t>
            </w:r>
            <w:r w:rsidRPr="00DA7CA1">
              <w:rPr>
                <w:b/>
                <w:sz w:val="28"/>
                <w:szCs w:val="28"/>
                <w:lang w:val="ro-RO"/>
              </w:rPr>
              <w:t>5</w:t>
            </w:r>
          </w:p>
        </w:tc>
      </w:tr>
      <w:tr w:rsidR="00DA7CA1" w:rsidRPr="00DA7CA1" w:rsidTr="00CE64E8">
        <w:tc>
          <w:tcPr>
            <w:tcW w:w="840" w:type="dxa"/>
          </w:tcPr>
          <w:p w:rsidR="009B560E" w:rsidRPr="00DA7CA1" w:rsidRDefault="00651BAD" w:rsidP="00EF6366">
            <w:pPr>
              <w:jc w:val="center"/>
              <w:rPr>
                <w:sz w:val="28"/>
                <w:szCs w:val="28"/>
                <w:lang w:val="ro-RO"/>
              </w:rPr>
            </w:pPr>
            <w:r w:rsidRPr="00DA7CA1">
              <w:rPr>
                <w:sz w:val="28"/>
                <w:szCs w:val="28"/>
                <w:lang w:val="ro-RO"/>
              </w:rPr>
              <w:t>1.</w:t>
            </w:r>
          </w:p>
        </w:tc>
        <w:tc>
          <w:tcPr>
            <w:tcW w:w="9225" w:type="dxa"/>
            <w:vAlign w:val="center"/>
          </w:tcPr>
          <w:p w:rsidR="009B560E" w:rsidRPr="00DA7CA1" w:rsidRDefault="008973EA" w:rsidP="0056062D">
            <w:pPr>
              <w:ind w:firstLine="720"/>
              <w:jc w:val="both"/>
              <w:rPr>
                <w:sz w:val="28"/>
                <w:szCs w:val="28"/>
                <w:lang w:val="ro-RO"/>
              </w:rPr>
            </w:pPr>
            <w:r w:rsidRPr="00DA7CA1">
              <w:rPr>
                <w:sz w:val="28"/>
                <w:szCs w:val="28"/>
                <w:lang w:val="ro-RO"/>
              </w:rPr>
              <w:t>Agenția Rezerve Materiale a examinat proiectul de hotărîre de Guvern „Cu privire la  modificarea Hotărîrii Guvernului nr.20 din 20 ianuarie 2009” și în limita competenței funcționale comunică, în principiu, lips</w:t>
            </w:r>
            <w:r w:rsidR="003D4BAA" w:rsidRPr="00DA7CA1">
              <w:rPr>
                <w:sz w:val="28"/>
                <w:szCs w:val="28"/>
                <w:lang w:val="ro-RO"/>
              </w:rPr>
              <w:t>ă</w:t>
            </w:r>
            <w:r w:rsidRPr="00DA7CA1">
              <w:rPr>
                <w:sz w:val="28"/>
                <w:szCs w:val="28"/>
                <w:lang w:val="ro-RO"/>
              </w:rPr>
              <w:t xml:space="preserve"> de obiecții.</w:t>
            </w:r>
          </w:p>
          <w:p w:rsidR="008973EA" w:rsidRPr="00DA7CA1" w:rsidRDefault="008973EA" w:rsidP="0056062D">
            <w:pPr>
              <w:ind w:firstLine="720"/>
              <w:jc w:val="both"/>
              <w:rPr>
                <w:sz w:val="28"/>
                <w:szCs w:val="28"/>
                <w:lang w:val="ro-RO"/>
              </w:rPr>
            </w:pPr>
            <w:r w:rsidRPr="00DA7CA1">
              <w:rPr>
                <w:sz w:val="28"/>
                <w:szCs w:val="28"/>
                <w:lang w:val="ro-RO"/>
              </w:rPr>
              <w:t xml:space="preserve">Totodată, informăm că modificarea hotărîrii nominalizate în fiecare an, începînd cu anul 2009, prin care se extinde termenul de restituire a păcurii </w:t>
            </w:r>
            <w:r w:rsidR="0056062D" w:rsidRPr="00DA7CA1">
              <w:rPr>
                <w:sz w:val="28"/>
                <w:szCs w:val="28"/>
                <w:lang w:val="ro-RO"/>
              </w:rPr>
              <w:t xml:space="preserve">împrumutate </w:t>
            </w:r>
            <w:r w:rsidRPr="00DA7CA1">
              <w:rPr>
                <w:sz w:val="28"/>
                <w:szCs w:val="28"/>
                <w:lang w:val="ro-RO"/>
              </w:rPr>
              <w:t>din rezervele ma</w:t>
            </w:r>
            <w:r w:rsidR="0056062D" w:rsidRPr="00DA7CA1">
              <w:rPr>
                <w:sz w:val="28"/>
                <w:szCs w:val="28"/>
                <w:lang w:val="ro-RO"/>
              </w:rPr>
              <w:t>t</w:t>
            </w:r>
            <w:r w:rsidRPr="00DA7CA1">
              <w:rPr>
                <w:sz w:val="28"/>
                <w:szCs w:val="28"/>
                <w:lang w:val="ro-RO"/>
              </w:rPr>
              <w:t xml:space="preserve">eriale de stat, </w:t>
            </w:r>
            <w:r w:rsidR="0056062D" w:rsidRPr="00DA7CA1">
              <w:rPr>
                <w:sz w:val="28"/>
                <w:szCs w:val="28"/>
                <w:lang w:val="ro-RO"/>
              </w:rPr>
              <w:t>diminuează</w:t>
            </w:r>
            <w:r w:rsidRPr="00DA7CA1">
              <w:rPr>
                <w:sz w:val="28"/>
                <w:szCs w:val="28"/>
                <w:lang w:val="ro-RO"/>
              </w:rPr>
              <w:t xml:space="preserve"> stocurile de păcură </w:t>
            </w:r>
            <w:r w:rsidR="0056062D" w:rsidRPr="00DA7CA1">
              <w:rPr>
                <w:sz w:val="28"/>
                <w:szCs w:val="28"/>
                <w:lang w:val="ro-RO"/>
              </w:rPr>
              <w:t xml:space="preserve">din </w:t>
            </w:r>
            <w:r w:rsidRPr="00DA7CA1">
              <w:rPr>
                <w:sz w:val="28"/>
                <w:szCs w:val="28"/>
                <w:lang w:val="ro-RO"/>
              </w:rPr>
              <w:t>rezervele materiale de stat cu 4771,364 tone, fapt ce ar avea un impact negativ asupra securității energetice a țării în caz de situații excepționale și contravine</w:t>
            </w:r>
            <w:r w:rsidR="0056062D" w:rsidRPr="00DA7CA1">
              <w:rPr>
                <w:sz w:val="28"/>
                <w:szCs w:val="28"/>
                <w:lang w:val="ro-RO"/>
              </w:rPr>
              <w:t xml:space="preserve"> </w:t>
            </w:r>
            <w:r w:rsidRPr="00DA7CA1">
              <w:rPr>
                <w:sz w:val="28"/>
                <w:szCs w:val="28"/>
                <w:lang w:val="ro-RO"/>
              </w:rPr>
              <w:t>Hotărîrii Guvernului nr.489 din 10.08.2015 cu privire la măsurile de pregătire a economiei naționale și a sferei pentru activitate în perioada de toamnă iarnă 2015-2016.</w:t>
            </w:r>
          </w:p>
        </w:tc>
        <w:tc>
          <w:tcPr>
            <w:tcW w:w="4217" w:type="dxa"/>
            <w:vAlign w:val="center"/>
          </w:tcPr>
          <w:p w:rsidR="0056062D" w:rsidRPr="00DA7CA1" w:rsidRDefault="0056062D" w:rsidP="006E5663">
            <w:pPr>
              <w:rPr>
                <w:sz w:val="28"/>
                <w:szCs w:val="28"/>
                <w:lang w:val="ro-RO"/>
              </w:rPr>
            </w:pPr>
            <w:r w:rsidRPr="00DA7CA1">
              <w:rPr>
                <w:sz w:val="28"/>
                <w:szCs w:val="28"/>
                <w:lang w:val="ro-RO"/>
              </w:rPr>
              <w:t>Se acceptă.</w:t>
            </w:r>
          </w:p>
          <w:p w:rsidR="009B560E" w:rsidRPr="00DA7CA1" w:rsidRDefault="0056062D" w:rsidP="00EF6366">
            <w:pPr>
              <w:jc w:val="center"/>
              <w:rPr>
                <w:b/>
                <w:sz w:val="28"/>
                <w:szCs w:val="28"/>
                <w:lang w:val="ro-RO"/>
              </w:rPr>
            </w:pPr>
            <w:r w:rsidRPr="00DA7CA1">
              <w:rPr>
                <w:b/>
                <w:sz w:val="28"/>
                <w:szCs w:val="28"/>
                <w:lang w:val="ro-RO"/>
              </w:rPr>
              <w:t xml:space="preserve"> </w:t>
            </w:r>
          </w:p>
        </w:tc>
      </w:tr>
      <w:tr w:rsidR="00DA7CA1" w:rsidRPr="008B18A9" w:rsidTr="00CE64E8">
        <w:trPr>
          <w:trHeight w:val="669"/>
        </w:trPr>
        <w:tc>
          <w:tcPr>
            <w:tcW w:w="14282" w:type="dxa"/>
            <w:gridSpan w:val="3"/>
            <w:vAlign w:val="center"/>
          </w:tcPr>
          <w:p w:rsidR="009B560E" w:rsidRPr="00DA7CA1" w:rsidRDefault="0056062D" w:rsidP="0056062D">
            <w:pPr>
              <w:jc w:val="center"/>
              <w:rPr>
                <w:b/>
                <w:sz w:val="28"/>
                <w:szCs w:val="28"/>
                <w:lang w:val="ro-RO"/>
              </w:rPr>
            </w:pPr>
            <w:r w:rsidRPr="00DA7CA1">
              <w:rPr>
                <w:b/>
                <w:sz w:val="28"/>
                <w:szCs w:val="28"/>
                <w:lang w:val="ro-RO"/>
              </w:rPr>
              <w:t>Agenția pentru Eficiență Energetică</w:t>
            </w:r>
            <w:r w:rsidR="009B560E" w:rsidRPr="00DA7CA1">
              <w:rPr>
                <w:b/>
                <w:sz w:val="28"/>
                <w:szCs w:val="28"/>
                <w:lang w:val="ro-RO"/>
              </w:rPr>
              <w:t xml:space="preserve"> a prezentat avizul prin scrisoarea nr. </w:t>
            </w:r>
            <w:r w:rsidRPr="00DA7CA1">
              <w:rPr>
                <w:b/>
                <w:sz w:val="28"/>
                <w:szCs w:val="28"/>
                <w:lang w:val="ro-RO"/>
              </w:rPr>
              <w:t>29-765 din 20 august</w:t>
            </w:r>
            <w:r w:rsidR="00E836EB" w:rsidRPr="00DA7CA1">
              <w:rPr>
                <w:b/>
                <w:sz w:val="28"/>
                <w:szCs w:val="28"/>
                <w:lang w:val="ro-RO"/>
              </w:rPr>
              <w:t xml:space="preserve"> </w:t>
            </w:r>
            <w:r w:rsidR="009B560E" w:rsidRPr="00DA7CA1">
              <w:rPr>
                <w:b/>
                <w:sz w:val="28"/>
                <w:szCs w:val="28"/>
                <w:lang w:val="ro-RO"/>
              </w:rPr>
              <w:t>201</w:t>
            </w:r>
            <w:r w:rsidRPr="00DA7CA1">
              <w:rPr>
                <w:b/>
                <w:sz w:val="28"/>
                <w:szCs w:val="28"/>
                <w:lang w:val="ro-RO"/>
              </w:rPr>
              <w:t>5</w:t>
            </w:r>
          </w:p>
        </w:tc>
      </w:tr>
      <w:tr w:rsidR="00DA7CA1" w:rsidRPr="00DA7CA1" w:rsidTr="00CE64E8">
        <w:tc>
          <w:tcPr>
            <w:tcW w:w="840" w:type="dxa"/>
          </w:tcPr>
          <w:p w:rsidR="009B560E" w:rsidRPr="00DA7CA1" w:rsidRDefault="00651BAD" w:rsidP="00EF6366">
            <w:pPr>
              <w:jc w:val="center"/>
              <w:rPr>
                <w:sz w:val="28"/>
                <w:szCs w:val="28"/>
                <w:lang w:val="ro-RO"/>
              </w:rPr>
            </w:pPr>
            <w:r w:rsidRPr="00DA7CA1">
              <w:rPr>
                <w:sz w:val="28"/>
                <w:szCs w:val="28"/>
                <w:lang w:val="ro-RO"/>
              </w:rPr>
              <w:t>1.</w:t>
            </w:r>
          </w:p>
        </w:tc>
        <w:tc>
          <w:tcPr>
            <w:tcW w:w="9225" w:type="dxa"/>
            <w:vAlign w:val="center"/>
          </w:tcPr>
          <w:p w:rsidR="00E53E11" w:rsidRPr="00DA7CA1" w:rsidRDefault="0056062D" w:rsidP="00565971">
            <w:pPr>
              <w:ind w:firstLine="708"/>
              <w:jc w:val="both"/>
              <w:rPr>
                <w:sz w:val="28"/>
                <w:szCs w:val="28"/>
                <w:lang w:val="ro-RO"/>
              </w:rPr>
            </w:pPr>
            <w:r w:rsidRPr="00DA7CA1">
              <w:rPr>
                <w:sz w:val="28"/>
                <w:szCs w:val="28"/>
                <w:lang w:val="ro-RO"/>
              </w:rPr>
              <w:t xml:space="preserve">Agenția pentru Eficiență Energetică (AEE) a examinat proiectului Hotărîrii de Guvern </w:t>
            </w:r>
            <w:r w:rsidR="00637631" w:rsidRPr="00DA7CA1">
              <w:rPr>
                <w:sz w:val="28"/>
                <w:szCs w:val="28"/>
                <w:lang w:val="ro-RO"/>
              </w:rPr>
              <w:t>„Cu</w:t>
            </w:r>
            <w:r w:rsidRPr="00DA7CA1">
              <w:rPr>
                <w:sz w:val="28"/>
                <w:szCs w:val="28"/>
                <w:lang w:val="ro-RO"/>
              </w:rPr>
              <w:t xml:space="preserve"> privire la  modificarea Hotărîrii Guvernului nr.20 din 20 ianuarie 2009”</w:t>
            </w:r>
            <w:r w:rsidR="00637631" w:rsidRPr="00DA7CA1">
              <w:rPr>
                <w:sz w:val="28"/>
                <w:szCs w:val="28"/>
                <w:lang w:val="ro-RO"/>
              </w:rPr>
              <w:t xml:space="preserve"> și</w:t>
            </w:r>
            <w:r w:rsidR="00565971" w:rsidRPr="00DA7CA1">
              <w:rPr>
                <w:sz w:val="28"/>
                <w:szCs w:val="28"/>
                <w:lang w:val="ro-RO"/>
              </w:rPr>
              <w:t xml:space="preserve"> comunică lipsa obiecțiilor. </w:t>
            </w:r>
          </w:p>
        </w:tc>
        <w:tc>
          <w:tcPr>
            <w:tcW w:w="4217" w:type="dxa"/>
            <w:vAlign w:val="center"/>
          </w:tcPr>
          <w:p w:rsidR="009B560E" w:rsidRPr="00DA7CA1" w:rsidRDefault="00637631" w:rsidP="006E5663">
            <w:pPr>
              <w:rPr>
                <w:b/>
                <w:sz w:val="28"/>
                <w:szCs w:val="28"/>
                <w:lang w:val="ro-RO"/>
              </w:rPr>
            </w:pPr>
            <w:r w:rsidRPr="00DA7CA1">
              <w:rPr>
                <w:sz w:val="28"/>
                <w:szCs w:val="28"/>
                <w:lang w:val="ro-RO"/>
              </w:rPr>
              <w:t xml:space="preserve">Se acceptă. </w:t>
            </w:r>
          </w:p>
        </w:tc>
      </w:tr>
      <w:tr w:rsidR="00DA7CA1" w:rsidRPr="008B18A9" w:rsidTr="00CE64E8">
        <w:trPr>
          <w:trHeight w:val="708"/>
        </w:trPr>
        <w:tc>
          <w:tcPr>
            <w:tcW w:w="14282" w:type="dxa"/>
            <w:gridSpan w:val="3"/>
            <w:vAlign w:val="center"/>
          </w:tcPr>
          <w:p w:rsidR="009B560E" w:rsidRPr="00DA7CA1" w:rsidRDefault="00637631" w:rsidP="00637631">
            <w:pPr>
              <w:ind w:firstLine="720"/>
              <w:jc w:val="center"/>
              <w:rPr>
                <w:sz w:val="28"/>
                <w:szCs w:val="28"/>
                <w:lang w:val="ro-RO"/>
              </w:rPr>
            </w:pPr>
            <w:r w:rsidRPr="00DA7CA1">
              <w:rPr>
                <w:b/>
                <w:sz w:val="28"/>
                <w:szCs w:val="28"/>
                <w:lang w:val="ro-RO"/>
              </w:rPr>
              <w:t>SA ”TERMOELECTRICA”</w:t>
            </w:r>
            <w:r w:rsidR="009B560E" w:rsidRPr="00DA7CA1">
              <w:rPr>
                <w:b/>
                <w:sz w:val="28"/>
                <w:szCs w:val="28"/>
                <w:lang w:val="ro-RO"/>
              </w:rPr>
              <w:t xml:space="preserve"> a prezentat avizul prin scrisoarea nr. </w:t>
            </w:r>
            <w:r w:rsidRPr="00DA7CA1">
              <w:rPr>
                <w:b/>
                <w:sz w:val="28"/>
                <w:szCs w:val="28"/>
                <w:lang w:val="ro-RO"/>
              </w:rPr>
              <w:t>79/374</w:t>
            </w:r>
            <w:r w:rsidR="009B560E" w:rsidRPr="00DA7CA1">
              <w:rPr>
                <w:b/>
                <w:sz w:val="28"/>
                <w:szCs w:val="28"/>
                <w:lang w:val="ro-RO"/>
              </w:rPr>
              <w:t xml:space="preserve"> din </w:t>
            </w:r>
            <w:r w:rsidRPr="00DA7CA1">
              <w:rPr>
                <w:b/>
                <w:sz w:val="28"/>
                <w:szCs w:val="28"/>
                <w:lang w:val="ro-RO"/>
              </w:rPr>
              <w:t>07 septembrie</w:t>
            </w:r>
            <w:r w:rsidR="009B560E" w:rsidRPr="00DA7CA1">
              <w:rPr>
                <w:b/>
                <w:sz w:val="28"/>
                <w:szCs w:val="28"/>
                <w:lang w:val="ro-RO"/>
              </w:rPr>
              <w:t xml:space="preserve"> 201</w:t>
            </w:r>
            <w:r w:rsidRPr="00DA7CA1">
              <w:rPr>
                <w:b/>
                <w:sz w:val="28"/>
                <w:szCs w:val="28"/>
                <w:lang w:val="ro-RO"/>
              </w:rPr>
              <w:t>5</w:t>
            </w:r>
          </w:p>
        </w:tc>
      </w:tr>
      <w:tr w:rsidR="00DA7CA1" w:rsidRPr="00DA7CA1" w:rsidTr="00CE64E8">
        <w:tc>
          <w:tcPr>
            <w:tcW w:w="840" w:type="dxa"/>
          </w:tcPr>
          <w:p w:rsidR="009B560E" w:rsidRPr="00DA7CA1" w:rsidRDefault="009B560E" w:rsidP="00EF6366">
            <w:pPr>
              <w:jc w:val="center"/>
              <w:rPr>
                <w:sz w:val="28"/>
                <w:szCs w:val="28"/>
                <w:lang w:val="ro-RO"/>
              </w:rPr>
            </w:pPr>
            <w:r w:rsidRPr="00DA7CA1">
              <w:rPr>
                <w:sz w:val="28"/>
                <w:szCs w:val="28"/>
                <w:lang w:val="ro-RO"/>
              </w:rPr>
              <w:t>1.</w:t>
            </w:r>
          </w:p>
        </w:tc>
        <w:tc>
          <w:tcPr>
            <w:tcW w:w="9225" w:type="dxa"/>
            <w:vAlign w:val="center"/>
          </w:tcPr>
          <w:p w:rsidR="009B560E" w:rsidRPr="00DA7CA1" w:rsidRDefault="00565971" w:rsidP="00684C78">
            <w:pPr>
              <w:ind w:firstLine="720"/>
              <w:jc w:val="both"/>
              <w:rPr>
                <w:sz w:val="28"/>
                <w:szCs w:val="28"/>
                <w:lang w:val="ro-RO"/>
              </w:rPr>
            </w:pPr>
            <w:r w:rsidRPr="00DA7CA1">
              <w:rPr>
                <w:sz w:val="28"/>
                <w:szCs w:val="28"/>
                <w:lang w:val="ro-RO"/>
              </w:rPr>
              <w:t>SA ”Termoelectrica” a</w:t>
            </w:r>
            <w:r w:rsidR="00637631" w:rsidRPr="00DA7CA1">
              <w:rPr>
                <w:sz w:val="28"/>
                <w:szCs w:val="28"/>
                <w:lang w:val="ro-RO"/>
              </w:rPr>
              <w:t xml:space="preserve"> examin</w:t>
            </w:r>
            <w:r w:rsidR="003D4BAA" w:rsidRPr="00DA7CA1">
              <w:rPr>
                <w:sz w:val="28"/>
                <w:szCs w:val="28"/>
                <w:lang w:val="ro-RO"/>
              </w:rPr>
              <w:t>at</w:t>
            </w:r>
            <w:r w:rsidR="00637631" w:rsidRPr="00DA7CA1">
              <w:rPr>
                <w:sz w:val="28"/>
                <w:szCs w:val="28"/>
                <w:lang w:val="ro-RO"/>
              </w:rPr>
              <w:t xml:space="preserve"> proiectului Hotărîrii de Guvern „Cu privire la  modificarea Hotărîrii Guvernului nr.20 din 20 ianuarie 2009”</w:t>
            </w:r>
            <w:r w:rsidR="00684C78" w:rsidRPr="00DA7CA1">
              <w:rPr>
                <w:sz w:val="28"/>
                <w:szCs w:val="28"/>
                <w:lang w:val="ro-RO"/>
              </w:rPr>
              <w:t xml:space="preserve"> și</w:t>
            </w:r>
            <w:r w:rsidR="00637631" w:rsidRPr="00DA7CA1">
              <w:rPr>
                <w:sz w:val="28"/>
                <w:szCs w:val="28"/>
                <w:lang w:val="ro-RO"/>
              </w:rPr>
              <w:t xml:space="preserve"> </w:t>
            </w:r>
            <w:r w:rsidR="003D4BAA" w:rsidRPr="00DA7CA1">
              <w:rPr>
                <w:sz w:val="28"/>
                <w:szCs w:val="28"/>
                <w:lang w:val="ro-RO"/>
              </w:rPr>
              <w:t>avizează</w:t>
            </w:r>
            <w:r w:rsidR="00637631" w:rsidRPr="00DA7CA1">
              <w:rPr>
                <w:sz w:val="28"/>
                <w:szCs w:val="28"/>
                <w:lang w:val="ro-RO"/>
              </w:rPr>
              <w:t xml:space="preserve"> pozitiv </w:t>
            </w:r>
            <w:r w:rsidR="003D4BAA" w:rsidRPr="00DA7CA1">
              <w:rPr>
                <w:sz w:val="28"/>
                <w:szCs w:val="28"/>
                <w:lang w:val="ro-RO"/>
              </w:rPr>
              <w:t>proiectul</w:t>
            </w:r>
            <w:r w:rsidR="00637631" w:rsidRPr="00DA7CA1">
              <w:rPr>
                <w:sz w:val="28"/>
                <w:szCs w:val="28"/>
                <w:lang w:val="ro-RO"/>
              </w:rPr>
              <w:t xml:space="preserve"> în cauză.</w:t>
            </w:r>
          </w:p>
        </w:tc>
        <w:tc>
          <w:tcPr>
            <w:tcW w:w="4217" w:type="dxa"/>
            <w:vAlign w:val="center"/>
          </w:tcPr>
          <w:p w:rsidR="009B560E" w:rsidRPr="00DA7CA1" w:rsidRDefault="009B560E" w:rsidP="006E5663">
            <w:pPr>
              <w:rPr>
                <w:sz w:val="28"/>
                <w:szCs w:val="28"/>
                <w:lang w:val="ro-RO"/>
              </w:rPr>
            </w:pPr>
            <w:r w:rsidRPr="00DA7CA1">
              <w:rPr>
                <w:sz w:val="28"/>
                <w:szCs w:val="28"/>
                <w:lang w:val="ro-RO"/>
              </w:rPr>
              <w:t>Se acceptă.</w:t>
            </w:r>
            <w:r w:rsidR="00637631" w:rsidRPr="00DA7CA1">
              <w:rPr>
                <w:sz w:val="28"/>
                <w:szCs w:val="28"/>
                <w:lang w:val="ro-RO"/>
              </w:rPr>
              <w:t xml:space="preserve"> </w:t>
            </w:r>
          </w:p>
        </w:tc>
      </w:tr>
      <w:tr w:rsidR="00DA7CA1" w:rsidRPr="008B18A9" w:rsidTr="00CE64E8">
        <w:trPr>
          <w:trHeight w:val="542"/>
        </w:trPr>
        <w:tc>
          <w:tcPr>
            <w:tcW w:w="14282" w:type="dxa"/>
            <w:gridSpan w:val="3"/>
            <w:vAlign w:val="center"/>
          </w:tcPr>
          <w:p w:rsidR="009B560E" w:rsidRPr="00DA7CA1" w:rsidRDefault="00637631" w:rsidP="00637631">
            <w:pPr>
              <w:jc w:val="center"/>
              <w:rPr>
                <w:b/>
                <w:sz w:val="28"/>
                <w:szCs w:val="28"/>
                <w:lang w:val="ro-RO"/>
              </w:rPr>
            </w:pPr>
            <w:r w:rsidRPr="00DA7CA1">
              <w:rPr>
                <w:b/>
                <w:sz w:val="28"/>
                <w:szCs w:val="28"/>
                <w:lang w:val="ro-RO"/>
              </w:rPr>
              <w:t xml:space="preserve">SA ”CET-NORD” </w:t>
            </w:r>
            <w:r w:rsidR="009B560E" w:rsidRPr="00DA7CA1">
              <w:rPr>
                <w:b/>
                <w:sz w:val="28"/>
                <w:szCs w:val="28"/>
                <w:lang w:val="ro-RO"/>
              </w:rPr>
              <w:t>a prezentat avizul prin scrisoarea nr.</w:t>
            </w:r>
            <w:r w:rsidRPr="00DA7CA1">
              <w:rPr>
                <w:b/>
                <w:sz w:val="28"/>
                <w:szCs w:val="28"/>
                <w:lang w:val="ro-RO"/>
              </w:rPr>
              <w:t xml:space="preserve"> 06-8</w:t>
            </w:r>
            <w:r w:rsidR="00D735F3" w:rsidRPr="00DA7CA1">
              <w:rPr>
                <w:b/>
                <w:sz w:val="28"/>
                <w:szCs w:val="28"/>
                <w:lang w:val="ro-RO"/>
              </w:rPr>
              <w:t>/</w:t>
            </w:r>
            <w:r w:rsidRPr="00DA7CA1">
              <w:rPr>
                <w:b/>
                <w:sz w:val="28"/>
                <w:szCs w:val="28"/>
                <w:lang w:val="ro-RO"/>
              </w:rPr>
              <w:t xml:space="preserve">462 </w:t>
            </w:r>
            <w:r w:rsidR="00D735F3" w:rsidRPr="00DA7CA1">
              <w:rPr>
                <w:b/>
                <w:sz w:val="28"/>
                <w:szCs w:val="28"/>
                <w:lang w:val="ro-RO"/>
              </w:rPr>
              <w:t xml:space="preserve">din </w:t>
            </w:r>
            <w:r w:rsidRPr="00DA7CA1">
              <w:rPr>
                <w:b/>
                <w:sz w:val="28"/>
                <w:szCs w:val="28"/>
                <w:lang w:val="ro-RO"/>
              </w:rPr>
              <w:t>20</w:t>
            </w:r>
            <w:r w:rsidR="00D735F3" w:rsidRPr="00DA7CA1">
              <w:rPr>
                <w:b/>
                <w:sz w:val="28"/>
                <w:szCs w:val="28"/>
                <w:lang w:val="ro-RO"/>
              </w:rPr>
              <w:t xml:space="preserve"> </w:t>
            </w:r>
            <w:r w:rsidRPr="00DA7CA1">
              <w:rPr>
                <w:b/>
                <w:sz w:val="28"/>
                <w:szCs w:val="28"/>
                <w:lang w:val="ro-RO"/>
              </w:rPr>
              <w:t>august</w:t>
            </w:r>
            <w:r w:rsidR="009B560E" w:rsidRPr="00DA7CA1">
              <w:rPr>
                <w:b/>
                <w:sz w:val="28"/>
                <w:szCs w:val="28"/>
                <w:lang w:val="ro-RO"/>
              </w:rPr>
              <w:t xml:space="preserve"> 201</w:t>
            </w:r>
            <w:r w:rsidRPr="00DA7CA1">
              <w:rPr>
                <w:b/>
                <w:sz w:val="28"/>
                <w:szCs w:val="28"/>
                <w:lang w:val="ro-RO"/>
              </w:rPr>
              <w:t>5</w:t>
            </w:r>
          </w:p>
        </w:tc>
      </w:tr>
      <w:tr w:rsidR="00DA7CA1" w:rsidRPr="00DA7CA1" w:rsidTr="00CE64E8">
        <w:trPr>
          <w:trHeight w:val="159"/>
        </w:trPr>
        <w:tc>
          <w:tcPr>
            <w:tcW w:w="840" w:type="dxa"/>
          </w:tcPr>
          <w:p w:rsidR="009B560E" w:rsidRPr="00DA7CA1" w:rsidRDefault="009B560E" w:rsidP="00EF6366">
            <w:pPr>
              <w:jc w:val="center"/>
              <w:rPr>
                <w:sz w:val="28"/>
                <w:szCs w:val="28"/>
                <w:lang w:val="ro-RO"/>
              </w:rPr>
            </w:pPr>
            <w:r w:rsidRPr="00DA7CA1">
              <w:rPr>
                <w:sz w:val="28"/>
                <w:szCs w:val="28"/>
                <w:lang w:val="ro-RO"/>
              </w:rPr>
              <w:t>1.</w:t>
            </w:r>
          </w:p>
        </w:tc>
        <w:tc>
          <w:tcPr>
            <w:tcW w:w="9225" w:type="dxa"/>
            <w:vAlign w:val="center"/>
          </w:tcPr>
          <w:p w:rsidR="00B6506A" w:rsidRPr="00DA7CA1" w:rsidRDefault="00637631" w:rsidP="00684C78">
            <w:pPr>
              <w:ind w:firstLine="709"/>
              <w:jc w:val="both"/>
              <w:rPr>
                <w:sz w:val="28"/>
                <w:szCs w:val="28"/>
                <w:lang w:val="ro-RO"/>
              </w:rPr>
            </w:pPr>
            <w:r w:rsidRPr="00DA7CA1">
              <w:rPr>
                <w:sz w:val="28"/>
                <w:szCs w:val="28"/>
                <w:lang w:val="ro-RO"/>
              </w:rPr>
              <w:t>SA ”CET-NORD”</w:t>
            </w:r>
            <w:r w:rsidRPr="00DA7CA1">
              <w:rPr>
                <w:b/>
                <w:sz w:val="28"/>
                <w:szCs w:val="28"/>
                <w:lang w:val="ro-RO"/>
              </w:rPr>
              <w:t xml:space="preserve"> </w:t>
            </w:r>
            <w:r w:rsidR="00B6506A" w:rsidRPr="00DA7CA1">
              <w:rPr>
                <w:sz w:val="28"/>
                <w:szCs w:val="28"/>
                <w:lang w:val="ro-RO"/>
              </w:rPr>
              <w:t xml:space="preserve"> </w:t>
            </w:r>
            <w:r w:rsidRPr="00DA7CA1">
              <w:rPr>
                <w:sz w:val="28"/>
                <w:szCs w:val="28"/>
                <w:lang w:val="ro-RO"/>
              </w:rPr>
              <w:t>comunică că a examinat proiectul de Hotărîre „Cu privire la  modificarea Hotărîrii Guvernului nr.20 din 20 ianuarie 2009”</w:t>
            </w:r>
            <w:r w:rsidR="00651BAD" w:rsidRPr="00DA7CA1">
              <w:rPr>
                <w:sz w:val="28"/>
                <w:szCs w:val="28"/>
                <w:lang w:val="ro-RO"/>
              </w:rPr>
              <w:t xml:space="preserve">. Entitatea nu are obiecții și susține proiectul menționat. </w:t>
            </w:r>
          </w:p>
        </w:tc>
        <w:tc>
          <w:tcPr>
            <w:tcW w:w="4217" w:type="dxa"/>
          </w:tcPr>
          <w:p w:rsidR="00651BAD" w:rsidRPr="00DA7CA1" w:rsidRDefault="00651BAD" w:rsidP="009742DE">
            <w:pPr>
              <w:jc w:val="center"/>
              <w:rPr>
                <w:sz w:val="28"/>
                <w:szCs w:val="28"/>
                <w:lang w:val="ro-RO"/>
              </w:rPr>
            </w:pPr>
          </w:p>
          <w:p w:rsidR="009B560E" w:rsidRPr="00DA7CA1" w:rsidRDefault="009742DE" w:rsidP="006E5663">
            <w:pPr>
              <w:rPr>
                <w:sz w:val="28"/>
                <w:szCs w:val="28"/>
                <w:lang w:val="ro-RO"/>
              </w:rPr>
            </w:pPr>
            <w:r w:rsidRPr="00DA7CA1">
              <w:rPr>
                <w:sz w:val="28"/>
                <w:szCs w:val="28"/>
                <w:lang w:val="ro-RO"/>
              </w:rPr>
              <w:t>Se acceptă</w:t>
            </w:r>
          </w:p>
        </w:tc>
      </w:tr>
      <w:tr w:rsidR="006E5663" w:rsidRPr="008B18A9" w:rsidTr="00CE64E8">
        <w:trPr>
          <w:trHeight w:val="159"/>
        </w:trPr>
        <w:tc>
          <w:tcPr>
            <w:tcW w:w="840" w:type="dxa"/>
          </w:tcPr>
          <w:p w:rsidR="006E5663" w:rsidRPr="00DA7CA1" w:rsidRDefault="006E5663" w:rsidP="00EF6366">
            <w:pPr>
              <w:jc w:val="center"/>
              <w:rPr>
                <w:sz w:val="28"/>
                <w:szCs w:val="28"/>
                <w:lang w:val="ro-RO"/>
              </w:rPr>
            </w:pPr>
          </w:p>
        </w:tc>
        <w:tc>
          <w:tcPr>
            <w:tcW w:w="13442" w:type="dxa"/>
            <w:gridSpan w:val="2"/>
            <w:vAlign w:val="center"/>
          </w:tcPr>
          <w:p w:rsidR="006E5663" w:rsidRPr="00DA7CA1" w:rsidRDefault="006E5663" w:rsidP="009742DE">
            <w:pPr>
              <w:jc w:val="center"/>
              <w:rPr>
                <w:sz w:val="28"/>
                <w:szCs w:val="28"/>
                <w:lang w:val="ro-RO"/>
              </w:rPr>
            </w:pPr>
            <w:r w:rsidRPr="00DA7CA1">
              <w:rPr>
                <w:rFonts w:eastAsia="Arial-BoldMT"/>
                <w:b/>
                <w:bCs/>
                <w:sz w:val="28"/>
                <w:szCs w:val="28"/>
                <w:lang w:val="ro-RO" w:eastAsia="en-US"/>
              </w:rPr>
              <w:t>Centrul Național Anticorupție al Republicii Moldova</w:t>
            </w:r>
            <w:r w:rsidRPr="00DA7CA1">
              <w:rPr>
                <w:b/>
                <w:sz w:val="28"/>
                <w:szCs w:val="28"/>
                <w:lang w:val="ro-RO"/>
              </w:rPr>
              <w:t xml:space="preserve"> a prezentat avizul prin scrisoarea nr. 11127 din 12 octombrie 2015</w:t>
            </w:r>
          </w:p>
        </w:tc>
      </w:tr>
      <w:tr w:rsidR="0097711F" w:rsidRPr="008B18A9" w:rsidTr="00CE64E8">
        <w:trPr>
          <w:trHeight w:val="159"/>
        </w:trPr>
        <w:tc>
          <w:tcPr>
            <w:tcW w:w="840" w:type="dxa"/>
          </w:tcPr>
          <w:p w:rsidR="0097711F" w:rsidRPr="00DA7CA1" w:rsidRDefault="0097711F" w:rsidP="00EF6366">
            <w:pPr>
              <w:jc w:val="center"/>
              <w:rPr>
                <w:sz w:val="28"/>
                <w:szCs w:val="28"/>
                <w:lang w:val="ro-RO"/>
              </w:rPr>
            </w:pPr>
            <w:r w:rsidRPr="00DA7CA1">
              <w:rPr>
                <w:sz w:val="28"/>
                <w:szCs w:val="28"/>
                <w:lang w:val="ro-RO"/>
              </w:rPr>
              <w:t>1.</w:t>
            </w:r>
          </w:p>
        </w:tc>
        <w:tc>
          <w:tcPr>
            <w:tcW w:w="9225" w:type="dxa"/>
            <w:vAlign w:val="center"/>
          </w:tcPr>
          <w:p w:rsidR="00DA7CA1" w:rsidRPr="00DA7CA1" w:rsidRDefault="00DA7CA1" w:rsidP="00DA7CA1">
            <w:pPr>
              <w:autoSpaceDE w:val="0"/>
              <w:autoSpaceDN w:val="0"/>
              <w:adjustRightInd w:val="0"/>
              <w:jc w:val="center"/>
              <w:rPr>
                <w:rFonts w:eastAsia="Arial-BoldMT"/>
                <w:b/>
                <w:bCs/>
                <w:sz w:val="28"/>
                <w:szCs w:val="28"/>
                <w:lang w:val="ro-RO" w:eastAsia="en-US"/>
              </w:rPr>
            </w:pPr>
            <w:r w:rsidRPr="00DA7CA1">
              <w:rPr>
                <w:rFonts w:eastAsia="Arial-BoldMT"/>
                <w:b/>
                <w:bCs/>
                <w:sz w:val="28"/>
                <w:szCs w:val="28"/>
                <w:lang w:val="ro-RO" w:eastAsia="en-US"/>
              </w:rPr>
              <w:t>I. EVALUAREA GENERALĂ A PROIECTULUI</w:t>
            </w:r>
          </w:p>
          <w:p w:rsidR="00DA7CA1" w:rsidRPr="00DA7CA1" w:rsidRDefault="00DA7CA1" w:rsidP="00DA7CA1">
            <w:pPr>
              <w:autoSpaceDE w:val="0"/>
              <w:autoSpaceDN w:val="0"/>
              <w:adjustRightInd w:val="0"/>
              <w:jc w:val="center"/>
              <w:rPr>
                <w:rFonts w:eastAsia="Arial-BoldMT"/>
                <w:b/>
                <w:bCs/>
                <w:sz w:val="28"/>
                <w:szCs w:val="28"/>
                <w:lang w:val="ro-RO" w:eastAsia="en-US"/>
              </w:rPr>
            </w:pPr>
            <w:r w:rsidRPr="00DA7CA1">
              <w:rPr>
                <w:rFonts w:eastAsia="Arial-BoldMT"/>
                <w:b/>
                <w:bCs/>
                <w:sz w:val="28"/>
                <w:szCs w:val="28"/>
                <w:lang w:val="ro-RO" w:eastAsia="en-US"/>
              </w:rPr>
              <w:t>1. Evaluarea fundamentării proiectului</w:t>
            </w:r>
          </w:p>
          <w:p w:rsidR="00DA7CA1" w:rsidRPr="00DA7CA1" w:rsidRDefault="00DA7CA1" w:rsidP="00DA7CA1">
            <w:pPr>
              <w:autoSpaceDE w:val="0"/>
              <w:autoSpaceDN w:val="0"/>
              <w:adjustRightInd w:val="0"/>
              <w:jc w:val="center"/>
              <w:rPr>
                <w:rFonts w:eastAsia="Arial-BoldMT"/>
                <w:b/>
                <w:bCs/>
                <w:sz w:val="28"/>
                <w:szCs w:val="28"/>
                <w:lang w:val="ro-RO" w:eastAsia="en-US"/>
              </w:rPr>
            </w:pPr>
            <w:r w:rsidRPr="00DA7CA1">
              <w:rPr>
                <w:rFonts w:eastAsia="Arial-BoldItalicMT"/>
                <w:b/>
                <w:bCs/>
                <w:i/>
                <w:iCs/>
                <w:sz w:val="28"/>
                <w:szCs w:val="28"/>
                <w:lang w:val="ro-RO" w:eastAsia="en-US"/>
              </w:rPr>
              <w:t>1.1 Fundamentarea generală a proiectului</w:t>
            </w:r>
          </w:p>
          <w:p w:rsidR="0097711F" w:rsidRPr="00DA7CA1" w:rsidRDefault="0097711F" w:rsidP="00E051DC">
            <w:pPr>
              <w:autoSpaceDE w:val="0"/>
              <w:autoSpaceDN w:val="0"/>
              <w:adjustRightInd w:val="0"/>
              <w:ind w:firstLine="753"/>
              <w:jc w:val="both"/>
              <w:rPr>
                <w:rFonts w:eastAsia="ArialMT"/>
                <w:sz w:val="28"/>
                <w:szCs w:val="28"/>
                <w:lang w:val="ro-RO" w:eastAsia="en-US"/>
              </w:rPr>
            </w:pPr>
            <w:r w:rsidRPr="00DA7CA1">
              <w:rPr>
                <w:rFonts w:eastAsia="Arial-BoldMT"/>
                <w:b/>
                <w:bCs/>
                <w:sz w:val="28"/>
                <w:szCs w:val="28"/>
                <w:lang w:val="ro-RO" w:eastAsia="en-US"/>
              </w:rPr>
              <w:t xml:space="preserve">a. Autor al proiectului de act normativ </w:t>
            </w:r>
            <w:r w:rsidRPr="00DA7CA1">
              <w:rPr>
                <w:rFonts w:eastAsia="ArialMT"/>
                <w:sz w:val="28"/>
                <w:szCs w:val="28"/>
                <w:lang w:val="ro-RO" w:eastAsia="en-US"/>
              </w:rPr>
              <w:t>este Ministerul Economiei.</w:t>
            </w:r>
          </w:p>
          <w:p w:rsidR="0097711F" w:rsidRPr="00DA7CA1" w:rsidRDefault="0097711F" w:rsidP="00E051DC">
            <w:pPr>
              <w:autoSpaceDE w:val="0"/>
              <w:autoSpaceDN w:val="0"/>
              <w:adjustRightInd w:val="0"/>
              <w:ind w:firstLine="753"/>
              <w:jc w:val="both"/>
              <w:rPr>
                <w:rFonts w:eastAsia="ArialMT"/>
                <w:sz w:val="28"/>
                <w:szCs w:val="28"/>
                <w:lang w:val="ro-RO" w:eastAsia="en-US"/>
              </w:rPr>
            </w:pPr>
            <w:r w:rsidRPr="00DA7CA1">
              <w:rPr>
                <w:rFonts w:eastAsia="Arial-BoldMT"/>
                <w:b/>
                <w:bCs/>
                <w:sz w:val="28"/>
                <w:szCs w:val="28"/>
                <w:lang w:val="ro-RO" w:eastAsia="en-US"/>
              </w:rPr>
              <w:t xml:space="preserve">b. Categoria actului normativ </w:t>
            </w:r>
            <w:r w:rsidRPr="00DA7CA1">
              <w:rPr>
                <w:rFonts w:eastAsia="ArialMT"/>
                <w:sz w:val="28"/>
                <w:szCs w:val="28"/>
                <w:lang w:val="ro-RO" w:eastAsia="en-US"/>
              </w:rPr>
              <w:t>propus este hotărîre a Guvernului, ceea ce corespunde art.102 din Constituţie, art. 10 din Legea privind actele normative ale Guvernului şi ale altor autorităţi ale administraţiei publice centrale şi locale nr. 317-XV din 18.07.2003.</w:t>
            </w:r>
          </w:p>
          <w:p w:rsidR="0097711F" w:rsidRPr="00DA7CA1" w:rsidRDefault="0097711F" w:rsidP="008B18A9">
            <w:pPr>
              <w:autoSpaceDE w:val="0"/>
              <w:autoSpaceDN w:val="0"/>
              <w:adjustRightInd w:val="0"/>
              <w:ind w:firstLine="753"/>
              <w:jc w:val="both"/>
              <w:rPr>
                <w:rFonts w:eastAsia="ArialMT"/>
                <w:sz w:val="28"/>
                <w:szCs w:val="28"/>
                <w:lang w:val="ro-RO" w:eastAsia="en-US"/>
              </w:rPr>
            </w:pPr>
            <w:r w:rsidRPr="00DA7CA1">
              <w:rPr>
                <w:rFonts w:eastAsia="Arial-BoldMT"/>
                <w:b/>
                <w:bCs/>
                <w:sz w:val="28"/>
                <w:szCs w:val="28"/>
                <w:lang w:val="ro-RO" w:eastAsia="en-US"/>
              </w:rPr>
              <w:t xml:space="preserve">c. Scopul promovării proiectului. </w:t>
            </w:r>
            <w:r w:rsidRPr="00DA7CA1">
              <w:rPr>
                <w:rFonts w:eastAsia="ArialMT"/>
                <w:sz w:val="28"/>
                <w:szCs w:val="28"/>
                <w:lang w:val="ro-RO" w:eastAsia="en-US"/>
              </w:rPr>
              <w:t>Proiectul are drept scop restructurarea graficului de</w:t>
            </w:r>
            <w:r w:rsidR="008B18A9">
              <w:rPr>
                <w:rFonts w:eastAsia="ArialMT"/>
                <w:sz w:val="28"/>
                <w:szCs w:val="28"/>
                <w:lang w:val="ro-RO" w:eastAsia="en-US"/>
              </w:rPr>
              <w:t xml:space="preserve"> </w:t>
            </w:r>
            <w:r w:rsidRPr="00DA7CA1">
              <w:rPr>
                <w:rFonts w:eastAsia="ArialMT"/>
                <w:sz w:val="28"/>
                <w:szCs w:val="28"/>
                <w:lang w:val="ro-RO" w:eastAsia="en-US"/>
              </w:rPr>
              <w:t>restituire a păcurii de către întreprinderile complexului termoenergetic către Agenţia Rezerve Materiale, în sensul extinderii termenelor de rambursare a păcurii împrumutate în anul 2009. Astfel, Societatea pe Acţiuni „TERMOELECTRICA” în calitate de succesor de drepturi şi obligaţii al Societăţii pe Acţiuni „Centrala Electrică de Termoficare nr.1, municipiul Chişinău”, şi al Societăţii pe Acţiuni „Centrala Electrică de Termoficare nr.2, municipiul Chişinău” urmează să restituie 4202 tone de păcură pînă la 31.12.2018 (actualmente termenul limită este finele anului 2017), iar Societatea pe Acţiuni „Centrala Electrică de Termoficare Nord, municipiul Bălţi” urmează să restituie 569,364 tone de păcură pînă la 31.12.2020 (actualmente termenul limită este finele anului 2019).</w:t>
            </w:r>
          </w:p>
          <w:p w:rsidR="0097711F" w:rsidRPr="00DA7CA1" w:rsidRDefault="0097711F" w:rsidP="00E051DC">
            <w:pPr>
              <w:autoSpaceDE w:val="0"/>
              <w:autoSpaceDN w:val="0"/>
              <w:adjustRightInd w:val="0"/>
              <w:ind w:firstLine="753"/>
              <w:jc w:val="both"/>
              <w:rPr>
                <w:rFonts w:eastAsia="ArialMT"/>
                <w:sz w:val="28"/>
                <w:szCs w:val="28"/>
                <w:lang w:val="ro-RO" w:eastAsia="en-US"/>
              </w:rPr>
            </w:pPr>
            <w:r w:rsidRPr="00DA7CA1">
              <w:rPr>
                <w:rFonts w:eastAsia="Arial-BoldMT"/>
                <w:b/>
                <w:bCs/>
                <w:sz w:val="28"/>
                <w:szCs w:val="28"/>
                <w:lang w:val="ro-RO" w:eastAsia="en-US"/>
              </w:rPr>
              <w:t xml:space="preserve">d. Suficienţa argumentării. </w:t>
            </w:r>
            <w:r w:rsidRPr="00DA7CA1">
              <w:rPr>
                <w:rFonts w:eastAsia="ArialMT"/>
                <w:sz w:val="28"/>
                <w:szCs w:val="28"/>
                <w:lang w:val="ro-RO" w:eastAsia="en-US"/>
              </w:rPr>
              <w:t>Potrivit autorului, reieşind din situaţia economico-financiară actuală dificilă, întreprinderile nu au posibilitatea de a restitui combustibilul în termenii stabiliţi, din motiv că procurarea cantităţilor respective de păcură ar afecta nivelul de achitare a plăţilor faţă de S.A. „Moldovagaz” pentru gazele naturale consumate. Iar în cazul nerestituirii de către CET-uri a volumelor specificate de păcură, în conformitate cu prevederile legislaţiei în vigoare, Agenţia Rezerve Materiale poate aplica penalităţi financiare. Totodată, menţionăm că Hotărîrea Guvernului nr.20 din 20.01.2009 cu privire la eliberarea unor bunuri materiale din rezervele materiale de stat, prin care CET-urilor din rezervele materiale de stat cu titlu de împrumut pe termen scurt, le-au fost eliberate cantităţile necesare de păcură, a fost modificată de cîteva ori în sensul prelungirii termenului de rambursare a datoriilor. Respectiv, CET nr.2 iniţial urma să restituie datoria pînă în anul 2014, iar acum termenul se propune a fi prelungit pînă în anul 2018, iar CET Nord de la termenul limită stabilit iniţial anul 2011, se propune a fi restituit pînă în anul 2020. Concomitent, CET Nord din cantitatea restantă de 569,364 tone nu a restituit nimic mai bine de 3 ani. Astfel, situaţia creată, generează riscuri cu privir</w:t>
            </w:r>
            <w:r w:rsidR="00DA7CA1" w:rsidRPr="00DA7CA1">
              <w:rPr>
                <w:rFonts w:eastAsia="ArialMT"/>
                <w:sz w:val="28"/>
                <w:szCs w:val="28"/>
                <w:lang w:val="ro-RO" w:eastAsia="en-US"/>
              </w:rPr>
              <w:t xml:space="preserve">e la recuperarea datoriilor, or </w:t>
            </w:r>
            <w:r w:rsidRPr="00DA7CA1">
              <w:rPr>
                <w:rFonts w:eastAsia="ArialMT"/>
                <w:sz w:val="28"/>
                <w:szCs w:val="28"/>
                <w:lang w:val="ro-RO" w:eastAsia="en-US"/>
              </w:rPr>
              <w:t>multiplele modificări ale graficului de restituire a păcurii, motivează CET-urile de a nu-ş</w:t>
            </w:r>
            <w:r w:rsidR="00DA7CA1" w:rsidRPr="00DA7CA1">
              <w:rPr>
                <w:rFonts w:eastAsia="ArialMT"/>
                <w:sz w:val="28"/>
                <w:szCs w:val="28"/>
                <w:lang w:val="ro-RO" w:eastAsia="en-US"/>
              </w:rPr>
              <w:t xml:space="preserve">i </w:t>
            </w:r>
            <w:r w:rsidRPr="00DA7CA1">
              <w:rPr>
                <w:rFonts w:eastAsia="ArialMT"/>
                <w:sz w:val="28"/>
                <w:szCs w:val="28"/>
                <w:lang w:val="ro-RO" w:eastAsia="en-US"/>
              </w:rPr>
              <w:t>onora obligaţiile şi a se eschiva de la răspundere.</w:t>
            </w:r>
          </w:p>
          <w:p w:rsidR="0097711F" w:rsidRPr="00DA7CA1" w:rsidRDefault="0097711F" w:rsidP="008B18A9">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1.2 Fundamentarea economico-financiară a proiectului</w:t>
            </w:r>
          </w:p>
          <w:p w:rsidR="0097711F" w:rsidRPr="00DA7CA1" w:rsidRDefault="0097711F" w:rsidP="008B18A9">
            <w:pPr>
              <w:autoSpaceDE w:val="0"/>
              <w:autoSpaceDN w:val="0"/>
              <w:adjustRightInd w:val="0"/>
              <w:rPr>
                <w:rFonts w:eastAsia="ArialMT"/>
                <w:sz w:val="28"/>
                <w:szCs w:val="28"/>
                <w:lang w:val="ro-RO" w:eastAsia="en-US"/>
              </w:rPr>
            </w:pPr>
            <w:r w:rsidRPr="00DA7CA1">
              <w:rPr>
                <w:rFonts w:eastAsia="ArialMT"/>
                <w:sz w:val="28"/>
                <w:szCs w:val="28"/>
                <w:lang w:val="ro-RO" w:eastAsia="en-US"/>
              </w:rPr>
              <w:t>Prelungirea termenului de restituire a păcurii generează riscuri cu privire la restituirea</w:t>
            </w:r>
            <w:r w:rsidR="00DA7CA1" w:rsidRPr="00DA7CA1">
              <w:rPr>
                <w:rFonts w:eastAsia="ArialMT"/>
                <w:sz w:val="28"/>
                <w:szCs w:val="28"/>
                <w:lang w:val="ro-RO" w:eastAsia="en-US"/>
              </w:rPr>
              <w:t xml:space="preserve"> </w:t>
            </w:r>
            <w:r w:rsidRPr="00DA7CA1">
              <w:rPr>
                <w:rFonts w:eastAsia="ArialMT"/>
                <w:sz w:val="28"/>
                <w:szCs w:val="28"/>
                <w:lang w:val="ro-RO" w:eastAsia="en-US"/>
              </w:rPr>
              <w:t>datoriilor, ceea ce ar putea diminua stocurile de păcură din rezervele stat cu 4771,361 tone.</w:t>
            </w:r>
          </w:p>
          <w:p w:rsidR="00C12359" w:rsidRDefault="00C12359" w:rsidP="00E051DC">
            <w:pPr>
              <w:autoSpaceDE w:val="0"/>
              <w:autoSpaceDN w:val="0"/>
              <w:adjustRightInd w:val="0"/>
              <w:jc w:val="center"/>
              <w:rPr>
                <w:rFonts w:eastAsia="Arial-BoldItalicMT"/>
                <w:b/>
                <w:bCs/>
                <w:i/>
                <w:iCs/>
                <w:sz w:val="28"/>
                <w:szCs w:val="28"/>
                <w:lang w:val="ro-RO" w:eastAsia="en-US"/>
              </w:rPr>
            </w:pPr>
          </w:p>
          <w:p w:rsidR="00532F6F" w:rsidRDefault="00532F6F" w:rsidP="00E051DC">
            <w:pPr>
              <w:autoSpaceDE w:val="0"/>
              <w:autoSpaceDN w:val="0"/>
              <w:adjustRightInd w:val="0"/>
              <w:jc w:val="center"/>
              <w:rPr>
                <w:rFonts w:eastAsia="Arial-BoldItalicMT"/>
                <w:b/>
                <w:bCs/>
                <w:i/>
                <w:iCs/>
                <w:sz w:val="28"/>
                <w:szCs w:val="28"/>
                <w:lang w:val="ro-RO" w:eastAsia="en-US"/>
              </w:rPr>
            </w:pPr>
          </w:p>
          <w:p w:rsidR="0097711F" w:rsidRPr="00DA7CA1" w:rsidRDefault="0097711F" w:rsidP="008B18A9">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1.3 Promovarea sau prejudicierea intereselor de grup ori individuale, în lipsa unei</w:t>
            </w:r>
          </w:p>
          <w:p w:rsidR="0097711F" w:rsidRPr="00DA7CA1" w:rsidRDefault="0097711F" w:rsidP="008B18A9">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justificări a interesului public</w:t>
            </w:r>
          </w:p>
          <w:p w:rsidR="00DA7CA1" w:rsidRPr="00DA7CA1" w:rsidRDefault="0097711F"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Neasigurarea rezervelor de stat cu stocul necesar de păcură</w:t>
            </w:r>
            <w:r w:rsidR="00DA7CA1" w:rsidRPr="00DA7CA1">
              <w:rPr>
                <w:rFonts w:eastAsia="ArialMT"/>
                <w:sz w:val="28"/>
                <w:szCs w:val="28"/>
                <w:lang w:val="ro-RO" w:eastAsia="en-US"/>
              </w:rPr>
              <w:t xml:space="preserve"> poate avea un impact negative </w:t>
            </w:r>
            <w:r w:rsidRPr="00DA7CA1">
              <w:rPr>
                <w:rFonts w:eastAsia="ArialMT"/>
                <w:sz w:val="28"/>
                <w:szCs w:val="28"/>
                <w:lang w:val="ro-RO" w:eastAsia="en-US"/>
              </w:rPr>
              <w:t xml:space="preserve">asupra securităţii energetice a ţării în caz de situaţii excepţionale. </w:t>
            </w:r>
            <w:r w:rsidR="00DA7CA1" w:rsidRPr="00DA7CA1">
              <w:rPr>
                <w:rFonts w:eastAsia="ArialMT"/>
                <w:sz w:val="28"/>
                <w:szCs w:val="28"/>
                <w:lang w:val="ro-RO" w:eastAsia="en-US"/>
              </w:rPr>
              <w:t xml:space="preserve">Astfel, ar putea fi </w:t>
            </w:r>
            <w:r w:rsidRPr="00DA7CA1">
              <w:rPr>
                <w:rFonts w:eastAsia="ArialMT"/>
                <w:sz w:val="28"/>
                <w:szCs w:val="28"/>
                <w:lang w:val="ro-RO" w:eastAsia="en-US"/>
              </w:rPr>
              <w:t>prejudiciat interesul public general.</w:t>
            </w:r>
          </w:p>
          <w:p w:rsidR="008B18A9" w:rsidRDefault="008B18A9" w:rsidP="00E051DC">
            <w:pPr>
              <w:autoSpaceDE w:val="0"/>
              <w:autoSpaceDN w:val="0"/>
              <w:adjustRightInd w:val="0"/>
              <w:jc w:val="center"/>
              <w:rPr>
                <w:rFonts w:eastAsia="Arial-BoldMT"/>
                <w:b/>
                <w:bCs/>
                <w:sz w:val="28"/>
                <w:szCs w:val="28"/>
                <w:lang w:val="ro-RO" w:eastAsia="en-US"/>
              </w:rPr>
            </w:pPr>
          </w:p>
          <w:p w:rsidR="008B18A9" w:rsidRDefault="008B18A9" w:rsidP="00E051DC">
            <w:pPr>
              <w:autoSpaceDE w:val="0"/>
              <w:autoSpaceDN w:val="0"/>
              <w:adjustRightInd w:val="0"/>
              <w:jc w:val="center"/>
              <w:rPr>
                <w:rFonts w:eastAsia="Arial-BoldMT"/>
                <w:b/>
                <w:bCs/>
                <w:sz w:val="28"/>
                <w:szCs w:val="28"/>
                <w:lang w:val="ro-RO" w:eastAsia="en-US"/>
              </w:rPr>
            </w:pPr>
          </w:p>
          <w:p w:rsidR="008B18A9" w:rsidRDefault="008B18A9" w:rsidP="00E051DC">
            <w:pPr>
              <w:autoSpaceDE w:val="0"/>
              <w:autoSpaceDN w:val="0"/>
              <w:adjustRightInd w:val="0"/>
              <w:jc w:val="center"/>
              <w:rPr>
                <w:rFonts w:eastAsia="Arial-BoldMT"/>
                <w:b/>
                <w:bCs/>
                <w:sz w:val="28"/>
                <w:szCs w:val="28"/>
                <w:lang w:val="ro-RO" w:eastAsia="en-US"/>
              </w:rPr>
            </w:pPr>
          </w:p>
          <w:p w:rsidR="008B18A9" w:rsidRDefault="008B18A9" w:rsidP="00E051DC">
            <w:pPr>
              <w:autoSpaceDE w:val="0"/>
              <w:autoSpaceDN w:val="0"/>
              <w:adjustRightInd w:val="0"/>
              <w:jc w:val="center"/>
              <w:rPr>
                <w:rFonts w:eastAsia="Arial-BoldMT"/>
                <w:b/>
                <w:bCs/>
                <w:sz w:val="28"/>
                <w:szCs w:val="28"/>
                <w:lang w:val="ro-RO" w:eastAsia="en-US"/>
              </w:rPr>
            </w:pPr>
          </w:p>
          <w:p w:rsidR="008B18A9" w:rsidRDefault="008B18A9" w:rsidP="00E051DC">
            <w:pPr>
              <w:autoSpaceDE w:val="0"/>
              <w:autoSpaceDN w:val="0"/>
              <w:adjustRightInd w:val="0"/>
              <w:jc w:val="center"/>
              <w:rPr>
                <w:rFonts w:eastAsia="Arial-BoldMT"/>
                <w:b/>
                <w:bCs/>
                <w:sz w:val="28"/>
                <w:szCs w:val="28"/>
                <w:lang w:val="ro-RO" w:eastAsia="en-US"/>
              </w:rPr>
            </w:pPr>
          </w:p>
          <w:p w:rsidR="008B18A9" w:rsidRDefault="008B18A9" w:rsidP="00E051DC">
            <w:pPr>
              <w:autoSpaceDE w:val="0"/>
              <w:autoSpaceDN w:val="0"/>
              <w:adjustRightInd w:val="0"/>
              <w:jc w:val="center"/>
              <w:rPr>
                <w:rFonts w:eastAsia="Arial-BoldMT"/>
                <w:b/>
                <w:bCs/>
                <w:sz w:val="28"/>
                <w:szCs w:val="28"/>
                <w:lang w:val="ro-RO" w:eastAsia="en-US"/>
              </w:rPr>
            </w:pPr>
          </w:p>
          <w:p w:rsidR="008B18A9" w:rsidRDefault="008B18A9" w:rsidP="00E051DC">
            <w:pPr>
              <w:autoSpaceDE w:val="0"/>
              <w:autoSpaceDN w:val="0"/>
              <w:adjustRightInd w:val="0"/>
              <w:jc w:val="center"/>
              <w:rPr>
                <w:rFonts w:eastAsia="Arial-BoldMT"/>
                <w:b/>
                <w:bCs/>
                <w:sz w:val="28"/>
                <w:szCs w:val="28"/>
                <w:lang w:val="ro-RO" w:eastAsia="en-US"/>
              </w:rPr>
            </w:pPr>
          </w:p>
          <w:p w:rsidR="00DA7CA1" w:rsidRPr="00DA7CA1" w:rsidRDefault="0097711F" w:rsidP="00E051DC">
            <w:pPr>
              <w:autoSpaceDE w:val="0"/>
              <w:autoSpaceDN w:val="0"/>
              <w:adjustRightInd w:val="0"/>
              <w:jc w:val="center"/>
              <w:rPr>
                <w:rFonts w:eastAsia="Arial-BoldMT"/>
                <w:b/>
                <w:bCs/>
                <w:sz w:val="28"/>
                <w:szCs w:val="28"/>
                <w:lang w:val="ro-RO" w:eastAsia="en-US"/>
              </w:rPr>
            </w:pPr>
            <w:r w:rsidRPr="00DA7CA1">
              <w:rPr>
                <w:rFonts w:eastAsia="Arial-BoldMT"/>
                <w:b/>
                <w:bCs/>
                <w:sz w:val="28"/>
                <w:szCs w:val="28"/>
                <w:lang w:val="ro-RO" w:eastAsia="en-US"/>
              </w:rPr>
              <w:t>2. Evaluarea compatibilităţ</w:t>
            </w:r>
            <w:r w:rsidR="00DA7CA1" w:rsidRPr="00DA7CA1">
              <w:rPr>
                <w:rFonts w:eastAsia="Arial-BoldMT"/>
                <w:b/>
                <w:bCs/>
                <w:sz w:val="28"/>
                <w:szCs w:val="28"/>
                <w:lang w:val="ro-RO" w:eastAsia="en-US"/>
              </w:rPr>
              <w:t xml:space="preserve">ii proiectului cu standard </w:t>
            </w:r>
            <w:r w:rsidRPr="00DA7CA1">
              <w:rPr>
                <w:rFonts w:eastAsia="Arial-BoldMT"/>
                <w:b/>
                <w:bCs/>
                <w:sz w:val="28"/>
                <w:szCs w:val="28"/>
                <w:lang w:val="ro-RO" w:eastAsia="en-US"/>
              </w:rPr>
              <w:t>anticorupţie</w:t>
            </w:r>
          </w:p>
          <w:p w:rsidR="0097711F" w:rsidRPr="00DA7CA1" w:rsidRDefault="0097711F"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În proiect nu au fost atestate incompatibilităţi cu standardele naţionale şi internaţionale</w:t>
            </w:r>
            <w:r w:rsidR="00E051DC">
              <w:rPr>
                <w:rFonts w:eastAsia="ArialMT"/>
                <w:sz w:val="28"/>
                <w:szCs w:val="28"/>
                <w:lang w:val="ro-RO" w:eastAsia="en-US"/>
              </w:rPr>
              <w:t xml:space="preserve"> </w:t>
            </w:r>
            <w:r w:rsidRPr="00DA7CA1">
              <w:rPr>
                <w:rFonts w:eastAsia="ArialMT"/>
                <w:sz w:val="28"/>
                <w:szCs w:val="28"/>
                <w:lang w:val="ro-RO" w:eastAsia="en-US"/>
              </w:rPr>
              <w:t>anticorupţie şi nu au fost identificate domenii în care proiectul nu satisface cerinţele sau sî</w:t>
            </w:r>
            <w:r w:rsidR="00DA7CA1" w:rsidRPr="00DA7CA1">
              <w:rPr>
                <w:rFonts w:eastAsia="ArialMT"/>
                <w:sz w:val="28"/>
                <w:szCs w:val="28"/>
                <w:lang w:val="ro-RO" w:eastAsia="en-US"/>
              </w:rPr>
              <w:t xml:space="preserve">nt </w:t>
            </w:r>
            <w:r w:rsidRPr="00DA7CA1">
              <w:rPr>
                <w:rFonts w:eastAsia="ArialMT"/>
                <w:sz w:val="28"/>
                <w:szCs w:val="28"/>
                <w:lang w:val="ro-RO" w:eastAsia="en-US"/>
              </w:rPr>
              <w:t>în contradicţie cu aceste standarde.</w:t>
            </w:r>
          </w:p>
          <w:p w:rsidR="0097711F" w:rsidRPr="00DA7CA1" w:rsidRDefault="0097711F" w:rsidP="00E051DC">
            <w:pPr>
              <w:autoSpaceDE w:val="0"/>
              <w:autoSpaceDN w:val="0"/>
              <w:adjustRightInd w:val="0"/>
              <w:ind w:firstLine="753"/>
              <w:jc w:val="both"/>
              <w:rPr>
                <w:rFonts w:eastAsia="ArialMT"/>
                <w:sz w:val="28"/>
                <w:szCs w:val="28"/>
                <w:lang w:val="ro-RO" w:eastAsia="en-US"/>
              </w:rPr>
            </w:pPr>
            <w:r w:rsidRPr="00DA7CA1">
              <w:rPr>
                <w:rFonts w:eastAsia="Arial-BoldMT"/>
                <w:b/>
                <w:bCs/>
                <w:sz w:val="28"/>
                <w:szCs w:val="28"/>
                <w:lang w:val="ro-RO" w:eastAsia="en-US"/>
              </w:rPr>
              <w:t xml:space="preserve">Asigurarea transparenţei în procesul decizional. </w:t>
            </w:r>
            <w:r w:rsidRPr="00DA7CA1">
              <w:rPr>
                <w:rFonts w:eastAsia="ArialMT"/>
                <w:sz w:val="28"/>
                <w:szCs w:val="28"/>
                <w:lang w:val="ro-RO" w:eastAsia="en-US"/>
              </w:rPr>
              <w:t>Fiind plasat pe pagina web oficială</w:t>
            </w:r>
            <w:r w:rsidR="00DA7CA1" w:rsidRPr="00DA7CA1">
              <w:rPr>
                <w:rFonts w:eastAsia="ArialMT"/>
                <w:sz w:val="28"/>
                <w:szCs w:val="28"/>
                <w:lang w:val="ro-RO" w:eastAsia="en-US"/>
              </w:rPr>
              <w:t xml:space="preserve"> a </w:t>
            </w:r>
            <w:r w:rsidRPr="00DA7CA1">
              <w:rPr>
                <w:rFonts w:eastAsia="ArialMT"/>
                <w:sz w:val="28"/>
                <w:szCs w:val="28"/>
                <w:lang w:val="ro-RO" w:eastAsia="en-US"/>
              </w:rPr>
              <w:t>Ministerului Economiei la momentul examinării, proiectul a întrunit cerinţ</w:t>
            </w:r>
            <w:r w:rsidR="00DA7CA1" w:rsidRPr="00DA7CA1">
              <w:rPr>
                <w:rFonts w:eastAsia="ArialMT"/>
                <w:sz w:val="28"/>
                <w:szCs w:val="28"/>
                <w:lang w:val="ro-RO" w:eastAsia="en-US"/>
              </w:rPr>
              <w:t xml:space="preserve">ele impuse de </w:t>
            </w:r>
            <w:r w:rsidRPr="00DA7CA1">
              <w:rPr>
                <w:rFonts w:eastAsia="ArialMT"/>
                <w:sz w:val="28"/>
                <w:szCs w:val="28"/>
                <w:lang w:val="ro-RO" w:eastAsia="en-US"/>
              </w:rPr>
              <w:t xml:space="preserve">prevederile Legii privind transparenţa în procesul decizional nr. 239-XVI din 13.11.2008. </w:t>
            </w:r>
          </w:p>
          <w:p w:rsidR="00DA7CA1" w:rsidRPr="00DA7CA1" w:rsidRDefault="00DA7CA1" w:rsidP="00DA7CA1">
            <w:pPr>
              <w:autoSpaceDE w:val="0"/>
              <w:autoSpaceDN w:val="0"/>
              <w:adjustRightInd w:val="0"/>
              <w:jc w:val="center"/>
              <w:rPr>
                <w:rFonts w:eastAsia="Arial-BoldMT"/>
                <w:b/>
                <w:bCs/>
                <w:sz w:val="28"/>
                <w:szCs w:val="28"/>
                <w:lang w:val="ro-RO" w:eastAsia="en-US"/>
              </w:rPr>
            </w:pPr>
            <w:r w:rsidRPr="00DA7CA1">
              <w:rPr>
                <w:rFonts w:eastAsia="Arial-BoldMT"/>
                <w:b/>
                <w:bCs/>
                <w:sz w:val="28"/>
                <w:szCs w:val="28"/>
                <w:lang w:val="ro-RO" w:eastAsia="en-US"/>
              </w:rPr>
              <w:t>II. EVALUAREA ÎN FOND A PROIECTULUI</w:t>
            </w:r>
          </w:p>
          <w:p w:rsidR="00DA7CA1" w:rsidRPr="00DA7CA1" w:rsidRDefault="00DA7CA1" w:rsidP="00E051DC">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1. Formulări lingvistice ambigui</w:t>
            </w:r>
          </w:p>
          <w:p w:rsidR="00DA7CA1" w:rsidRPr="00DA7CA1" w:rsidRDefault="00DA7CA1"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Textul proiectului corespunde tehnicii legislative şi normative, regulilor limbajului şi expresiei juridice.</w:t>
            </w:r>
          </w:p>
          <w:p w:rsidR="00DA7CA1" w:rsidRPr="00DA7CA1" w:rsidRDefault="00DA7CA1" w:rsidP="00E051DC">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2. Conflicte ale normelor de drept</w:t>
            </w:r>
          </w:p>
          <w:p w:rsidR="00DA7CA1" w:rsidRPr="00DA7CA1" w:rsidRDefault="00DA7CA1"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Nu sînt identificate conflicte ale normelor de drept, capabile să genereze coruptibilitate.</w:t>
            </w:r>
          </w:p>
          <w:p w:rsidR="00DA7CA1" w:rsidRPr="00DA7CA1" w:rsidRDefault="00DA7CA1" w:rsidP="00E051DC">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3. Norme de trimitere, de blanchetă şi norme în alb</w:t>
            </w:r>
          </w:p>
          <w:p w:rsidR="00DA7CA1" w:rsidRPr="00DA7CA1" w:rsidRDefault="00DA7CA1"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Nu sînt identificate norme de trimitere, de blanchetă şi norme în alb, capabile să genereze</w:t>
            </w:r>
            <w:r w:rsidR="00E051DC">
              <w:rPr>
                <w:rFonts w:eastAsia="ArialMT"/>
                <w:sz w:val="28"/>
                <w:szCs w:val="28"/>
                <w:lang w:val="ro-RO" w:eastAsia="en-US"/>
              </w:rPr>
              <w:t xml:space="preserve"> </w:t>
            </w:r>
            <w:r w:rsidRPr="00DA7CA1">
              <w:rPr>
                <w:rFonts w:eastAsia="ArialMT"/>
                <w:sz w:val="28"/>
                <w:szCs w:val="28"/>
                <w:lang w:val="ro-RO" w:eastAsia="en-US"/>
              </w:rPr>
              <w:t>coruptibilitate.</w:t>
            </w:r>
          </w:p>
          <w:p w:rsidR="00DA7CA1" w:rsidRPr="00DA7CA1" w:rsidRDefault="00DA7CA1" w:rsidP="00E051DC">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4. Discreţii excesive ale autorităţilor publice</w:t>
            </w:r>
          </w:p>
          <w:p w:rsidR="00DA7CA1" w:rsidRPr="00DA7CA1" w:rsidRDefault="00DA7CA1"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Nu sînt identificate discreţii excesive ale autorităţilor publice, capabile să genereze</w:t>
            </w:r>
            <w:r>
              <w:rPr>
                <w:rFonts w:eastAsia="ArialMT"/>
                <w:sz w:val="28"/>
                <w:szCs w:val="28"/>
                <w:lang w:val="ro-RO" w:eastAsia="en-US"/>
              </w:rPr>
              <w:t xml:space="preserve"> </w:t>
            </w:r>
            <w:r w:rsidRPr="00DA7CA1">
              <w:rPr>
                <w:rFonts w:eastAsia="ArialMT"/>
                <w:sz w:val="28"/>
                <w:szCs w:val="28"/>
                <w:lang w:val="ro-RO" w:eastAsia="en-US"/>
              </w:rPr>
              <w:t>coruptibilitate.</w:t>
            </w:r>
          </w:p>
          <w:p w:rsidR="00DA7CA1" w:rsidRPr="00DA7CA1" w:rsidRDefault="00DA7CA1" w:rsidP="00E051DC">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5. Cerinţe excesive pentru exercitarea drepturilor persoanelor</w:t>
            </w:r>
          </w:p>
          <w:p w:rsidR="00DA7CA1" w:rsidRPr="00DA7CA1" w:rsidRDefault="00DA7CA1"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Nu sînt identificate cerinţe excesive, care să depăşească cadrul rezonabil pentru realizarea</w:t>
            </w:r>
            <w:r>
              <w:rPr>
                <w:rFonts w:eastAsia="ArialMT"/>
                <w:sz w:val="28"/>
                <w:szCs w:val="28"/>
                <w:lang w:val="ro-RO" w:eastAsia="en-US"/>
              </w:rPr>
              <w:t xml:space="preserve"> </w:t>
            </w:r>
            <w:r w:rsidRPr="00DA7CA1">
              <w:rPr>
                <w:rFonts w:eastAsia="ArialMT"/>
                <w:sz w:val="28"/>
                <w:szCs w:val="28"/>
                <w:lang w:val="ro-RO" w:eastAsia="en-US"/>
              </w:rPr>
              <w:t>drepturilor sau obligaţiilor subiecţilor vizaţi.</w:t>
            </w:r>
          </w:p>
          <w:p w:rsidR="00DA7CA1" w:rsidRPr="00DA7CA1" w:rsidRDefault="00DA7CA1" w:rsidP="00E051DC">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6. Accesul limitat la informaţie, lipsa transparenţei</w:t>
            </w:r>
          </w:p>
          <w:p w:rsidR="00DA7CA1" w:rsidRPr="00DA7CA1" w:rsidRDefault="00DA7CA1"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Textul proiectului nu necesită a fi evaluat prin prisma accesului la informaţie sau asigurării</w:t>
            </w:r>
            <w:r>
              <w:rPr>
                <w:rFonts w:eastAsia="ArialMT"/>
                <w:sz w:val="28"/>
                <w:szCs w:val="28"/>
                <w:lang w:val="ro-RO" w:eastAsia="en-US"/>
              </w:rPr>
              <w:t xml:space="preserve"> </w:t>
            </w:r>
            <w:r w:rsidRPr="00DA7CA1">
              <w:rPr>
                <w:rFonts w:eastAsia="ArialMT"/>
                <w:sz w:val="28"/>
                <w:szCs w:val="28"/>
                <w:lang w:val="ro-RO" w:eastAsia="en-US"/>
              </w:rPr>
              <w:t>transparenţei.</w:t>
            </w:r>
          </w:p>
          <w:p w:rsidR="00DA7CA1" w:rsidRPr="00DA7CA1" w:rsidRDefault="00DA7CA1" w:rsidP="00E051DC">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7. Lipsa sau insuficienţa mecanismelor de control</w:t>
            </w:r>
          </w:p>
          <w:p w:rsidR="00DA7CA1" w:rsidRPr="00DA7CA1" w:rsidRDefault="00DA7CA1" w:rsidP="00E051DC">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Implementarea prevederilor proiectului nu presupune aplicarea cărorva mecanisme</w:t>
            </w:r>
            <w:r>
              <w:rPr>
                <w:rFonts w:eastAsia="ArialMT"/>
                <w:sz w:val="28"/>
                <w:szCs w:val="28"/>
                <w:lang w:val="ro-RO" w:eastAsia="en-US"/>
              </w:rPr>
              <w:t xml:space="preserve"> </w:t>
            </w:r>
            <w:r w:rsidRPr="00DA7CA1">
              <w:rPr>
                <w:rFonts w:eastAsia="ArialMT"/>
                <w:sz w:val="28"/>
                <w:szCs w:val="28"/>
                <w:lang w:val="ro-RO" w:eastAsia="en-US"/>
              </w:rPr>
              <w:t>suplimentare de control.</w:t>
            </w:r>
          </w:p>
          <w:p w:rsidR="00DA7CA1" w:rsidRPr="00DA7CA1" w:rsidRDefault="00DA7CA1" w:rsidP="00E051DC">
            <w:pPr>
              <w:autoSpaceDE w:val="0"/>
              <w:autoSpaceDN w:val="0"/>
              <w:adjustRightInd w:val="0"/>
              <w:jc w:val="center"/>
              <w:rPr>
                <w:rFonts w:eastAsia="Arial-BoldItalicMT"/>
                <w:b/>
                <w:bCs/>
                <w:i/>
                <w:iCs/>
                <w:sz w:val="28"/>
                <w:szCs w:val="28"/>
                <w:lang w:val="ro-RO" w:eastAsia="en-US"/>
              </w:rPr>
            </w:pPr>
            <w:r w:rsidRPr="00DA7CA1">
              <w:rPr>
                <w:rFonts w:eastAsia="Arial-BoldItalicMT"/>
                <w:b/>
                <w:bCs/>
                <w:i/>
                <w:iCs/>
                <w:sz w:val="28"/>
                <w:szCs w:val="28"/>
                <w:lang w:val="ro-RO" w:eastAsia="en-US"/>
              </w:rPr>
              <w:t>8. Responsabilitate şi sancţiuni necorespunzătoare</w:t>
            </w:r>
          </w:p>
          <w:p w:rsidR="00DA7CA1" w:rsidRPr="00DA7CA1" w:rsidRDefault="00DA7CA1" w:rsidP="00532F6F">
            <w:pPr>
              <w:autoSpaceDE w:val="0"/>
              <w:autoSpaceDN w:val="0"/>
              <w:adjustRightInd w:val="0"/>
              <w:ind w:firstLine="753"/>
              <w:jc w:val="both"/>
              <w:rPr>
                <w:rFonts w:eastAsia="ArialMT"/>
                <w:sz w:val="28"/>
                <w:szCs w:val="28"/>
                <w:lang w:val="ro-RO" w:eastAsia="en-US"/>
              </w:rPr>
            </w:pPr>
            <w:r w:rsidRPr="00DA7CA1">
              <w:rPr>
                <w:rFonts w:eastAsia="ArialMT"/>
                <w:sz w:val="28"/>
                <w:szCs w:val="28"/>
                <w:lang w:val="ro-RO" w:eastAsia="en-US"/>
              </w:rPr>
              <w:t>Proiectul nu implică careva responsabilităţi şi nu necesită referinţe exprese la</w:t>
            </w:r>
            <w:r w:rsidR="00532F6F">
              <w:rPr>
                <w:rFonts w:eastAsia="ArialMT"/>
                <w:sz w:val="28"/>
                <w:szCs w:val="28"/>
                <w:lang w:val="ro-RO" w:eastAsia="en-US"/>
              </w:rPr>
              <w:t xml:space="preserve"> </w:t>
            </w:r>
            <w:r w:rsidRPr="00DA7CA1">
              <w:rPr>
                <w:rFonts w:eastAsia="ArialMT"/>
                <w:sz w:val="28"/>
                <w:szCs w:val="28"/>
                <w:lang w:val="ro-RO" w:eastAsia="en-US"/>
              </w:rPr>
              <w:t>responsabilitate şi sancţiunile aplicate pentru încălcarea prev</w:t>
            </w:r>
            <w:r>
              <w:rPr>
                <w:rFonts w:eastAsia="ArialMT"/>
                <w:sz w:val="28"/>
                <w:szCs w:val="28"/>
                <w:lang w:val="ro-RO" w:eastAsia="en-US"/>
              </w:rPr>
              <w:t xml:space="preserve">ederilor sale. </w:t>
            </w:r>
            <w:r w:rsidRPr="00DA7CA1">
              <w:rPr>
                <w:rFonts w:eastAsia="ArialMT"/>
                <w:sz w:val="28"/>
                <w:szCs w:val="28"/>
                <w:lang w:val="ro-RO" w:eastAsia="en-US"/>
              </w:rPr>
              <w:t>Expertiza a fost efectuată în temeiul Regulamentului cu privi</w:t>
            </w:r>
            <w:r>
              <w:rPr>
                <w:rFonts w:eastAsia="ArialMT"/>
                <w:sz w:val="28"/>
                <w:szCs w:val="28"/>
                <w:lang w:val="ro-RO" w:eastAsia="en-US"/>
              </w:rPr>
              <w:t xml:space="preserve">re la organizarea procesului de </w:t>
            </w:r>
            <w:r w:rsidRPr="00DA7CA1">
              <w:rPr>
                <w:rFonts w:eastAsia="ArialMT"/>
                <w:sz w:val="28"/>
                <w:szCs w:val="28"/>
                <w:lang w:val="ro-RO" w:eastAsia="en-US"/>
              </w:rPr>
              <w:t>efectuare a expertizei anticorupţie a proiectelor de acte legislative ş</w:t>
            </w:r>
            <w:r>
              <w:rPr>
                <w:rFonts w:eastAsia="ArialMT"/>
                <w:sz w:val="28"/>
                <w:szCs w:val="28"/>
                <w:lang w:val="ro-RO" w:eastAsia="en-US"/>
              </w:rPr>
              <w:t xml:space="preserve">i normative, adoptat prin </w:t>
            </w:r>
            <w:r w:rsidRPr="00DA7CA1">
              <w:rPr>
                <w:rFonts w:eastAsia="ArialMT"/>
                <w:sz w:val="28"/>
                <w:szCs w:val="28"/>
                <w:lang w:val="ro-RO" w:eastAsia="en-US"/>
              </w:rPr>
              <w:t>Hotărîrea Guvernului nr. 977 din 23.08.2006, în condiţi</w:t>
            </w:r>
            <w:r>
              <w:rPr>
                <w:rFonts w:eastAsia="ArialMT"/>
                <w:sz w:val="28"/>
                <w:szCs w:val="28"/>
                <w:lang w:val="ro-RO" w:eastAsia="en-US"/>
              </w:rPr>
              <w:t xml:space="preserve">ile Metodologiei de efectuare a </w:t>
            </w:r>
            <w:r w:rsidRPr="00DA7CA1">
              <w:rPr>
                <w:rFonts w:eastAsia="ArialMT"/>
                <w:sz w:val="28"/>
                <w:szCs w:val="28"/>
                <w:lang w:val="ro-RO" w:eastAsia="en-US"/>
              </w:rPr>
              <w:t>expertizei anticorupţie a proiectelor de acte legislative şi normative, aprobată</w:t>
            </w:r>
            <w:r>
              <w:rPr>
                <w:rFonts w:eastAsia="ArialMT"/>
                <w:sz w:val="28"/>
                <w:szCs w:val="28"/>
                <w:lang w:val="ro-RO" w:eastAsia="en-US"/>
              </w:rPr>
              <w:t xml:space="preserve"> prin ordinul </w:t>
            </w:r>
            <w:r w:rsidRPr="00DA7CA1">
              <w:rPr>
                <w:rFonts w:eastAsia="ArialMT"/>
                <w:sz w:val="28"/>
                <w:szCs w:val="28"/>
                <w:lang w:val="ro-RO" w:eastAsia="en-US"/>
              </w:rPr>
              <w:t>directorului Centrului Naţional Anticorupţie nr. 62 din 19.04.2013</w:t>
            </w:r>
            <w:r w:rsidR="00712E79">
              <w:rPr>
                <w:rFonts w:eastAsia="ArialMT"/>
                <w:sz w:val="28"/>
                <w:szCs w:val="28"/>
                <w:lang w:val="ro-RO" w:eastAsia="en-US"/>
              </w:rPr>
              <w:t xml:space="preserve">. </w:t>
            </w:r>
          </w:p>
        </w:tc>
        <w:tc>
          <w:tcPr>
            <w:tcW w:w="4217" w:type="dxa"/>
          </w:tcPr>
          <w:p w:rsidR="0097711F" w:rsidRDefault="0097711F"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8B18A9" w:rsidRDefault="008B18A9" w:rsidP="008B18A9">
            <w:pPr>
              <w:jc w:val="both"/>
              <w:rPr>
                <w:sz w:val="28"/>
                <w:szCs w:val="28"/>
                <w:lang w:val="ro-RO"/>
              </w:rPr>
            </w:pPr>
            <w:r w:rsidRPr="00DA7CA1">
              <w:rPr>
                <w:sz w:val="28"/>
                <w:szCs w:val="28"/>
                <w:lang w:val="ro-RO"/>
              </w:rPr>
              <w:t>Se acceptă</w:t>
            </w: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8B18A9" w:rsidRDefault="008B18A9" w:rsidP="008B18A9">
            <w:pPr>
              <w:jc w:val="both"/>
              <w:rPr>
                <w:sz w:val="28"/>
                <w:szCs w:val="28"/>
                <w:lang w:val="ro-RO"/>
              </w:rPr>
            </w:pPr>
            <w:r w:rsidRPr="00DA7CA1">
              <w:rPr>
                <w:sz w:val="28"/>
                <w:szCs w:val="28"/>
                <w:lang w:val="ro-RO"/>
              </w:rPr>
              <w:t>Se acceptă</w:t>
            </w: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6E23BE" w:rsidRDefault="006E23BE" w:rsidP="009742DE">
            <w:pPr>
              <w:jc w:val="center"/>
              <w:rPr>
                <w:sz w:val="28"/>
                <w:szCs w:val="28"/>
                <w:lang w:val="ro-RO"/>
              </w:rPr>
            </w:pPr>
          </w:p>
          <w:p w:rsidR="00CE64E8" w:rsidRDefault="00CE64E8" w:rsidP="009742DE">
            <w:pPr>
              <w:jc w:val="center"/>
              <w:rPr>
                <w:sz w:val="28"/>
                <w:szCs w:val="28"/>
                <w:lang w:val="ro-RO"/>
              </w:rPr>
            </w:pPr>
          </w:p>
          <w:p w:rsidR="00C70C8A" w:rsidRPr="008B18A9" w:rsidRDefault="006E23BE" w:rsidP="00C70C8A">
            <w:pPr>
              <w:jc w:val="both"/>
              <w:rPr>
                <w:sz w:val="28"/>
                <w:szCs w:val="28"/>
                <w:lang w:val="ro-RO"/>
              </w:rPr>
            </w:pPr>
            <w:r w:rsidRPr="008B18A9">
              <w:rPr>
                <w:sz w:val="28"/>
                <w:szCs w:val="28"/>
                <w:lang w:val="ro-RO"/>
              </w:rPr>
              <w:t xml:space="preserve">Nu se acceptă. </w:t>
            </w:r>
          </w:p>
          <w:p w:rsidR="006E23BE" w:rsidRPr="008B18A9" w:rsidRDefault="00C70C8A" w:rsidP="00C70C8A">
            <w:pPr>
              <w:jc w:val="both"/>
              <w:rPr>
                <w:sz w:val="28"/>
                <w:szCs w:val="28"/>
                <w:lang w:val="ro-RO"/>
              </w:rPr>
            </w:pPr>
            <w:r w:rsidRPr="008B18A9">
              <w:rPr>
                <w:sz w:val="28"/>
                <w:szCs w:val="28"/>
                <w:lang w:val="ro-RO"/>
              </w:rPr>
              <w:t xml:space="preserve">Deoarece </w:t>
            </w:r>
            <w:r w:rsidR="001C01CD" w:rsidRPr="008B18A9">
              <w:rPr>
                <w:sz w:val="28"/>
                <w:szCs w:val="28"/>
                <w:lang w:val="ro-RO"/>
              </w:rPr>
              <w:t>s</w:t>
            </w:r>
            <w:r w:rsidRPr="008B18A9">
              <w:rPr>
                <w:sz w:val="28"/>
                <w:szCs w:val="28"/>
                <w:lang w:val="ro-RO"/>
              </w:rPr>
              <w:t xml:space="preserve">tatul este </w:t>
            </w:r>
            <w:r w:rsidR="00021378" w:rsidRPr="008B18A9">
              <w:rPr>
                <w:sz w:val="28"/>
                <w:szCs w:val="28"/>
                <w:lang w:val="ro-RO"/>
              </w:rPr>
              <w:t>deținătorul</w:t>
            </w:r>
            <w:r w:rsidRPr="008B18A9">
              <w:rPr>
                <w:sz w:val="28"/>
                <w:szCs w:val="28"/>
                <w:lang w:val="ro-RO"/>
              </w:rPr>
              <w:t xml:space="preserve"> </w:t>
            </w:r>
            <w:r w:rsidR="00021378" w:rsidRPr="008B18A9">
              <w:rPr>
                <w:sz w:val="28"/>
                <w:szCs w:val="28"/>
                <w:lang w:val="ro-RO"/>
              </w:rPr>
              <w:t xml:space="preserve">a </w:t>
            </w:r>
            <w:r w:rsidRPr="008B18A9">
              <w:rPr>
                <w:sz w:val="28"/>
                <w:szCs w:val="28"/>
                <w:lang w:val="ro-RO"/>
              </w:rPr>
              <w:t xml:space="preserve">100% </w:t>
            </w:r>
            <w:r w:rsidR="001C01CD" w:rsidRPr="008B18A9">
              <w:rPr>
                <w:sz w:val="28"/>
                <w:szCs w:val="28"/>
                <w:lang w:val="ro-RO"/>
              </w:rPr>
              <w:t xml:space="preserve">de </w:t>
            </w:r>
            <w:r w:rsidR="008B18A9" w:rsidRPr="008B18A9">
              <w:rPr>
                <w:sz w:val="28"/>
                <w:szCs w:val="28"/>
                <w:lang w:val="ro-RO"/>
              </w:rPr>
              <w:t>acț</w:t>
            </w:r>
            <w:r w:rsidRPr="008B18A9">
              <w:rPr>
                <w:sz w:val="28"/>
                <w:szCs w:val="28"/>
                <w:lang w:val="ro-RO"/>
              </w:rPr>
              <w:t>i</w:t>
            </w:r>
            <w:r w:rsidR="008B18A9" w:rsidRPr="008B18A9">
              <w:rPr>
                <w:sz w:val="28"/>
                <w:szCs w:val="28"/>
                <w:lang w:val="ro-RO"/>
              </w:rPr>
              <w:t>u</w:t>
            </w:r>
            <w:r w:rsidR="00021378" w:rsidRPr="008B18A9">
              <w:rPr>
                <w:sz w:val="28"/>
                <w:szCs w:val="28"/>
                <w:lang w:val="ro-RO"/>
              </w:rPr>
              <w:t>ni a</w:t>
            </w:r>
            <w:r w:rsidR="001C01CD" w:rsidRPr="008B18A9">
              <w:rPr>
                <w:sz w:val="28"/>
                <w:szCs w:val="28"/>
                <w:lang w:val="ro-RO"/>
              </w:rPr>
              <w:t>le</w:t>
            </w:r>
            <w:r w:rsidRPr="008B18A9">
              <w:rPr>
                <w:sz w:val="28"/>
                <w:szCs w:val="28"/>
                <w:lang w:val="ro-RO"/>
              </w:rPr>
              <w:t xml:space="preserve"> în</w:t>
            </w:r>
            <w:r w:rsidR="006E23BE" w:rsidRPr="008B18A9">
              <w:rPr>
                <w:sz w:val="28"/>
                <w:szCs w:val="28"/>
                <w:lang w:val="ro-RO"/>
              </w:rPr>
              <w:t>treprind</w:t>
            </w:r>
            <w:r w:rsidR="00021378" w:rsidRPr="008B18A9">
              <w:rPr>
                <w:sz w:val="28"/>
                <w:szCs w:val="28"/>
                <w:lang w:val="ro-RO"/>
              </w:rPr>
              <w:t>erilor</w:t>
            </w:r>
            <w:r w:rsidRPr="008B18A9">
              <w:rPr>
                <w:sz w:val="28"/>
                <w:szCs w:val="28"/>
                <w:lang w:val="ro-RO"/>
              </w:rPr>
              <w:t xml:space="preserve"> menționate, și, în consecință </w:t>
            </w:r>
            <w:r w:rsidR="00021378" w:rsidRPr="008B18A9">
              <w:rPr>
                <w:sz w:val="28"/>
                <w:szCs w:val="28"/>
                <w:lang w:val="ro-RO"/>
              </w:rPr>
              <w:t xml:space="preserve">nu este </w:t>
            </w:r>
            <w:r w:rsidRPr="008B18A9">
              <w:rPr>
                <w:sz w:val="28"/>
                <w:szCs w:val="28"/>
                <w:lang w:val="ro-RO"/>
              </w:rPr>
              <w:t>nici un risc de nerambursare a datoriilor</w:t>
            </w:r>
            <w:r w:rsidR="00021378" w:rsidRPr="008B18A9">
              <w:rPr>
                <w:sz w:val="28"/>
                <w:szCs w:val="28"/>
                <w:lang w:val="ro-RO"/>
              </w:rPr>
              <w:t>.</w:t>
            </w:r>
          </w:p>
          <w:p w:rsidR="00C12359" w:rsidRPr="001C01CD" w:rsidRDefault="00C12359" w:rsidP="00C70C8A">
            <w:pPr>
              <w:jc w:val="both"/>
              <w:rPr>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C12359" w:rsidRDefault="00C12359" w:rsidP="00C70C8A">
            <w:pPr>
              <w:jc w:val="both"/>
              <w:rPr>
                <w:sz w:val="28"/>
                <w:szCs w:val="28"/>
                <w:lang w:val="ro-RO"/>
              </w:rPr>
            </w:pPr>
          </w:p>
          <w:p w:rsidR="001C01CD" w:rsidRDefault="001C01CD" w:rsidP="00C70C8A">
            <w:pPr>
              <w:jc w:val="both"/>
              <w:rPr>
                <w:sz w:val="28"/>
                <w:szCs w:val="28"/>
                <w:lang w:val="ro-RO"/>
              </w:rPr>
            </w:pPr>
          </w:p>
          <w:p w:rsidR="00CE64E8" w:rsidRDefault="00CE64E8" w:rsidP="00C70C8A">
            <w:pPr>
              <w:jc w:val="both"/>
              <w:rPr>
                <w:sz w:val="28"/>
                <w:szCs w:val="28"/>
                <w:lang w:val="ro-RO"/>
              </w:rPr>
            </w:pPr>
          </w:p>
          <w:p w:rsidR="00532F6F" w:rsidRDefault="00532F6F" w:rsidP="00C70C8A">
            <w:pPr>
              <w:jc w:val="both"/>
              <w:rPr>
                <w:sz w:val="28"/>
                <w:szCs w:val="28"/>
                <w:lang w:val="ro-RO"/>
              </w:rPr>
            </w:pPr>
          </w:p>
          <w:p w:rsidR="008B18A9" w:rsidRPr="008B18A9" w:rsidRDefault="008B18A9" w:rsidP="008B18A9">
            <w:pPr>
              <w:jc w:val="both"/>
              <w:rPr>
                <w:sz w:val="28"/>
                <w:szCs w:val="28"/>
                <w:lang w:val="ro-RO"/>
              </w:rPr>
            </w:pPr>
            <w:r w:rsidRPr="008B18A9">
              <w:rPr>
                <w:sz w:val="28"/>
                <w:szCs w:val="28"/>
                <w:lang w:val="ro-RO"/>
              </w:rPr>
              <w:t xml:space="preserve">Nu se acceptă. </w:t>
            </w:r>
          </w:p>
          <w:p w:rsidR="008B18A9" w:rsidRPr="008B18A9" w:rsidRDefault="008B18A9" w:rsidP="008B18A9">
            <w:pPr>
              <w:jc w:val="both"/>
              <w:rPr>
                <w:sz w:val="28"/>
                <w:szCs w:val="28"/>
                <w:lang w:val="ro-RO"/>
              </w:rPr>
            </w:pPr>
            <w:r w:rsidRPr="008B18A9">
              <w:rPr>
                <w:sz w:val="28"/>
                <w:szCs w:val="28"/>
                <w:lang w:val="ro-RO"/>
              </w:rPr>
              <w:t>Deoarece statul este deținătorul a 100% de acțiuni ale întreprinderilor menționate, și, în consecință nu este nici un risc de nerambursare a datoriilor.</w:t>
            </w:r>
          </w:p>
          <w:p w:rsidR="00C12359" w:rsidRDefault="001C01CD" w:rsidP="001C01CD">
            <w:pPr>
              <w:jc w:val="both"/>
              <w:rPr>
                <w:lang w:val="ro-RO"/>
              </w:rPr>
            </w:pPr>
            <w:r w:rsidRPr="001C01CD">
              <w:rPr>
                <w:lang w:val="ro-RO"/>
              </w:rPr>
              <w:t xml:space="preserve">Nu se acceptă. </w:t>
            </w:r>
            <w:proofErr w:type="spellStart"/>
            <w:r w:rsidR="00C705E0" w:rsidRPr="001C01CD">
              <w:rPr>
                <w:lang w:val="en-US"/>
              </w:rPr>
              <w:t>În</w:t>
            </w:r>
            <w:proofErr w:type="spellEnd"/>
            <w:r w:rsidR="00C705E0" w:rsidRPr="001C01CD">
              <w:rPr>
                <w:lang w:val="en-US"/>
              </w:rPr>
              <w:t xml:space="preserve"> </w:t>
            </w:r>
            <w:proofErr w:type="spellStart"/>
            <w:r w:rsidR="00C705E0" w:rsidRPr="001C01CD">
              <w:rPr>
                <w:lang w:val="en-US"/>
              </w:rPr>
              <w:t>conformitate</w:t>
            </w:r>
            <w:proofErr w:type="spellEnd"/>
            <w:r w:rsidR="00C705E0" w:rsidRPr="001C01CD">
              <w:rPr>
                <w:lang w:val="en-US"/>
              </w:rPr>
              <w:t xml:space="preserve"> cu </w:t>
            </w:r>
            <w:proofErr w:type="spellStart"/>
            <w:r w:rsidR="00C705E0" w:rsidRPr="001C01CD">
              <w:rPr>
                <w:lang w:val="en-US"/>
              </w:rPr>
              <w:t>Hotărîr</w:t>
            </w:r>
            <w:proofErr w:type="spellEnd"/>
            <w:r>
              <w:rPr>
                <w:lang w:val="ro-RO"/>
              </w:rPr>
              <w:t>ea</w:t>
            </w:r>
            <w:r w:rsidR="00C705E0" w:rsidRPr="001C01CD">
              <w:rPr>
                <w:lang w:val="en-US"/>
              </w:rPr>
              <w:t xml:space="preserve"> </w:t>
            </w:r>
            <w:proofErr w:type="spellStart"/>
            <w:r w:rsidR="00C705E0" w:rsidRPr="001C01CD">
              <w:rPr>
                <w:lang w:val="en-US"/>
              </w:rPr>
              <w:t>Guvernului</w:t>
            </w:r>
            <w:proofErr w:type="spellEnd"/>
            <w:r w:rsidR="00C705E0" w:rsidRPr="001C01CD">
              <w:rPr>
                <w:lang w:val="en-US"/>
              </w:rPr>
              <w:t xml:space="preserve"> nr. 690 din 13.11.2009 </w:t>
            </w:r>
            <w:proofErr w:type="spellStart"/>
            <w:r w:rsidR="00C705E0" w:rsidRPr="001C01CD">
              <w:rPr>
                <w:i/>
                <w:lang w:val="en-US"/>
              </w:rPr>
              <w:t>pentru</w:t>
            </w:r>
            <w:proofErr w:type="spellEnd"/>
            <w:r w:rsidR="00C705E0" w:rsidRPr="001C01CD">
              <w:rPr>
                <w:i/>
                <w:lang w:val="en-US"/>
              </w:rPr>
              <w:t xml:space="preserve"> </w:t>
            </w:r>
            <w:proofErr w:type="spellStart"/>
            <w:r w:rsidR="00C705E0" w:rsidRPr="001C01CD">
              <w:rPr>
                <w:i/>
                <w:lang w:val="en-US"/>
              </w:rPr>
              <w:t>aprobarea</w:t>
            </w:r>
            <w:proofErr w:type="spellEnd"/>
            <w:r w:rsidR="00C705E0" w:rsidRPr="001C01CD">
              <w:rPr>
                <w:i/>
                <w:lang w:val="en-US"/>
              </w:rPr>
              <w:t xml:space="preserve"> </w:t>
            </w:r>
            <w:proofErr w:type="spellStart"/>
            <w:r w:rsidR="00C705E0" w:rsidRPr="001C01CD">
              <w:rPr>
                <w:i/>
                <w:lang w:val="en-US"/>
              </w:rPr>
              <w:t>Regulamentului</w:t>
            </w:r>
            <w:proofErr w:type="spellEnd"/>
            <w:r w:rsidR="00C705E0" w:rsidRPr="001C01CD">
              <w:rPr>
                <w:i/>
                <w:lang w:val="en-US"/>
              </w:rPr>
              <w:t xml:space="preserve"> </w:t>
            </w:r>
            <w:proofErr w:type="spellStart"/>
            <w:r w:rsidR="00C705E0" w:rsidRPr="001C01CD">
              <w:rPr>
                <w:i/>
                <w:lang w:val="en-US"/>
              </w:rPr>
              <w:t>privind</w:t>
            </w:r>
            <w:proofErr w:type="spellEnd"/>
            <w:r w:rsidR="00C705E0" w:rsidRPr="001C01CD">
              <w:rPr>
                <w:i/>
                <w:lang w:val="en-US"/>
              </w:rPr>
              <w:t xml:space="preserve"> </w:t>
            </w:r>
            <w:proofErr w:type="spellStart"/>
            <w:r w:rsidR="00C705E0" w:rsidRPr="001C01CD">
              <w:rPr>
                <w:i/>
                <w:lang w:val="en-US"/>
              </w:rPr>
              <w:t>organizarea</w:t>
            </w:r>
            <w:proofErr w:type="spellEnd"/>
            <w:r w:rsidR="00C705E0" w:rsidRPr="001C01CD">
              <w:rPr>
                <w:i/>
                <w:lang w:val="en-US"/>
              </w:rPr>
              <w:t xml:space="preserve"> </w:t>
            </w:r>
            <w:proofErr w:type="spellStart"/>
            <w:r w:rsidR="00C705E0" w:rsidRPr="001C01CD">
              <w:rPr>
                <w:i/>
                <w:lang w:val="en-US"/>
              </w:rPr>
              <w:t>şi</w:t>
            </w:r>
            <w:proofErr w:type="spellEnd"/>
            <w:r w:rsidR="00C705E0" w:rsidRPr="001C01CD">
              <w:rPr>
                <w:i/>
                <w:lang w:val="en-US"/>
              </w:rPr>
              <w:t xml:space="preserve"> </w:t>
            </w:r>
            <w:proofErr w:type="spellStart"/>
            <w:r w:rsidR="00C705E0" w:rsidRPr="001C01CD">
              <w:rPr>
                <w:i/>
                <w:lang w:val="en-US"/>
              </w:rPr>
              <w:t>funcţionarea</w:t>
            </w:r>
            <w:proofErr w:type="spellEnd"/>
            <w:r w:rsidR="00C705E0" w:rsidRPr="001C01CD">
              <w:rPr>
                <w:i/>
                <w:lang w:val="en-US"/>
              </w:rPr>
              <w:t xml:space="preserve"> </w:t>
            </w:r>
            <w:proofErr w:type="spellStart"/>
            <w:r w:rsidR="00C705E0" w:rsidRPr="001C01CD">
              <w:rPr>
                <w:i/>
                <w:lang w:val="en-US"/>
              </w:rPr>
              <w:t>Ministerului</w:t>
            </w:r>
            <w:proofErr w:type="spellEnd"/>
            <w:r w:rsidR="00C705E0" w:rsidRPr="001C01CD">
              <w:rPr>
                <w:i/>
                <w:lang w:val="en-US"/>
              </w:rPr>
              <w:t xml:space="preserve"> </w:t>
            </w:r>
            <w:proofErr w:type="spellStart"/>
            <w:r w:rsidR="00C705E0" w:rsidRPr="001C01CD">
              <w:rPr>
                <w:i/>
                <w:lang w:val="en-US"/>
              </w:rPr>
              <w:t>Economiei</w:t>
            </w:r>
            <w:proofErr w:type="spellEnd"/>
            <w:r w:rsidR="00C705E0" w:rsidRPr="001C01CD">
              <w:rPr>
                <w:i/>
                <w:lang w:val="en-US"/>
              </w:rPr>
              <w:t xml:space="preserve">, </w:t>
            </w:r>
            <w:proofErr w:type="spellStart"/>
            <w:r w:rsidR="00C705E0" w:rsidRPr="001C01CD">
              <w:rPr>
                <w:i/>
                <w:lang w:val="en-US"/>
              </w:rPr>
              <w:t>structurii</w:t>
            </w:r>
            <w:proofErr w:type="spellEnd"/>
            <w:r w:rsidR="00C705E0" w:rsidRPr="001C01CD">
              <w:rPr>
                <w:i/>
                <w:lang w:val="en-US"/>
              </w:rPr>
              <w:t xml:space="preserve"> </w:t>
            </w:r>
            <w:proofErr w:type="spellStart"/>
            <w:r w:rsidR="00C705E0" w:rsidRPr="001C01CD">
              <w:rPr>
                <w:i/>
                <w:lang w:val="en-US"/>
              </w:rPr>
              <w:t>şi</w:t>
            </w:r>
            <w:proofErr w:type="spellEnd"/>
            <w:r w:rsidR="00C705E0" w:rsidRPr="001C01CD">
              <w:rPr>
                <w:i/>
                <w:lang w:val="en-US"/>
              </w:rPr>
              <w:t xml:space="preserve"> </w:t>
            </w:r>
            <w:proofErr w:type="spellStart"/>
            <w:r w:rsidR="00C705E0" w:rsidRPr="001C01CD">
              <w:rPr>
                <w:i/>
                <w:lang w:val="en-US"/>
              </w:rPr>
              <w:t>efectivului-limită</w:t>
            </w:r>
            <w:proofErr w:type="spellEnd"/>
            <w:r w:rsidR="00C705E0" w:rsidRPr="001C01CD">
              <w:rPr>
                <w:i/>
                <w:lang w:val="en-US"/>
              </w:rPr>
              <w:t xml:space="preserve"> ale </w:t>
            </w:r>
            <w:proofErr w:type="spellStart"/>
            <w:r w:rsidR="00C705E0" w:rsidRPr="001C01CD">
              <w:rPr>
                <w:i/>
                <w:lang w:val="en-US"/>
              </w:rPr>
              <w:t>aparatului</w:t>
            </w:r>
            <w:proofErr w:type="spellEnd"/>
            <w:r w:rsidR="00C705E0" w:rsidRPr="001C01CD">
              <w:rPr>
                <w:i/>
                <w:lang w:val="en-US"/>
              </w:rPr>
              <w:t xml:space="preserve"> central al </w:t>
            </w:r>
            <w:proofErr w:type="spellStart"/>
            <w:r w:rsidR="00C705E0" w:rsidRPr="001C01CD">
              <w:rPr>
                <w:i/>
                <w:lang w:val="en-US"/>
              </w:rPr>
              <w:t>acestuia</w:t>
            </w:r>
            <w:proofErr w:type="spellEnd"/>
            <w:r w:rsidR="00C705E0" w:rsidRPr="001C01CD">
              <w:rPr>
                <w:i/>
                <w:lang w:val="en-US"/>
              </w:rPr>
              <w:t>,</w:t>
            </w:r>
            <w:r w:rsidR="00C705E0" w:rsidRPr="001C01CD">
              <w:rPr>
                <w:lang w:val="en-US"/>
              </w:rPr>
              <w:t xml:space="preserve"> </w:t>
            </w:r>
            <w:proofErr w:type="spellStart"/>
            <w:r w:rsidR="00C705E0" w:rsidRPr="001C01CD">
              <w:rPr>
                <w:lang w:val="en-US"/>
              </w:rPr>
              <w:t>în</w:t>
            </w:r>
            <w:proofErr w:type="spellEnd"/>
            <w:r w:rsidR="00C705E0" w:rsidRPr="001C01CD">
              <w:rPr>
                <w:lang w:val="en-US"/>
              </w:rPr>
              <w:t xml:space="preserve"> </w:t>
            </w:r>
            <w:proofErr w:type="spellStart"/>
            <w:r w:rsidR="00C705E0" w:rsidRPr="001C01CD">
              <w:rPr>
                <w:lang w:val="en-US"/>
              </w:rPr>
              <w:t>atribuțiile</w:t>
            </w:r>
            <w:proofErr w:type="spellEnd"/>
            <w:r w:rsidR="00C705E0" w:rsidRPr="001C01CD">
              <w:rPr>
                <w:lang w:val="en-US"/>
              </w:rPr>
              <w:t xml:space="preserve"> </w:t>
            </w:r>
            <w:proofErr w:type="spellStart"/>
            <w:r w:rsidR="00C705E0" w:rsidRPr="001C01CD">
              <w:rPr>
                <w:lang w:val="en-US"/>
              </w:rPr>
              <w:t>ministerului</w:t>
            </w:r>
            <w:proofErr w:type="spellEnd"/>
            <w:r w:rsidR="00C705E0" w:rsidRPr="001C01CD">
              <w:rPr>
                <w:lang w:val="en-US"/>
              </w:rPr>
              <w:t xml:space="preserve"> </w:t>
            </w:r>
            <w:proofErr w:type="spellStart"/>
            <w:r w:rsidR="00C705E0" w:rsidRPr="001C01CD">
              <w:rPr>
                <w:lang w:val="en-US"/>
              </w:rPr>
              <w:t>intră</w:t>
            </w:r>
            <w:proofErr w:type="spellEnd"/>
            <w:r w:rsidR="00C705E0" w:rsidRPr="001C01CD">
              <w:rPr>
                <w:lang w:val="en-US"/>
              </w:rPr>
              <w:t xml:space="preserve"> </w:t>
            </w:r>
            <w:proofErr w:type="spellStart"/>
            <w:r w:rsidR="00C705E0" w:rsidRPr="001C01CD">
              <w:rPr>
                <w:lang w:val="en-US"/>
              </w:rPr>
              <w:t>asigurarea</w:t>
            </w:r>
            <w:proofErr w:type="spellEnd"/>
            <w:r w:rsidR="00C705E0" w:rsidRPr="003C660B">
              <w:rPr>
                <w:lang w:val="en-US"/>
              </w:rPr>
              <w:t xml:space="preserve"> </w:t>
            </w:r>
            <w:proofErr w:type="spellStart"/>
            <w:r w:rsidR="00C705E0" w:rsidRPr="003C660B">
              <w:rPr>
                <w:lang w:val="en-US"/>
              </w:rPr>
              <w:t>securit</w:t>
            </w:r>
            <w:r w:rsidR="00C705E0" w:rsidRPr="001C01CD">
              <w:rPr>
                <w:lang w:val="en-US"/>
              </w:rPr>
              <w:t>ății</w:t>
            </w:r>
            <w:proofErr w:type="spellEnd"/>
            <w:r w:rsidR="00D451BE">
              <w:rPr>
                <w:lang w:val="en-US"/>
              </w:rPr>
              <w:t xml:space="preserve"> </w:t>
            </w:r>
            <w:proofErr w:type="spellStart"/>
            <w:r w:rsidR="00D451BE">
              <w:rPr>
                <w:lang w:val="en-US"/>
              </w:rPr>
              <w:t>energetice</w:t>
            </w:r>
            <w:proofErr w:type="spellEnd"/>
            <w:r w:rsidR="00C705E0" w:rsidRPr="003C660B">
              <w:rPr>
                <w:lang w:val="en-US"/>
              </w:rPr>
              <w:t xml:space="preserve"> a </w:t>
            </w:r>
            <w:proofErr w:type="spellStart"/>
            <w:r w:rsidR="00C705E0" w:rsidRPr="003C660B">
              <w:rPr>
                <w:lang w:val="en-US"/>
              </w:rPr>
              <w:t>statului</w:t>
            </w:r>
            <w:proofErr w:type="spellEnd"/>
            <w:r w:rsidR="00C705E0" w:rsidRPr="001C01CD">
              <w:rPr>
                <w:lang w:val="en-US"/>
              </w:rPr>
              <w:t>.</w:t>
            </w:r>
            <w:r w:rsidR="00C705E0" w:rsidRPr="001C01CD">
              <w:rPr>
                <w:lang w:val="ro-RO"/>
              </w:rPr>
              <w:t xml:space="preserve"> Respectiv, a</w:t>
            </w:r>
            <w:r w:rsidR="00C12359" w:rsidRPr="001C01CD">
              <w:rPr>
                <w:lang w:val="ro-RO"/>
              </w:rPr>
              <w:t xml:space="preserve">cțiunile întreprinse de către Ministerul Economiei </w:t>
            </w:r>
            <w:r w:rsidR="00C705E0" w:rsidRPr="001C01CD">
              <w:rPr>
                <w:lang w:val="ro-RO"/>
              </w:rPr>
              <w:t xml:space="preserve">prin elaborarea </w:t>
            </w:r>
            <w:proofErr w:type="spellStart"/>
            <w:r w:rsidR="00C705E0" w:rsidRPr="001C01CD">
              <w:rPr>
                <w:i/>
                <w:lang w:val="en-US"/>
              </w:rPr>
              <w:t>Hotărîr</w:t>
            </w:r>
            <w:proofErr w:type="spellEnd"/>
            <w:r w:rsidR="00C705E0" w:rsidRPr="001C01CD">
              <w:rPr>
                <w:i/>
                <w:lang w:val="ro-RO"/>
              </w:rPr>
              <w:t>ii</w:t>
            </w:r>
            <w:r w:rsidR="00C705E0" w:rsidRPr="001C01CD">
              <w:rPr>
                <w:i/>
                <w:lang w:val="en-US"/>
              </w:rPr>
              <w:t xml:space="preserve"> </w:t>
            </w:r>
            <w:proofErr w:type="spellStart"/>
            <w:r w:rsidR="00C705E0" w:rsidRPr="001C01CD">
              <w:rPr>
                <w:i/>
                <w:lang w:val="en-US"/>
              </w:rPr>
              <w:t>Guvernului</w:t>
            </w:r>
            <w:proofErr w:type="spellEnd"/>
            <w:r w:rsidR="00C705E0" w:rsidRPr="001C01CD">
              <w:rPr>
                <w:i/>
                <w:lang w:val="en-US"/>
              </w:rPr>
              <w:t xml:space="preserve"> c</w:t>
            </w:r>
            <w:r w:rsidR="00C705E0" w:rsidRPr="001C01CD">
              <w:rPr>
                <w:i/>
                <w:lang w:val="ro-RO"/>
              </w:rPr>
              <w:t>u privire la modificarea Hotărîrii Guvernului nr.20 din 20 ianuarie 2009</w:t>
            </w:r>
            <w:r w:rsidR="00C705E0" w:rsidRPr="001C01CD">
              <w:rPr>
                <w:lang w:val="ro-RO"/>
              </w:rPr>
              <w:t xml:space="preserve"> </w:t>
            </w:r>
            <w:r w:rsidR="00C12359" w:rsidRPr="001C01CD">
              <w:rPr>
                <w:lang w:val="ro-RO"/>
              </w:rPr>
              <w:t>au drept scop asigurarea securității energetice</w:t>
            </w:r>
            <w:r w:rsidR="00C705E0" w:rsidRPr="001C01CD">
              <w:rPr>
                <w:lang w:val="ro-RO"/>
              </w:rPr>
              <w:t>.</w:t>
            </w:r>
          </w:p>
          <w:p w:rsidR="008B18A9" w:rsidRDefault="008B18A9" w:rsidP="001C01CD">
            <w:pPr>
              <w:jc w:val="both"/>
              <w:rPr>
                <w:lang w:val="ro-RO"/>
              </w:rPr>
            </w:pPr>
          </w:p>
          <w:p w:rsidR="008B18A9" w:rsidRDefault="008B18A9" w:rsidP="001C01CD">
            <w:pPr>
              <w:jc w:val="both"/>
              <w:rPr>
                <w:sz w:val="28"/>
                <w:szCs w:val="28"/>
                <w:lang w:val="ro-RO"/>
              </w:rPr>
            </w:pPr>
            <w:r w:rsidRPr="00DA7CA1">
              <w:rPr>
                <w:sz w:val="28"/>
                <w:szCs w:val="28"/>
                <w:lang w:val="ro-RO"/>
              </w:rPr>
              <w:t>Se acceptă</w:t>
            </w:r>
          </w:p>
          <w:p w:rsidR="008B18A9" w:rsidRDefault="008B18A9" w:rsidP="001C01CD">
            <w:pPr>
              <w:jc w:val="both"/>
              <w:rPr>
                <w:sz w:val="28"/>
                <w:szCs w:val="28"/>
                <w:lang w:val="ro-RO"/>
              </w:rPr>
            </w:pPr>
          </w:p>
          <w:p w:rsidR="008B18A9" w:rsidRDefault="008B18A9" w:rsidP="001C01CD">
            <w:pPr>
              <w:jc w:val="both"/>
              <w:rPr>
                <w:sz w:val="28"/>
                <w:szCs w:val="28"/>
                <w:lang w:val="ro-RO"/>
              </w:rPr>
            </w:pPr>
          </w:p>
          <w:p w:rsidR="00CE64E8" w:rsidRDefault="00CE64E8" w:rsidP="001C01CD">
            <w:pPr>
              <w:jc w:val="both"/>
              <w:rPr>
                <w:sz w:val="28"/>
                <w:szCs w:val="28"/>
                <w:lang w:val="ro-RO"/>
              </w:rPr>
            </w:pPr>
          </w:p>
          <w:p w:rsidR="008B18A9" w:rsidRDefault="008B18A9" w:rsidP="008B18A9">
            <w:pPr>
              <w:jc w:val="both"/>
              <w:rPr>
                <w:sz w:val="28"/>
                <w:szCs w:val="28"/>
                <w:lang w:val="ro-RO"/>
              </w:rPr>
            </w:pPr>
            <w:r w:rsidRPr="00DA7CA1">
              <w:rPr>
                <w:sz w:val="28"/>
                <w:szCs w:val="28"/>
                <w:lang w:val="ro-RO"/>
              </w:rPr>
              <w:t>Se acceptă</w:t>
            </w:r>
          </w:p>
          <w:p w:rsidR="008B18A9" w:rsidRDefault="008B18A9" w:rsidP="001C01CD">
            <w:pPr>
              <w:jc w:val="both"/>
              <w:rPr>
                <w:sz w:val="28"/>
                <w:szCs w:val="28"/>
                <w:lang w:val="ro-RO"/>
              </w:rPr>
            </w:pPr>
          </w:p>
          <w:p w:rsidR="008B18A9" w:rsidRDefault="008B18A9" w:rsidP="001C01CD">
            <w:pPr>
              <w:jc w:val="both"/>
              <w:rPr>
                <w:sz w:val="28"/>
                <w:szCs w:val="28"/>
                <w:lang w:val="ro-RO"/>
              </w:rPr>
            </w:pPr>
          </w:p>
          <w:p w:rsidR="008B18A9" w:rsidRDefault="008B18A9" w:rsidP="001C01CD">
            <w:pPr>
              <w:jc w:val="both"/>
              <w:rPr>
                <w:sz w:val="28"/>
                <w:szCs w:val="28"/>
                <w:lang w:val="ro-RO"/>
              </w:rPr>
            </w:pPr>
          </w:p>
          <w:p w:rsidR="008B18A9" w:rsidRDefault="008B18A9" w:rsidP="001C01CD">
            <w:pPr>
              <w:jc w:val="both"/>
              <w:rPr>
                <w:sz w:val="28"/>
                <w:szCs w:val="28"/>
                <w:lang w:val="ro-RO"/>
              </w:rPr>
            </w:pPr>
          </w:p>
          <w:p w:rsidR="00532F6F" w:rsidRDefault="00532F6F" w:rsidP="001C01CD">
            <w:pPr>
              <w:jc w:val="both"/>
              <w:rPr>
                <w:sz w:val="28"/>
                <w:szCs w:val="28"/>
                <w:lang w:val="ro-RO"/>
              </w:rPr>
            </w:pPr>
          </w:p>
          <w:p w:rsidR="008B18A9" w:rsidRDefault="008B18A9" w:rsidP="001C01CD">
            <w:pPr>
              <w:jc w:val="both"/>
              <w:rPr>
                <w:sz w:val="28"/>
                <w:szCs w:val="28"/>
                <w:lang w:val="ro-RO"/>
              </w:rPr>
            </w:pPr>
            <w:r w:rsidRPr="00DA7CA1">
              <w:rPr>
                <w:sz w:val="28"/>
                <w:szCs w:val="28"/>
                <w:lang w:val="ro-RO"/>
              </w:rPr>
              <w:t>Se acceptă</w:t>
            </w:r>
          </w:p>
          <w:p w:rsidR="008B18A9" w:rsidRDefault="008B18A9" w:rsidP="001C01CD">
            <w:pPr>
              <w:jc w:val="both"/>
              <w:rPr>
                <w:sz w:val="28"/>
                <w:szCs w:val="28"/>
                <w:lang w:val="ro-RO"/>
              </w:rPr>
            </w:pPr>
          </w:p>
          <w:p w:rsidR="008B18A9" w:rsidRDefault="008B18A9" w:rsidP="001C01CD">
            <w:pPr>
              <w:jc w:val="both"/>
              <w:rPr>
                <w:sz w:val="28"/>
                <w:szCs w:val="28"/>
                <w:lang w:val="ro-RO"/>
              </w:rPr>
            </w:pPr>
          </w:p>
          <w:p w:rsidR="008B18A9" w:rsidRDefault="008B18A9" w:rsidP="001C01CD">
            <w:pPr>
              <w:jc w:val="both"/>
              <w:rPr>
                <w:sz w:val="28"/>
                <w:szCs w:val="28"/>
                <w:lang w:val="ro-RO"/>
              </w:rPr>
            </w:pPr>
            <w:r w:rsidRPr="00DA7CA1">
              <w:rPr>
                <w:sz w:val="28"/>
                <w:szCs w:val="28"/>
                <w:lang w:val="ro-RO"/>
              </w:rPr>
              <w:t>Se acceptă</w:t>
            </w:r>
          </w:p>
          <w:p w:rsidR="008B18A9" w:rsidRDefault="008B18A9" w:rsidP="001C01CD">
            <w:pPr>
              <w:jc w:val="both"/>
              <w:rPr>
                <w:sz w:val="28"/>
                <w:szCs w:val="28"/>
                <w:lang w:val="ro-RO"/>
              </w:rPr>
            </w:pPr>
          </w:p>
          <w:p w:rsidR="008B18A9" w:rsidRDefault="008B18A9" w:rsidP="001C01CD">
            <w:pPr>
              <w:jc w:val="both"/>
              <w:rPr>
                <w:sz w:val="28"/>
                <w:szCs w:val="28"/>
                <w:lang w:val="ro-RO"/>
              </w:rPr>
            </w:pPr>
          </w:p>
          <w:p w:rsidR="008B18A9" w:rsidRDefault="008B18A9" w:rsidP="001C01CD">
            <w:pPr>
              <w:jc w:val="both"/>
              <w:rPr>
                <w:sz w:val="28"/>
                <w:szCs w:val="28"/>
                <w:lang w:val="ro-RO"/>
              </w:rPr>
            </w:pPr>
            <w:r w:rsidRPr="00DA7CA1">
              <w:rPr>
                <w:sz w:val="28"/>
                <w:szCs w:val="28"/>
                <w:lang w:val="ro-RO"/>
              </w:rPr>
              <w:t>Se acceptă</w:t>
            </w:r>
          </w:p>
          <w:p w:rsidR="008B18A9" w:rsidRDefault="008B18A9" w:rsidP="001C01CD">
            <w:pPr>
              <w:jc w:val="both"/>
              <w:rPr>
                <w:sz w:val="28"/>
                <w:szCs w:val="28"/>
                <w:lang w:val="ro-RO"/>
              </w:rPr>
            </w:pPr>
          </w:p>
          <w:p w:rsidR="008B18A9" w:rsidRDefault="008B18A9" w:rsidP="001C01CD">
            <w:pPr>
              <w:jc w:val="both"/>
              <w:rPr>
                <w:sz w:val="28"/>
                <w:szCs w:val="28"/>
                <w:lang w:val="ro-RO"/>
              </w:rPr>
            </w:pPr>
          </w:p>
          <w:p w:rsidR="008B18A9" w:rsidRDefault="008B18A9" w:rsidP="001C01CD">
            <w:pPr>
              <w:jc w:val="both"/>
              <w:rPr>
                <w:sz w:val="28"/>
                <w:szCs w:val="28"/>
                <w:lang w:val="ro-RO"/>
              </w:rPr>
            </w:pPr>
            <w:r w:rsidRPr="00DA7CA1">
              <w:rPr>
                <w:sz w:val="28"/>
                <w:szCs w:val="28"/>
                <w:lang w:val="ro-RO"/>
              </w:rPr>
              <w:t>Se acceptă</w:t>
            </w:r>
          </w:p>
          <w:p w:rsidR="008B18A9" w:rsidRDefault="008B18A9" w:rsidP="001C01CD">
            <w:pPr>
              <w:jc w:val="both"/>
              <w:rPr>
                <w:sz w:val="28"/>
                <w:szCs w:val="28"/>
                <w:lang w:val="ro-RO"/>
              </w:rPr>
            </w:pPr>
          </w:p>
          <w:p w:rsidR="008B18A9" w:rsidRDefault="008B18A9" w:rsidP="001C01CD">
            <w:pPr>
              <w:jc w:val="both"/>
              <w:rPr>
                <w:sz w:val="28"/>
                <w:szCs w:val="28"/>
                <w:lang w:val="ro-RO"/>
              </w:rPr>
            </w:pPr>
          </w:p>
          <w:p w:rsidR="008B18A9" w:rsidRDefault="008B18A9" w:rsidP="001C01CD">
            <w:pPr>
              <w:jc w:val="both"/>
              <w:rPr>
                <w:sz w:val="28"/>
                <w:szCs w:val="28"/>
                <w:lang w:val="ro-RO"/>
              </w:rPr>
            </w:pPr>
            <w:r w:rsidRPr="00DA7CA1">
              <w:rPr>
                <w:sz w:val="28"/>
                <w:szCs w:val="28"/>
                <w:lang w:val="ro-RO"/>
              </w:rPr>
              <w:t>Se acceptă</w:t>
            </w:r>
          </w:p>
          <w:p w:rsidR="008B18A9" w:rsidRDefault="008B18A9" w:rsidP="001C01CD">
            <w:pPr>
              <w:jc w:val="both"/>
              <w:rPr>
                <w:sz w:val="28"/>
                <w:szCs w:val="28"/>
                <w:lang w:val="ro-RO"/>
              </w:rPr>
            </w:pPr>
          </w:p>
          <w:p w:rsidR="008B18A9" w:rsidRDefault="008B18A9" w:rsidP="001C01CD">
            <w:pPr>
              <w:jc w:val="both"/>
              <w:rPr>
                <w:sz w:val="28"/>
                <w:szCs w:val="28"/>
                <w:lang w:val="ro-RO"/>
              </w:rPr>
            </w:pPr>
          </w:p>
          <w:p w:rsidR="006E23BE" w:rsidRDefault="008B18A9" w:rsidP="008B18A9">
            <w:pPr>
              <w:rPr>
                <w:sz w:val="28"/>
                <w:szCs w:val="28"/>
                <w:lang w:val="ro-RO"/>
              </w:rPr>
            </w:pPr>
            <w:r w:rsidRPr="00DA7CA1">
              <w:rPr>
                <w:sz w:val="28"/>
                <w:szCs w:val="28"/>
                <w:lang w:val="ro-RO"/>
              </w:rPr>
              <w:t>Se acceptă</w:t>
            </w:r>
          </w:p>
          <w:p w:rsidR="008B18A9" w:rsidRDefault="008B18A9" w:rsidP="008B18A9">
            <w:pPr>
              <w:rPr>
                <w:sz w:val="28"/>
                <w:szCs w:val="28"/>
                <w:lang w:val="ro-RO"/>
              </w:rPr>
            </w:pPr>
          </w:p>
          <w:p w:rsidR="008B18A9" w:rsidRDefault="008B18A9" w:rsidP="008B18A9">
            <w:pPr>
              <w:rPr>
                <w:sz w:val="28"/>
                <w:szCs w:val="28"/>
                <w:lang w:val="ro-RO"/>
              </w:rPr>
            </w:pPr>
          </w:p>
          <w:p w:rsidR="008B18A9" w:rsidRDefault="008B18A9" w:rsidP="008B18A9">
            <w:pPr>
              <w:rPr>
                <w:sz w:val="28"/>
                <w:szCs w:val="28"/>
                <w:lang w:val="ro-RO"/>
              </w:rPr>
            </w:pPr>
            <w:r w:rsidRPr="00DA7CA1">
              <w:rPr>
                <w:sz w:val="28"/>
                <w:szCs w:val="28"/>
                <w:lang w:val="ro-RO"/>
              </w:rPr>
              <w:t>Se acceptă</w:t>
            </w:r>
          </w:p>
          <w:p w:rsidR="008B18A9" w:rsidRDefault="008B18A9" w:rsidP="008B18A9">
            <w:pPr>
              <w:rPr>
                <w:sz w:val="28"/>
                <w:szCs w:val="28"/>
                <w:lang w:val="ro-RO"/>
              </w:rPr>
            </w:pPr>
          </w:p>
          <w:p w:rsidR="008B18A9" w:rsidRDefault="008B18A9" w:rsidP="008B18A9">
            <w:pPr>
              <w:rPr>
                <w:sz w:val="28"/>
                <w:szCs w:val="28"/>
                <w:lang w:val="ro-RO"/>
              </w:rPr>
            </w:pPr>
          </w:p>
          <w:p w:rsidR="008B18A9" w:rsidRPr="00DA7CA1" w:rsidRDefault="008B18A9" w:rsidP="008B18A9">
            <w:pPr>
              <w:rPr>
                <w:sz w:val="28"/>
                <w:szCs w:val="28"/>
                <w:lang w:val="ro-RO"/>
              </w:rPr>
            </w:pPr>
            <w:r w:rsidRPr="00DA7CA1">
              <w:rPr>
                <w:sz w:val="28"/>
                <w:szCs w:val="28"/>
                <w:lang w:val="ro-RO"/>
              </w:rPr>
              <w:t>Se acceptă</w:t>
            </w:r>
          </w:p>
        </w:tc>
      </w:tr>
    </w:tbl>
    <w:p w:rsidR="009B560E" w:rsidRPr="00DA7CA1" w:rsidRDefault="009B560E">
      <w:pPr>
        <w:rPr>
          <w:sz w:val="28"/>
          <w:szCs w:val="28"/>
          <w:lang w:val="ro-RO"/>
        </w:rPr>
      </w:pPr>
    </w:p>
    <w:sectPr w:rsidR="009B560E" w:rsidRPr="00DA7CA1" w:rsidSect="000D2639">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BoldMT">
    <w:altName w:val="MS Mincho"/>
    <w:panose1 w:val="00000000000000000000"/>
    <w:charset w:val="80"/>
    <w:family w:val="auto"/>
    <w:notTrueType/>
    <w:pitch w:val="default"/>
    <w:sig w:usb0="00000001" w:usb1="08070000" w:usb2="00000010" w:usb3="00000000" w:csb0="00020000" w:csb1="00000000"/>
  </w:font>
  <w:font w:name="Arial-BoldItalicMT">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729"/>
        </w:tabs>
        <w:ind w:left="1729" w:hanging="102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149"/>
        </w:tabs>
        <w:ind w:left="2149" w:hanging="144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509"/>
        </w:tabs>
        <w:ind w:left="2509" w:hanging="1800"/>
      </w:pPr>
      <w:rPr>
        <w:rFonts w:cs="Times New Roman"/>
      </w:rPr>
    </w:lvl>
  </w:abstractNum>
  <w:abstractNum w:abstractNumId="1">
    <w:nsid w:val="01C92F39"/>
    <w:multiLevelType w:val="hybridMultilevel"/>
    <w:tmpl w:val="898C2300"/>
    <w:lvl w:ilvl="0" w:tplc="FA8E9ADC">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4711E80"/>
    <w:multiLevelType w:val="hybridMultilevel"/>
    <w:tmpl w:val="AE20A5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DDE23A0"/>
    <w:multiLevelType w:val="hybridMultilevel"/>
    <w:tmpl w:val="CC08E9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6D93D1C"/>
    <w:multiLevelType w:val="hybridMultilevel"/>
    <w:tmpl w:val="64EAFC9A"/>
    <w:lvl w:ilvl="0" w:tplc="960A8CEA">
      <w:start w:val="1"/>
      <w:numFmt w:val="upperLetter"/>
      <w:lvlText w:val="%1)"/>
      <w:lvlJc w:val="left"/>
      <w:pPr>
        <w:ind w:left="720" w:hanging="360"/>
      </w:pPr>
      <w:rPr>
        <w:rFonts w:cs="Times New Roman" w:hint="default"/>
        <w:b/>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73A3F96"/>
    <w:multiLevelType w:val="hybridMultilevel"/>
    <w:tmpl w:val="C6DED3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8630FB"/>
    <w:multiLevelType w:val="hybridMultilevel"/>
    <w:tmpl w:val="91525F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7440FC"/>
    <w:multiLevelType w:val="hybridMultilevel"/>
    <w:tmpl w:val="1E18D32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F025066"/>
    <w:multiLevelType w:val="hybridMultilevel"/>
    <w:tmpl w:val="12D6105C"/>
    <w:lvl w:ilvl="0" w:tplc="8BEED19E">
      <w:start w:val="3"/>
      <w:numFmt w:val="decimal"/>
      <w:lvlText w:val="%1)"/>
      <w:lvlJc w:val="left"/>
      <w:pPr>
        <w:tabs>
          <w:tab w:val="num" w:pos="1080"/>
        </w:tabs>
        <w:ind w:left="1080" w:hanging="360"/>
      </w:pPr>
      <w:rPr>
        <w:rFonts w:cs="Times New Roman"/>
        <w:u w:val="singl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4D40F6A"/>
    <w:multiLevelType w:val="hybridMultilevel"/>
    <w:tmpl w:val="CD7A7846"/>
    <w:lvl w:ilvl="0" w:tplc="E0A80E8E">
      <w:start w:val="1"/>
      <w:numFmt w:val="decimal"/>
      <w:lvlText w:val="%1."/>
      <w:lvlJc w:val="left"/>
      <w:pPr>
        <w:ind w:left="660" w:hanging="360"/>
      </w:pPr>
      <w:rPr>
        <w:rFonts w:cs="Times New Roman" w:hint="default"/>
        <w:u w:val="none"/>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0">
    <w:nsid w:val="28661495"/>
    <w:multiLevelType w:val="hybridMultilevel"/>
    <w:tmpl w:val="7382C9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4310812"/>
    <w:multiLevelType w:val="hybridMultilevel"/>
    <w:tmpl w:val="71646EF6"/>
    <w:lvl w:ilvl="0" w:tplc="904C4678">
      <w:numFmt w:val="bullet"/>
      <w:lvlText w:val="-"/>
      <w:lvlJc w:val="left"/>
      <w:pPr>
        <w:tabs>
          <w:tab w:val="num" w:pos="1248"/>
        </w:tabs>
        <w:ind w:left="1248"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61D3A24"/>
    <w:multiLevelType w:val="hybridMultilevel"/>
    <w:tmpl w:val="9A8C8226"/>
    <w:lvl w:ilvl="0" w:tplc="8B00EC76">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8542EEB"/>
    <w:multiLevelType w:val="hybridMultilevel"/>
    <w:tmpl w:val="B73E4910"/>
    <w:lvl w:ilvl="0" w:tplc="04190011">
      <w:start w:val="1"/>
      <w:numFmt w:val="decimal"/>
      <w:lvlText w:val="%1)"/>
      <w:lvlJc w:val="left"/>
      <w:pPr>
        <w:tabs>
          <w:tab w:val="num" w:pos="1428"/>
        </w:tabs>
        <w:ind w:left="142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40A6697"/>
    <w:multiLevelType w:val="hybridMultilevel"/>
    <w:tmpl w:val="0D0005C2"/>
    <w:lvl w:ilvl="0" w:tplc="904C4678">
      <w:numFmt w:val="bullet"/>
      <w:lvlText w:val="-"/>
      <w:lvlJc w:val="left"/>
      <w:pPr>
        <w:tabs>
          <w:tab w:val="num" w:pos="1260"/>
        </w:tabs>
        <w:ind w:left="126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456C77A0"/>
    <w:multiLevelType w:val="hybridMultilevel"/>
    <w:tmpl w:val="88B04326"/>
    <w:lvl w:ilvl="0" w:tplc="0419000F">
      <w:start w:val="1"/>
      <w:numFmt w:val="decimal"/>
      <w:lvlText w:val="%1."/>
      <w:lvlJc w:val="left"/>
      <w:pPr>
        <w:tabs>
          <w:tab w:val="num" w:pos="720"/>
        </w:tabs>
        <w:ind w:left="720" w:hanging="360"/>
      </w:pPr>
      <w:rPr>
        <w:rFonts w:cs="Times New Roman"/>
      </w:rPr>
    </w:lvl>
    <w:lvl w:ilvl="1" w:tplc="8B1E803E">
      <w:start w:val="1"/>
      <w:numFmt w:val="bullet"/>
      <w:lvlText w:val="-"/>
      <w:lvlJc w:val="left"/>
      <w:pPr>
        <w:tabs>
          <w:tab w:val="num" w:pos="1440"/>
        </w:tabs>
        <w:ind w:left="14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477052BB"/>
    <w:multiLevelType w:val="hybridMultilevel"/>
    <w:tmpl w:val="542CA38C"/>
    <w:lvl w:ilvl="0" w:tplc="B074C99E">
      <w:start w:val="1"/>
      <w:numFmt w:val="decimal"/>
      <w:lvlText w:val="%1)"/>
      <w:lvlJc w:val="left"/>
      <w:pPr>
        <w:ind w:left="976" w:hanging="360"/>
      </w:pPr>
      <w:rPr>
        <w:rFonts w:cs="Times New Roman" w:hint="default"/>
      </w:rPr>
    </w:lvl>
    <w:lvl w:ilvl="1" w:tplc="04190019" w:tentative="1">
      <w:start w:val="1"/>
      <w:numFmt w:val="lowerLetter"/>
      <w:lvlText w:val="%2."/>
      <w:lvlJc w:val="left"/>
      <w:pPr>
        <w:ind w:left="1696" w:hanging="360"/>
      </w:pPr>
      <w:rPr>
        <w:rFonts w:cs="Times New Roman"/>
      </w:rPr>
    </w:lvl>
    <w:lvl w:ilvl="2" w:tplc="0419001B" w:tentative="1">
      <w:start w:val="1"/>
      <w:numFmt w:val="lowerRoman"/>
      <w:lvlText w:val="%3."/>
      <w:lvlJc w:val="right"/>
      <w:pPr>
        <w:ind w:left="2416" w:hanging="180"/>
      </w:pPr>
      <w:rPr>
        <w:rFonts w:cs="Times New Roman"/>
      </w:rPr>
    </w:lvl>
    <w:lvl w:ilvl="3" w:tplc="0419000F" w:tentative="1">
      <w:start w:val="1"/>
      <w:numFmt w:val="decimal"/>
      <w:lvlText w:val="%4."/>
      <w:lvlJc w:val="left"/>
      <w:pPr>
        <w:ind w:left="3136" w:hanging="360"/>
      </w:pPr>
      <w:rPr>
        <w:rFonts w:cs="Times New Roman"/>
      </w:rPr>
    </w:lvl>
    <w:lvl w:ilvl="4" w:tplc="04190019" w:tentative="1">
      <w:start w:val="1"/>
      <w:numFmt w:val="lowerLetter"/>
      <w:lvlText w:val="%5."/>
      <w:lvlJc w:val="left"/>
      <w:pPr>
        <w:ind w:left="3856" w:hanging="360"/>
      </w:pPr>
      <w:rPr>
        <w:rFonts w:cs="Times New Roman"/>
      </w:rPr>
    </w:lvl>
    <w:lvl w:ilvl="5" w:tplc="0419001B" w:tentative="1">
      <w:start w:val="1"/>
      <w:numFmt w:val="lowerRoman"/>
      <w:lvlText w:val="%6."/>
      <w:lvlJc w:val="right"/>
      <w:pPr>
        <w:ind w:left="4576" w:hanging="180"/>
      </w:pPr>
      <w:rPr>
        <w:rFonts w:cs="Times New Roman"/>
      </w:rPr>
    </w:lvl>
    <w:lvl w:ilvl="6" w:tplc="0419000F" w:tentative="1">
      <w:start w:val="1"/>
      <w:numFmt w:val="decimal"/>
      <w:lvlText w:val="%7."/>
      <w:lvlJc w:val="left"/>
      <w:pPr>
        <w:ind w:left="5296" w:hanging="360"/>
      </w:pPr>
      <w:rPr>
        <w:rFonts w:cs="Times New Roman"/>
      </w:rPr>
    </w:lvl>
    <w:lvl w:ilvl="7" w:tplc="04190019" w:tentative="1">
      <w:start w:val="1"/>
      <w:numFmt w:val="lowerLetter"/>
      <w:lvlText w:val="%8."/>
      <w:lvlJc w:val="left"/>
      <w:pPr>
        <w:ind w:left="6016" w:hanging="360"/>
      </w:pPr>
      <w:rPr>
        <w:rFonts w:cs="Times New Roman"/>
      </w:rPr>
    </w:lvl>
    <w:lvl w:ilvl="8" w:tplc="0419001B" w:tentative="1">
      <w:start w:val="1"/>
      <w:numFmt w:val="lowerRoman"/>
      <w:lvlText w:val="%9."/>
      <w:lvlJc w:val="right"/>
      <w:pPr>
        <w:ind w:left="6736" w:hanging="180"/>
      </w:pPr>
      <w:rPr>
        <w:rFonts w:cs="Times New Roman"/>
      </w:rPr>
    </w:lvl>
  </w:abstractNum>
  <w:abstractNum w:abstractNumId="17">
    <w:nsid w:val="59BB1F95"/>
    <w:multiLevelType w:val="multilevel"/>
    <w:tmpl w:val="9F96A5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D67026"/>
    <w:multiLevelType w:val="hybridMultilevel"/>
    <w:tmpl w:val="68BA31F4"/>
    <w:lvl w:ilvl="0" w:tplc="C96CBEF6">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444B2F"/>
    <w:multiLevelType w:val="hybridMultilevel"/>
    <w:tmpl w:val="A3DC99A6"/>
    <w:lvl w:ilvl="0" w:tplc="AFEECE6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660639E3"/>
    <w:multiLevelType w:val="hybridMultilevel"/>
    <w:tmpl w:val="18DC2F42"/>
    <w:lvl w:ilvl="0" w:tplc="CEC27E3A">
      <w:start w:val="1"/>
      <w:numFmt w:val="decimal"/>
      <w:lvlText w:val="%1."/>
      <w:lvlJc w:val="left"/>
      <w:pPr>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7603302B"/>
    <w:multiLevelType w:val="hybridMultilevel"/>
    <w:tmpl w:val="112657D4"/>
    <w:lvl w:ilvl="0" w:tplc="C674C222">
      <w:start w:val="3"/>
      <w:numFmt w:val="lowerLetter"/>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76FE4856"/>
    <w:multiLevelType w:val="multilevel"/>
    <w:tmpl w:val="AD9A7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nsid w:val="77FF3CD1"/>
    <w:multiLevelType w:val="hybridMultilevel"/>
    <w:tmpl w:val="8F2E64AE"/>
    <w:lvl w:ilvl="0" w:tplc="14C0499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0710AD"/>
    <w:multiLevelType w:val="hybridMultilevel"/>
    <w:tmpl w:val="C8921C16"/>
    <w:lvl w:ilvl="0" w:tplc="CA360F3C">
      <w:start w:val="1"/>
      <w:numFmt w:val="bullet"/>
      <w:lvlText w:val="-"/>
      <w:lvlJc w:val="left"/>
      <w:pPr>
        <w:tabs>
          <w:tab w:val="num" w:pos="1350"/>
        </w:tabs>
        <w:ind w:left="1350" w:hanging="81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0"/>
  </w:num>
  <w:num w:numId="11">
    <w:abstractNumId w:val="21"/>
  </w:num>
  <w:num w:numId="12">
    <w:abstractNumId w:val="4"/>
  </w:num>
  <w:num w:numId="13">
    <w:abstractNumId w:val="6"/>
  </w:num>
  <w:num w:numId="14">
    <w:abstractNumId w:val="0"/>
  </w:num>
  <w:num w:numId="15">
    <w:abstractNumId w:val="19"/>
  </w:num>
  <w:num w:numId="16">
    <w:abstractNumId w:val="2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9"/>
  </w:num>
  <w:num w:numId="22">
    <w:abstractNumId w:val="5"/>
  </w:num>
  <w:num w:numId="23">
    <w:abstractNumId w:val="1"/>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39"/>
    <w:rsid w:val="00012B7F"/>
    <w:rsid w:val="000141E1"/>
    <w:rsid w:val="00021378"/>
    <w:rsid w:val="000453B1"/>
    <w:rsid w:val="00046C0E"/>
    <w:rsid w:val="000665EC"/>
    <w:rsid w:val="0007429E"/>
    <w:rsid w:val="000C257E"/>
    <w:rsid w:val="000D2639"/>
    <w:rsid w:val="00106419"/>
    <w:rsid w:val="00134C9B"/>
    <w:rsid w:val="00135851"/>
    <w:rsid w:val="001C01CD"/>
    <w:rsid w:val="0020271F"/>
    <w:rsid w:val="0021061B"/>
    <w:rsid w:val="00235D36"/>
    <w:rsid w:val="002567DC"/>
    <w:rsid w:val="00274F19"/>
    <w:rsid w:val="003B1152"/>
    <w:rsid w:val="003B4F5C"/>
    <w:rsid w:val="003D4BAA"/>
    <w:rsid w:val="003F4CA0"/>
    <w:rsid w:val="00442B61"/>
    <w:rsid w:val="004A3974"/>
    <w:rsid w:val="00511046"/>
    <w:rsid w:val="00514606"/>
    <w:rsid w:val="005213AB"/>
    <w:rsid w:val="00532F6F"/>
    <w:rsid w:val="00535352"/>
    <w:rsid w:val="00544872"/>
    <w:rsid w:val="0056062D"/>
    <w:rsid w:val="00565971"/>
    <w:rsid w:val="005C70EF"/>
    <w:rsid w:val="005D3331"/>
    <w:rsid w:val="005E12DD"/>
    <w:rsid w:val="005F4EA7"/>
    <w:rsid w:val="006235A7"/>
    <w:rsid w:val="00623E11"/>
    <w:rsid w:val="00637631"/>
    <w:rsid w:val="00651BAD"/>
    <w:rsid w:val="00665D64"/>
    <w:rsid w:val="00684C78"/>
    <w:rsid w:val="00687B8D"/>
    <w:rsid w:val="006C5229"/>
    <w:rsid w:val="006C6996"/>
    <w:rsid w:val="006E23BE"/>
    <w:rsid w:val="006E5663"/>
    <w:rsid w:val="00712E79"/>
    <w:rsid w:val="00716CFA"/>
    <w:rsid w:val="00716D2A"/>
    <w:rsid w:val="00722691"/>
    <w:rsid w:val="00724456"/>
    <w:rsid w:val="0073642B"/>
    <w:rsid w:val="007C736D"/>
    <w:rsid w:val="008300CB"/>
    <w:rsid w:val="00850491"/>
    <w:rsid w:val="00862983"/>
    <w:rsid w:val="008973EA"/>
    <w:rsid w:val="008B0B68"/>
    <w:rsid w:val="008B18A9"/>
    <w:rsid w:val="00903273"/>
    <w:rsid w:val="00934B2C"/>
    <w:rsid w:val="009419F5"/>
    <w:rsid w:val="0097386B"/>
    <w:rsid w:val="009742DE"/>
    <w:rsid w:val="0097711F"/>
    <w:rsid w:val="00981122"/>
    <w:rsid w:val="009B560E"/>
    <w:rsid w:val="00A11AF6"/>
    <w:rsid w:val="00A222AD"/>
    <w:rsid w:val="00AC369D"/>
    <w:rsid w:val="00AF47A9"/>
    <w:rsid w:val="00B6506A"/>
    <w:rsid w:val="00C12359"/>
    <w:rsid w:val="00C516AB"/>
    <w:rsid w:val="00C705E0"/>
    <w:rsid w:val="00C70C8A"/>
    <w:rsid w:val="00CB20FD"/>
    <w:rsid w:val="00CE64E8"/>
    <w:rsid w:val="00D0240C"/>
    <w:rsid w:val="00D451BE"/>
    <w:rsid w:val="00D735F3"/>
    <w:rsid w:val="00D80EBE"/>
    <w:rsid w:val="00D873FE"/>
    <w:rsid w:val="00D94F81"/>
    <w:rsid w:val="00D95523"/>
    <w:rsid w:val="00DA7CA1"/>
    <w:rsid w:val="00DE4175"/>
    <w:rsid w:val="00DF38BD"/>
    <w:rsid w:val="00E051DC"/>
    <w:rsid w:val="00E22899"/>
    <w:rsid w:val="00E357B2"/>
    <w:rsid w:val="00E35DE1"/>
    <w:rsid w:val="00E45F95"/>
    <w:rsid w:val="00E50037"/>
    <w:rsid w:val="00E53E11"/>
    <w:rsid w:val="00E836EB"/>
    <w:rsid w:val="00EE052F"/>
    <w:rsid w:val="00EF587C"/>
    <w:rsid w:val="00EF6366"/>
    <w:rsid w:val="00F2030D"/>
    <w:rsid w:val="00FA26F8"/>
    <w:rsid w:val="00FE3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3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a0"/>
    <w:uiPriority w:val="99"/>
    <w:rsid w:val="000D2639"/>
    <w:rPr>
      <w:rFonts w:cs="Times New Roman"/>
    </w:rPr>
  </w:style>
  <w:style w:type="character" w:styleId="a4">
    <w:name w:val="Strong"/>
    <w:basedOn w:val="a0"/>
    <w:uiPriority w:val="99"/>
    <w:qFormat/>
    <w:rsid w:val="000D2639"/>
    <w:rPr>
      <w:rFonts w:cs="Times New Roman"/>
      <w:b/>
      <w:bCs/>
    </w:rPr>
  </w:style>
  <w:style w:type="character" w:customStyle="1" w:styleId="hps">
    <w:name w:val="hps"/>
    <w:basedOn w:val="a0"/>
    <w:uiPriority w:val="99"/>
    <w:rsid w:val="000D2639"/>
    <w:rPr>
      <w:rFonts w:cs="Times New Roman"/>
    </w:rPr>
  </w:style>
  <w:style w:type="paragraph" w:styleId="a5">
    <w:name w:val="caption"/>
    <w:basedOn w:val="a"/>
    <w:uiPriority w:val="99"/>
    <w:qFormat/>
    <w:rsid w:val="000D2639"/>
    <w:pPr>
      <w:jc w:val="center"/>
    </w:pPr>
    <w:rPr>
      <w:b/>
      <w:sz w:val="28"/>
      <w:szCs w:val="20"/>
      <w:lang w:val="ro-RO"/>
    </w:rPr>
  </w:style>
  <w:style w:type="paragraph" w:styleId="a6">
    <w:name w:val="Body Text"/>
    <w:basedOn w:val="a"/>
    <w:link w:val="a7"/>
    <w:uiPriority w:val="99"/>
    <w:rsid w:val="000D2639"/>
    <w:rPr>
      <w:szCs w:val="20"/>
      <w:lang w:val="ro-RO"/>
    </w:rPr>
  </w:style>
  <w:style w:type="character" w:customStyle="1" w:styleId="a7">
    <w:name w:val="Основной текст Знак"/>
    <w:basedOn w:val="a0"/>
    <w:link w:val="a6"/>
    <w:uiPriority w:val="99"/>
    <w:locked/>
    <w:rsid w:val="000D2639"/>
    <w:rPr>
      <w:rFonts w:ascii="Times New Roman" w:hAnsi="Times New Roman" w:cs="Times New Roman"/>
      <w:sz w:val="20"/>
      <w:szCs w:val="20"/>
      <w:lang w:val="ro-RO" w:eastAsia="ru-RU"/>
    </w:rPr>
  </w:style>
  <w:style w:type="character" w:customStyle="1" w:styleId="longtext">
    <w:name w:val="long_text"/>
    <w:basedOn w:val="a0"/>
    <w:uiPriority w:val="99"/>
    <w:rsid w:val="000D2639"/>
    <w:rPr>
      <w:rFonts w:cs="Times New Roman"/>
    </w:rPr>
  </w:style>
  <w:style w:type="paragraph" w:styleId="a8">
    <w:name w:val="Body Text Indent"/>
    <w:basedOn w:val="a"/>
    <w:link w:val="a9"/>
    <w:uiPriority w:val="99"/>
    <w:rsid w:val="000D2639"/>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0D2639"/>
    <w:rPr>
      <w:rFonts w:ascii="Calibri" w:eastAsia="Times New Roman" w:hAnsi="Calibri" w:cs="Times New Roman"/>
    </w:rPr>
  </w:style>
  <w:style w:type="paragraph" w:styleId="aa">
    <w:name w:val="List Paragraph"/>
    <w:basedOn w:val="a"/>
    <w:uiPriority w:val="99"/>
    <w:qFormat/>
    <w:rsid w:val="000D2639"/>
    <w:pPr>
      <w:spacing w:after="200" w:line="276" w:lineRule="auto"/>
      <w:ind w:left="720"/>
      <w:contextualSpacing/>
    </w:pPr>
    <w:rPr>
      <w:rFonts w:eastAsia="Calibri"/>
      <w:lang w:val="ro-RO" w:eastAsia="en-US"/>
    </w:rPr>
  </w:style>
  <w:style w:type="paragraph" w:customStyle="1" w:styleId="1">
    <w:name w:val="Абзац списка1"/>
    <w:basedOn w:val="a"/>
    <w:uiPriority w:val="99"/>
    <w:rsid w:val="000D2639"/>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0D263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0D2639"/>
    <w:rPr>
      <w:rFonts w:ascii="Times New Roman" w:hAnsi="Times New Roman" w:cs="Times New Roman"/>
      <w:sz w:val="16"/>
      <w:szCs w:val="16"/>
      <w:lang w:eastAsia="ru-RU"/>
    </w:rPr>
  </w:style>
  <w:style w:type="paragraph" w:styleId="ab">
    <w:name w:val="No Spacing"/>
    <w:uiPriority w:val="99"/>
    <w:qFormat/>
    <w:rsid w:val="000D2639"/>
    <w:rPr>
      <w:lang w:val="ru-RU"/>
    </w:rPr>
  </w:style>
  <w:style w:type="paragraph" w:customStyle="1" w:styleId="Normal">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0D2639"/>
    <w:rPr>
      <w:rFonts w:cs="Times New Roman"/>
    </w:rPr>
  </w:style>
  <w:style w:type="paragraph" w:customStyle="1" w:styleId="cn">
    <w:name w:val="cn"/>
    <w:basedOn w:val="a"/>
    <w:uiPriority w:val="99"/>
    <w:rsid w:val="000D2639"/>
    <w:pPr>
      <w:jc w:val="center"/>
    </w:pPr>
  </w:style>
  <w:style w:type="character" w:customStyle="1" w:styleId="docheader1">
    <w:name w:val="doc_header1"/>
    <w:basedOn w:val="a0"/>
    <w:uiPriority w:val="99"/>
    <w:rsid w:val="00862983"/>
    <w:rPr>
      <w:rFonts w:ascii="Times New Roman" w:hAnsi="Times New Roman" w:cs="Times New Roman"/>
      <w:b/>
      <w:bCs/>
      <w:color w:val="000000"/>
      <w:sz w:val="24"/>
      <w:szCs w:val="24"/>
    </w:rPr>
  </w:style>
  <w:style w:type="paragraph" w:styleId="ac">
    <w:name w:val="Balloon Text"/>
    <w:basedOn w:val="a"/>
    <w:link w:val="ad"/>
    <w:uiPriority w:val="99"/>
    <w:semiHidden/>
    <w:unhideWhenUsed/>
    <w:rsid w:val="0020271F"/>
    <w:rPr>
      <w:rFonts w:ascii="Tahoma" w:hAnsi="Tahoma" w:cs="Tahoma"/>
      <w:sz w:val="16"/>
      <w:szCs w:val="16"/>
    </w:rPr>
  </w:style>
  <w:style w:type="character" w:customStyle="1" w:styleId="ad">
    <w:name w:val="Текст выноски Знак"/>
    <w:basedOn w:val="a0"/>
    <w:link w:val="ac"/>
    <w:uiPriority w:val="99"/>
    <w:semiHidden/>
    <w:rsid w:val="0020271F"/>
    <w:rPr>
      <w:rFonts w:ascii="Tahoma" w:eastAsia="Times New Roman" w:hAnsi="Tahoma" w:cs="Tahoma"/>
      <w:sz w:val="16"/>
      <w:szCs w:val="16"/>
      <w:lang w:val="ru-RU" w:eastAsia="ru-RU"/>
    </w:rPr>
  </w:style>
  <w:style w:type="character" w:customStyle="1" w:styleId="ae">
    <w:name w:val="Основной текст_"/>
    <w:basedOn w:val="a0"/>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e"/>
    <w:rsid w:val="000665EC"/>
    <w:rPr>
      <w:rFonts w:ascii="Times New Roman" w:eastAsia="Times New Roman" w:hAnsi="Times New Roman"/>
      <w:b/>
      <w:bCs/>
      <w:spacing w:val="10"/>
      <w:sz w:val="21"/>
      <w:szCs w:val="21"/>
      <w:shd w:val="clear" w:color="auto" w:fill="FFFFFF"/>
    </w:rPr>
  </w:style>
  <w:style w:type="character" w:customStyle="1" w:styleId="af">
    <w:name w:val="Основной текст + Полужирный"/>
    <w:basedOn w:val="ae"/>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e"/>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e"/>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a"/>
    <w:link w:val="ae"/>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a0"/>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Основной текст + Курсив"/>
    <w:basedOn w:val="ae"/>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012B7F"/>
    <w:pPr>
      <w:shd w:val="clear" w:color="auto" w:fill="FFFFFF"/>
      <w:spacing w:line="350" w:lineRule="exact"/>
      <w:jc w:val="both"/>
    </w:pPr>
    <w:rPr>
      <w:sz w:val="27"/>
      <w:szCs w:val="2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639"/>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D2639"/>
    <w:pPr>
      <w:ind w:firstLine="567"/>
      <w:jc w:val="both"/>
    </w:pPr>
  </w:style>
  <w:style w:type="paragraph" w:customStyle="1" w:styleId="Default">
    <w:name w:val="Default"/>
    <w:uiPriority w:val="99"/>
    <w:rsid w:val="000D2639"/>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CM3">
    <w:name w:val="CM3"/>
    <w:basedOn w:val="Default"/>
    <w:next w:val="Default"/>
    <w:uiPriority w:val="99"/>
    <w:rsid w:val="000D2639"/>
    <w:pPr>
      <w:spacing w:line="371" w:lineRule="atLeast"/>
    </w:pPr>
    <w:rPr>
      <w:color w:val="auto"/>
    </w:rPr>
  </w:style>
  <w:style w:type="paragraph" w:customStyle="1" w:styleId="CM10">
    <w:name w:val="CM10"/>
    <w:basedOn w:val="Default"/>
    <w:next w:val="Default"/>
    <w:uiPriority w:val="99"/>
    <w:rsid w:val="000D2639"/>
    <w:rPr>
      <w:color w:val="auto"/>
    </w:rPr>
  </w:style>
  <w:style w:type="paragraph" w:customStyle="1" w:styleId="CM4">
    <w:name w:val="CM4"/>
    <w:basedOn w:val="Default"/>
    <w:next w:val="Default"/>
    <w:uiPriority w:val="99"/>
    <w:rsid w:val="000D2639"/>
    <w:pPr>
      <w:spacing w:line="373" w:lineRule="atLeast"/>
    </w:pPr>
    <w:rPr>
      <w:color w:val="auto"/>
    </w:rPr>
  </w:style>
  <w:style w:type="paragraph" w:customStyle="1" w:styleId="CM6">
    <w:name w:val="CM6"/>
    <w:basedOn w:val="Default"/>
    <w:next w:val="Default"/>
    <w:uiPriority w:val="99"/>
    <w:rsid w:val="000D2639"/>
    <w:rPr>
      <w:color w:val="auto"/>
    </w:rPr>
  </w:style>
  <w:style w:type="character" w:customStyle="1" w:styleId="docheader">
    <w:name w:val="doc_header"/>
    <w:basedOn w:val="a0"/>
    <w:uiPriority w:val="99"/>
    <w:rsid w:val="000D2639"/>
    <w:rPr>
      <w:rFonts w:cs="Times New Roman"/>
    </w:rPr>
  </w:style>
  <w:style w:type="character" w:styleId="a4">
    <w:name w:val="Strong"/>
    <w:basedOn w:val="a0"/>
    <w:uiPriority w:val="99"/>
    <w:qFormat/>
    <w:rsid w:val="000D2639"/>
    <w:rPr>
      <w:rFonts w:cs="Times New Roman"/>
      <w:b/>
      <w:bCs/>
    </w:rPr>
  </w:style>
  <w:style w:type="character" w:customStyle="1" w:styleId="hps">
    <w:name w:val="hps"/>
    <w:basedOn w:val="a0"/>
    <w:uiPriority w:val="99"/>
    <w:rsid w:val="000D2639"/>
    <w:rPr>
      <w:rFonts w:cs="Times New Roman"/>
    </w:rPr>
  </w:style>
  <w:style w:type="paragraph" w:styleId="a5">
    <w:name w:val="caption"/>
    <w:basedOn w:val="a"/>
    <w:uiPriority w:val="99"/>
    <w:qFormat/>
    <w:rsid w:val="000D2639"/>
    <w:pPr>
      <w:jc w:val="center"/>
    </w:pPr>
    <w:rPr>
      <w:b/>
      <w:sz w:val="28"/>
      <w:szCs w:val="20"/>
      <w:lang w:val="ro-RO"/>
    </w:rPr>
  </w:style>
  <w:style w:type="paragraph" w:styleId="a6">
    <w:name w:val="Body Text"/>
    <w:basedOn w:val="a"/>
    <w:link w:val="a7"/>
    <w:uiPriority w:val="99"/>
    <w:rsid w:val="000D2639"/>
    <w:rPr>
      <w:szCs w:val="20"/>
      <w:lang w:val="ro-RO"/>
    </w:rPr>
  </w:style>
  <w:style w:type="character" w:customStyle="1" w:styleId="a7">
    <w:name w:val="Основной текст Знак"/>
    <w:basedOn w:val="a0"/>
    <w:link w:val="a6"/>
    <w:uiPriority w:val="99"/>
    <w:locked/>
    <w:rsid w:val="000D2639"/>
    <w:rPr>
      <w:rFonts w:ascii="Times New Roman" w:hAnsi="Times New Roman" w:cs="Times New Roman"/>
      <w:sz w:val="20"/>
      <w:szCs w:val="20"/>
      <w:lang w:val="ro-RO" w:eastAsia="ru-RU"/>
    </w:rPr>
  </w:style>
  <w:style w:type="character" w:customStyle="1" w:styleId="longtext">
    <w:name w:val="long_text"/>
    <w:basedOn w:val="a0"/>
    <w:uiPriority w:val="99"/>
    <w:rsid w:val="000D2639"/>
    <w:rPr>
      <w:rFonts w:cs="Times New Roman"/>
    </w:rPr>
  </w:style>
  <w:style w:type="paragraph" w:styleId="a8">
    <w:name w:val="Body Text Indent"/>
    <w:basedOn w:val="a"/>
    <w:link w:val="a9"/>
    <w:uiPriority w:val="99"/>
    <w:rsid w:val="000D2639"/>
    <w:pPr>
      <w:spacing w:after="120" w:line="276" w:lineRule="auto"/>
      <w:ind w:left="283"/>
    </w:pPr>
    <w:rPr>
      <w:rFonts w:ascii="Calibri" w:eastAsia="Calibri" w:hAnsi="Calibri"/>
      <w:sz w:val="22"/>
      <w:szCs w:val="22"/>
      <w:lang w:eastAsia="en-US"/>
    </w:rPr>
  </w:style>
  <w:style w:type="character" w:customStyle="1" w:styleId="a9">
    <w:name w:val="Основной текст с отступом Знак"/>
    <w:basedOn w:val="a0"/>
    <w:link w:val="a8"/>
    <w:uiPriority w:val="99"/>
    <w:locked/>
    <w:rsid w:val="000D2639"/>
    <w:rPr>
      <w:rFonts w:ascii="Calibri" w:eastAsia="Times New Roman" w:hAnsi="Calibri" w:cs="Times New Roman"/>
    </w:rPr>
  </w:style>
  <w:style w:type="paragraph" w:styleId="aa">
    <w:name w:val="List Paragraph"/>
    <w:basedOn w:val="a"/>
    <w:uiPriority w:val="99"/>
    <w:qFormat/>
    <w:rsid w:val="000D2639"/>
    <w:pPr>
      <w:spacing w:after="200" w:line="276" w:lineRule="auto"/>
      <w:ind w:left="720"/>
      <w:contextualSpacing/>
    </w:pPr>
    <w:rPr>
      <w:rFonts w:eastAsia="Calibri"/>
      <w:lang w:val="ro-RO" w:eastAsia="en-US"/>
    </w:rPr>
  </w:style>
  <w:style w:type="paragraph" w:customStyle="1" w:styleId="1">
    <w:name w:val="Абзац списка1"/>
    <w:basedOn w:val="a"/>
    <w:uiPriority w:val="99"/>
    <w:rsid w:val="000D2639"/>
    <w:pPr>
      <w:spacing w:after="200" w:line="276" w:lineRule="auto"/>
      <w:ind w:left="720"/>
      <w:contextualSpacing/>
    </w:pPr>
    <w:rPr>
      <w:rFonts w:eastAsia="Calibri"/>
      <w:lang w:val="ro-RO" w:eastAsia="en-US"/>
    </w:rPr>
  </w:style>
  <w:style w:type="paragraph" w:styleId="3">
    <w:name w:val="Body Text Indent 3"/>
    <w:basedOn w:val="a"/>
    <w:link w:val="30"/>
    <w:uiPriority w:val="99"/>
    <w:semiHidden/>
    <w:rsid w:val="000D2639"/>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0D2639"/>
    <w:rPr>
      <w:rFonts w:ascii="Times New Roman" w:hAnsi="Times New Roman" w:cs="Times New Roman"/>
      <w:sz w:val="16"/>
      <w:szCs w:val="16"/>
      <w:lang w:eastAsia="ru-RU"/>
    </w:rPr>
  </w:style>
  <w:style w:type="paragraph" w:styleId="ab">
    <w:name w:val="No Spacing"/>
    <w:uiPriority w:val="99"/>
    <w:qFormat/>
    <w:rsid w:val="000D2639"/>
    <w:rPr>
      <w:lang w:val="ru-RU"/>
    </w:rPr>
  </w:style>
  <w:style w:type="paragraph" w:customStyle="1" w:styleId="Normal">
    <w:name w:val="[Normal]"/>
    <w:uiPriority w:val="99"/>
    <w:rsid w:val="000D2639"/>
    <w:pPr>
      <w:suppressAutoHyphens/>
      <w:autoSpaceDE w:val="0"/>
    </w:pPr>
    <w:rPr>
      <w:rFonts w:ascii="Arial" w:hAnsi="Arial" w:cs="Arial"/>
      <w:sz w:val="24"/>
      <w:szCs w:val="24"/>
      <w:lang w:val="ru-RU" w:eastAsia="ar-SA"/>
    </w:rPr>
  </w:style>
  <w:style w:type="character" w:customStyle="1" w:styleId="apple-converted-space">
    <w:name w:val="apple-converted-space"/>
    <w:basedOn w:val="a0"/>
    <w:uiPriority w:val="99"/>
    <w:rsid w:val="000D2639"/>
    <w:rPr>
      <w:rFonts w:cs="Times New Roman"/>
    </w:rPr>
  </w:style>
  <w:style w:type="paragraph" w:customStyle="1" w:styleId="cn">
    <w:name w:val="cn"/>
    <w:basedOn w:val="a"/>
    <w:uiPriority w:val="99"/>
    <w:rsid w:val="000D2639"/>
    <w:pPr>
      <w:jc w:val="center"/>
    </w:pPr>
  </w:style>
  <w:style w:type="character" w:customStyle="1" w:styleId="docheader1">
    <w:name w:val="doc_header1"/>
    <w:basedOn w:val="a0"/>
    <w:uiPriority w:val="99"/>
    <w:rsid w:val="00862983"/>
    <w:rPr>
      <w:rFonts w:ascii="Times New Roman" w:hAnsi="Times New Roman" w:cs="Times New Roman"/>
      <w:b/>
      <w:bCs/>
      <w:color w:val="000000"/>
      <w:sz w:val="24"/>
      <w:szCs w:val="24"/>
    </w:rPr>
  </w:style>
  <w:style w:type="paragraph" w:styleId="ac">
    <w:name w:val="Balloon Text"/>
    <w:basedOn w:val="a"/>
    <w:link w:val="ad"/>
    <w:uiPriority w:val="99"/>
    <w:semiHidden/>
    <w:unhideWhenUsed/>
    <w:rsid w:val="0020271F"/>
    <w:rPr>
      <w:rFonts w:ascii="Tahoma" w:hAnsi="Tahoma" w:cs="Tahoma"/>
      <w:sz w:val="16"/>
      <w:szCs w:val="16"/>
    </w:rPr>
  </w:style>
  <w:style w:type="character" w:customStyle="1" w:styleId="ad">
    <w:name w:val="Текст выноски Знак"/>
    <w:basedOn w:val="a0"/>
    <w:link w:val="ac"/>
    <w:uiPriority w:val="99"/>
    <w:semiHidden/>
    <w:rsid w:val="0020271F"/>
    <w:rPr>
      <w:rFonts w:ascii="Tahoma" w:eastAsia="Times New Roman" w:hAnsi="Tahoma" w:cs="Tahoma"/>
      <w:sz w:val="16"/>
      <w:szCs w:val="16"/>
      <w:lang w:val="ru-RU" w:eastAsia="ru-RU"/>
    </w:rPr>
  </w:style>
  <w:style w:type="character" w:customStyle="1" w:styleId="ae">
    <w:name w:val="Основной текст_"/>
    <w:basedOn w:val="a0"/>
    <w:link w:val="10"/>
    <w:rsid w:val="000665EC"/>
    <w:rPr>
      <w:rFonts w:ascii="Times New Roman" w:eastAsia="Times New Roman" w:hAnsi="Times New Roman"/>
      <w:sz w:val="25"/>
      <w:szCs w:val="25"/>
      <w:shd w:val="clear" w:color="auto" w:fill="FFFFFF"/>
    </w:rPr>
  </w:style>
  <w:style w:type="character" w:customStyle="1" w:styleId="105pt0pt">
    <w:name w:val="Основной текст + 10;5 pt;Полужирный;Интервал 0 pt"/>
    <w:basedOn w:val="ae"/>
    <w:rsid w:val="000665EC"/>
    <w:rPr>
      <w:rFonts w:ascii="Times New Roman" w:eastAsia="Times New Roman" w:hAnsi="Times New Roman"/>
      <w:b/>
      <w:bCs/>
      <w:spacing w:val="10"/>
      <w:sz w:val="21"/>
      <w:szCs w:val="21"/>
      <w:shd w:val="clear" w:color="auto" w:fill="FFFFFF"/>
    </w:rPr>
  </w:style>
  <w:style w:type="character" w:customStyle="1" w:styleId="af">
    <w:name w:val="Основной текст + Полужирный"/>
    <w:basedOn w:val="ae"/>
    <w:rsid w:val="000665EC"/>
    <w:rPr>
      <w:rFonts w:ascii="Times New Roman" w:eastAsia="Times New Roman" w:hAnsi="Times New Roman"/>
      <w:b/>
      <w:bCs/>
      <w:sz w:val="25"/>
      <w:szCs w:val="25"/>
      <w:shd w:val="clear" w:color="auto" w:fill="FFFFFF"/>
    </w:rPr>
  </w:style>
  <w:style w:type="character" w:customStyle="1" w:styleId="13pt">
    <w:name w:val="Основной текст + 13 pt;Полужирный;Курсив"/>
    <w:basedOn w:val="ae"/>
    <w:rsid w:val="000665EC"/>
    <w:rPr>
      <w:rFonts w:ascii="Times New Roman" w:eastAsia="Times New Roman" w:hAnsi="Times New Roman"/>
      <w:b/>
      <w:bCs/>
      <w:i/>
      <w:iCs/>
      <w:sz w:val="26"/>
      <w:szCs w:val="26"/>
      <w:shd w:val="clear" w:color="auto" w:fill="FFFFFF"/>
    </w:rPr>
  </w:style>
  <w:style w:type="character" w:customStyle="1" w:styleId="115pt">
    <w:name w:val="Основной текст + 11;5 pt;Полужирный"/>
    <w:basedOn w:val="ae"/>
    <w:rsid w:val="000665EC"/>
    <w:rPr>
      <w:rFonts w:ascii="Times New Roman" w:eastAsia="Times New Roman" w:hAnsi="Times New Roman"/>
      <w:b/>
      <w:bCs/>
      <w:sz w:val="23"/>
      <w:szCs w:val="23"/>
      <w:shd w:val="clear" w:color="auto" w:fill="FFFFFF"/>
    </w:rPr>
  </w:style>
  <w:style w:type="paragraph" w:customStyle="1" w:styleId="10">
    <w:name w:val="Основной текст1"/>
    <w:basedOn w:val="a"/>
    <w:link w:val="ae"/>
    <w:rsid w:val="000665EC"/>
    <w:pPr>
      <w:shd w:val="clear" w:color="auto" w:fill="FFFFFF"/>
      <w:spacing w:before="300" w:line="307" w:lineRule="exact"/>
      <w:jc w:val="both"/>
    </w:pPr>
    <w:rPr>
      <w:sz w:val="25"/>
      <w:szCs w:val="25"/>
      <w:lang w:val="en-US" w:eastAsia="en-US"/>
    </w:rPr>
  </w:style>
  <w:style w:type="character" w:customStyle="1" w:styleId="12">
    <w:name w:val="Заголовок №1 (2)_"/>
    <w:basedOn w:val="a0"/>
    <w:rsid w:val="00012B7F"/>
    <w:rPr>
      <w:rFonts w:ascii="Times New Roman" w:eastAsia="Times New Roman" w:hAnsi="Times New Roman" w:cs="Times New Roman"/>
      <w:b w:val="0"/>
      <w:bCs w:val="0"/>
      <w:i w:val="0"/>
      <w:iCs w:val="0"/>
      <w:smallCaps w:val="0"/>
      <w:strike w:val="0"/>
      <w:spacing w:val="0"/>
      <w:sz w:val="27"/>
      <w:szCs w:val="27"/>
    </w:rPr>
  </w:style>
  <w:style w:type="character" w:customStyle="1" w:styleId="af0">
    <w:name w:val="Основной текст + Курсив"/>
    <w:basedOn w:val="ae"/>
    <w:rsid w:val="00012B7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6">
    <w:name w:val="Основной текст (6)_"/>
    <w:basedOn w:val="a0"/>
    <w:link w:val="60"/>
    <w:rsid w:val="00012B7F"/>
    <w:rPr>
      <w:rFonts w:ascii="Times New Roman" w:eastAsia="Times New Roman" w:hAnsi="Times New Roman"/>
      <w:sz w:val="27"/>
      <w:szCs w:val="27"/>
      <w:shd w:val="clear" w:color="auto" w:fill="FFFFFF"/>
    </w:rPr>
  </w:style>
  <w:style w:type="character" w:customStyle="1" w:styleId="120">
    <w:name w:val="Заголовок №1 (2)"/>
    <w:basedOn w:val="12"/>
    <w:rsid w:val="00012B7F"/>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60">
    <w:name w:val="Основной текст (6)"/>
    <w:basedOn w:val="a"/>
    <w:link w:val="6"/>
    <w:rsid w:val="00012B7F"/>
    <w:pPr>
      <w:shd w:val="clear" w:color="auto" w:fill="FFFFFF"/>
      <w:spacing w:line="350" w:lineRule="exact"/>
      <w:jc w:val="both"/>
    </w:pPr>
    <w:rPr>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260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4FBB-F906-43EE-90B7-C167BB5A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1401</Words>
  <Characters>7991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Analiza avizelor la proiectul Hotărîri de Guvern cu privire la reorganizarea prin fuziune (contopire) a</vt:lpstr>
      <vt:lpstr>Analiza avizelor la proiectul Hotărîri de Guvern cu privire la reorganizarea prin fuziune (contopire) a</vt:lpstr>
    </vt:vector>
  </TitlesOfParts>
  <Company>SPecialiST RePack</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avizelor la proiectul Hotărîri de Guvern cu privire la reorganizarea prin fuziune (contopire) a</dc:title>
  <dc:creator>PIU01</dc:creator>
  <cp:lastModifiedBy>Nojac</cp:lastModifiedBy>
  <cp:revision>7</cp:revision>
  <cp:lastPrinted>2015-10-21T08:01:00Z</cp:lastPrinted>
  <dcterms:created xsi:type="dcterms:W3CDTF">2015-10-21T13:43:00Z</dcterms:created>
  <dcterms:modified xsi:type="dcterms:W3CDTF">2015-10-22T08:09:00Z</dcterms:modified>
</cp:coreProperties>
</file>