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CA" w:rsidRPr="00843D8C" w:rsidRDefault="000140CA" w:rsidP="00445B1E">
      <w:pPr>
        <w:spacing w:line="240" w:lineRule="auto"/>
        <w:ind w:left="1276" w:hanging="1276"/>
        <w:contextualSpacing/>
        <w:jc w:val="both"/>
        <w:rPr>
          <w:rFonts w:ascii="Times New Roman" w:hAnsi="Times New Roman"/>
          <w:b/>
          <w:color w:val="000000"/>
          <w:sz w:val="26"/>
          <w:szCs w:val="26"/>
          <w:lang w:val="ro-RO"/>
        </w:rPr>
      </w:pPr>
      <w:bookmarkStart w:id="0" w:name="_GoBack"/>
      <w:bookmarkEnd w:id="0"/>
      <w:r w:rsidRPr="00843D8C">
        <w:rPr>
          <w:rFonts w:ascii="Times New Roman" w:hAnsi="Times New Roman"/>
          <w:b/>
          <w:color w:val="000000"/>
          <w:sz w:val="26"/>
          <w:szCs w:val="26"/>
          <w:lang w:val="ro-RO"/>
        </w:rPr>
        <w:t>TITLUL: Analiza preliminară a impactului de reglementare efectuată pentru proiectul Hotărîrii Guvernului pentru aprobarea Reglementării tehnice „</w:t>
      </w:r>
      <w:r w:rsidRPr="00843D8C">
        <w:rPr>
          <w:rFonts w:ascii="Times New Roman" w:hAnsi="Times New Roman"/>
          <w:b/>
          <w:i/>
          <w:color w:val="000000"/>
          <w:sz w:val="26"/>
          <w:szCs w:val="26"/>
          <w:lang w:val="ro-RO"/>
        </w:rPr>
        <w:t>Compatibilitatea electromagnetică a echipamentelor</w:t>
      </w:r>
      <w:r w:rsidRPr="00843D8C">
        <w:rPr>
          <w:rFonts w:ascii="Times New Roman" w:hAnsi="Times New Roman"/>
          <w:b/>
          <w:color w:val="000000"/>
          <w:sz w:val="26"/>
          <w:szCs w:val="26"/>
          <w:lang w:val="ro-RO"/>
        </w:rPr>
        <w:t>”</w:t>
      </w:r>
    </w:p>
    <w:p w:rsidR="000140CA" w:rsidRPr="00843D8C" w:rsidRDefault="000140CA" w:rsidP="008348C5">
      <w:pPr>
        <w:spacing w:line="240" w:lineRule="auto"/>
        <w:ind w:left="1418" w:hanging="1276"/>
        <w:contextualSpacing/>
        <w:jc w:val="both"/>
        <w:rPr>
          <w:rFonts w:ascii="Times New Roman" w:hAnsi="Times New Roman"/>
          <w:b/>
          <w:color w:val="000000"/>
          <w:sz w:val="26"/>
          <w:szCs w:val="26"/>
          <w:lang w:val="ro-RO"/>
        </w:rPr>
      </w:pPr>
    </w:p>
    <w:p w:rsidR="000140CA" w:rsidRPr="00843D8C" w:rsidRDefault="000140CA" w:rsidP="00445B1E">
      <w:pPr>
        <w:spacing w:line="240" w:lineRule="auto"/>
        <w:ind w:left="1418" w:hanging="1418"/>
        <w:contextualSpacing/>
        <w:jc w:val="both"/>
        <w:rPr>
          <w:rFonts w:ascii="Times New Roman" w:hAnsi="Times New Roman"/>
          <w:b/>
          <w:color w:val="000000"/>
          <w:sz w:val="26"/>
          <w:szCs w:val="26"/>
          <w:lang w:val="ro-RO"/>
        </w:rPr>
      </w:pPr>
      <w:r w:rsidRPr="00843D8C">
        <w:rPr>
          <w:rFonts w:ascii="Times New Roman" w:hAnsi="Times New Roman"/>
          <w:b/>
          <w:color w:val="000000"/>
          <w:sz w:val="26"/>
          <w:szCs w:val="26"/>
          <w:lang w:val="ro-RO"/>
        </w:rPr>
        <w:t>AUTORITATEA PUBLICĂ: Ministerul Economiei</w:t>
      </w:r>
    </w:p>
    <w:p w:rsidR="000140CA" w:rsidRPr="00843D8C" w:rsidRDefault="000140CA" w:rsidP="008348C5">
      <w:pPr>
        <w:spacing w:line="240" w:lineRule="auto"/>
        <w:ind w:left="1418" w:hanging="1276"/>
        <w:contextualSpacing/>
        <w:jc w:val="both"/>
        <w:rPr>
          <w:rFonts w:ascii="Times New Roman" w:hAnsi="Times New Roman"/>
          <w:b/>
          <w:color w:val="000000"/>
          <w:sz w:val="26"/>
          <w:szCs w:val="26"/>
          <w:lang w:val="ro-RO"/>
        </w:rPr>
      </w:pPr>
    </w:p>
    <w:p w:rsidR="000140CA" w:rsidRPr="00843D8C" w:rsidRDefault="000140CA" w:rsidP="00445B1E">
      <w:pPr>
        <w:spacing w:line="240" w:lineRule="auto"/>
        <w:ind w:left="1418" w:hanging="1418"/>
        <w:contextualSpacing/>
        <w:jc w:val="both"/>
        <w:rPr>
          <w:rFonts w:ascii="Times New Roman" w:hAnsi="Times New Roman"/>
          <w:b/>
          <w:color w:val="000000"/>
          <w:sz w:val="26"/>
          <w:szCs w:val="26"/>
          <w:lang w:val="ro-RO"/>
        </w:rPr>
      </w:pPr>
      <w:r w:rsidRPr="00843D8C">
        <w:rPr>
          <w:rFonts w:ascii="Times New Roman" w:hAnsi="Times New Roman"/>
          <w:b/>
          <w:color w:val="000000"/>
          <w:sz w:val="26"/>
          <w:szCs w:val="26"/>
          <w:lang w:val="ro-RO"/>
        </w:rPr>
        <w:t>DATA:</w:t>
      </w:r>
    </w:p>
    <w:p w:rsidR="000140CA" w:rsidRPr="00843D8C" w:rsidRDefault="000140CA" w:rsidP="008348C5">
      <w:pPr>
        <w:spacing w:line="240" w:lineRule="auto"/>
        <w:ind w:left="1418" w:hanging="1276"/>
        <w:contextualSpacing/>
        <w:jc w:val="both"/>
        <w:rPr>
          <w:rFonts w:ascii="Times New Roman" w:hAnsi="Times New Roman"/>
          <w:b/>
          <w:color w:val="000000"/>
          <w:sz w:val="26"/>
          <w:szCs w:val="26"/>
          <w:lang w:val="ro-RO"/>
        </w:rPr>
      </w:pPr>
    </w:p>
    <w:p w:rsidR="000140CA" w:rsidRPr="00843D8C" w:rsidRDefault="000140CA" w:rsidP="00882FE8">
      <w:pPr>
        <w:spacing w:line="240" w:lineRule="auto"/>
        <w:ind w:left="1418" w:hanging="709"/>
        <w:contextualSpacing/>
        <w:jc w:val="both"/>
        <w:rPr>
          <w:rFonts w:ascii="Times New Roman" w:hAnsi="Times New Roman"/>
          <w:b/>
          <w:i/>
          <w:color w:val="000000"/>
          <w:sz w:val="26"/>
          <w:szCs w:val="26"/>
          <w:lang w:val="ro-RO"/>
        </w:rPr>
      </w:pPr>
      <w:r w:rsidRPr="00843D8C">
        <w:rPr>
          <w:rFonts w:ascii="Times New Roman" w:hAnsi="Times New Roman"/>
          <w:b/>
          <w:i/>
          <w:color w:val="000000"/>
          <w:sz w:val="26"/>
          <w:szCs w:val="26"/>
          <w:lang w:val="ro-RO"/>
        </w:rPr>
        <w:t>Introducere</w:t>
      </w:r>
    </w:p>
    <w:p w:rsidR="000140CA" w:rsidRPr="00843D8C" w:rsidRDefault="000140CA" w:rsidP="004969C0">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Analiza preliminară a impactului de reglementare (în continuare - AIR) efectuată pentru proiectul Hotărîrii Guvernului pentru aprobarea Reglementării tehnice „ Compatibilitatea electromagnetică a echipamentelor”, este elaborată în scopul armonizării cadrului normativ cu prevederile Directivei 2014/30/UE a Parlamentului European şi a Consiliului din 26 februarie 2014 privind armonizarea legislațiilor statelor membre cu privire la compatibilitatea electromagnetică (reformare). Totodată, este necesar de menţionat căAIRa fost elaborat în temeiul art. 13 din Legea nr. 235-XVI din 20.07.2006 cu privire la principiile de bază de reglementare a activităţii de întreprinzător (</w:t>
      </w:r>
      <w:r w:rsidRPr="00843D8C">
        <w:rPr>
          <w:rFonts w:ascii="Times New Roman" w:hAnsi="Times New Roman"/>
          <w:i/>
          <w:color w:val="000000"/>
          <w:sz w:val="26"/>
          <w:szCs w:val="26"/>
          <w:lang w:val="ro-RO"/>
        </w:rPr>
        <w:t>Monitorul Oficial al Republicii Moldova, 2006, nr. 126-130, art. 627</w:t>
      </w:r>
      <w:r w:rsidRPr="00843D8C">
        <w:rPr>
          <w:rFonts w:ascii="Times New Roman" w:hAnsi="Times New Roman"/>
          <w:color w:val="000000"/>
          <w:sz w:val="26"/>
          <w:szCs w:val="26"/>
          <w:lang w:val="ro-RO"/>
        </w:rPr>
        <w:t>), precum şi în corespundere cu Metodologia de analiză a impactului de reglementare şi de monitorizare a eficienţei actului de reglementare, aprobată prin Hotărîrea Guvernului nr. 1230 din 24.10.2006 (</w:t>
      </w:r>
      <w:r w:rsidRPr="00843D8C">
        <w:rPr>
          <w:rFonts w:ascii="Times New Roman" w:hAnsi="Times New Roman"/>
          <w:i/>
          <w:color w:val="000000"/>
          <w:sz w:val="26"/>
          <w:szCs w:val="26"/>
          <w:lang w:val="ro-RO"/>
        </w:rPr>
        <w:t>Monitorul Oficial al Republicii Moldova, 2006, nr. 170-173, art. 1321</w:t>
      </w:r>
      <w:r w:rsidRPr="00843D8C">
        <w:rPr>
          <w:rFonts w:ascii="Times New Roman" w:hAnsi="Times New Roman"/>
          <w:color w:val="000000"/>
          <w:sz w:val="26"/>
          <w:szCs w:val="26"/>
          <w:lang w:val="ro-RO"/>
        </w:rPr>
        <w:t>).</w:t>
      </w:r>
    </w:p>
    <w:p w:rsidR="000140CA" w:rsidRPr="00843D8C" w:rsidRDefault="000140CA" w:rsidP="004969C0">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În urma analizei descrise în AIR-ul respectiv, urmează a fi elaborat proiectul Hotărîrii Guvernului, implementarea căruia va aduce înconcordanță actele normative ale Republicii Moldova cu prevederile Directivei 2014/30/UE a Parlamentului European şi a Consiliului din 26 februarie 2014 privind armonizarea legislațiilor statelor membre cu privire la compatibilitatea electromagnetică (reformare).</w:t>
      </w:r>
    </w:p>
    <w:p w:rsidR="000140CA" w:rsidRPr="00843D8C" w:rsidRDefault="000140CA" w:rsidP="004969C0">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882FE8">
      <w:pPr>
        <w:spacing w:line="240" w:lineRule="auto"/>
        <w:ind w:firstLine="709"/>
        <w:contextualSpacing/>
        <w:jc w:val="both"/>
        <w:rPr>
          <w:rFonts w:ascii="Times New Roman" w:hAnsi="Times New Roman"/>
          <w:b/>
          <w:i/>
          <w:color w:val="000000"/>
          <w:sz w:val="26"/>
          <w:szCs w:val="26"/>
          <w:lang w:val="ro-RO"/>
        </w:rPr>
      </w:pPr>
      <w:r w:rsidRPr="00843D8C">
        <w:rPr>
          <w:rFonts w:ascii="Times New Roman" w:hAnsi="Times New Roman"/>
          <w:b/>
          <w:i/>
          <w:color w:val="000000"/>
          <w:sz w:val="26"/>
          <w:szCs w:val="26"/>
          <w:lang w:val="ro-RO"/>
        </w:rPr>
        <w:t>Obiectul de reglementare</w:t>
      </w:r>
    </w:p>
    <w:p w:rsidR="000140CA" w:rsidRPr="00843D8C" w:rsidRDefault="000140CA" w:rsidP="00812F41">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Proiectul elaborat va transpune Directiva 2014/30/UE a Parlamentului European şi a Consiliului din 26 februarie 2014 privind armonizarea legislaţiilor statelor membre cu privire la compatibilitatea electromagnetică (reformare) şi se aplică aparatelor şi echipamentelor susceptibil de a produce perturbații electromagnetice sau a cărui funcţionare este susceptibilă de a fi afectată astfel de perturbaţii, drept exemplu se poate de menţionat echipamente de joasă tensiune, întrerupătoare automate de curent, aparate electrocasnice, aparate de corecţie auditivă, echipamente pentru măsurarea energiei electrice, echipamente pentru iluminat, receptoare de radiodifuziune şi televiziune etc. </w:t>
      </w:r>
    </w:p>
    <w:p w:rsidR="000140CA" w:rsidRPr="00843D8C" w:rsidRDefault="000140CA" w:rsidP="000D6933">
      <w:pPr>
        <w:spacing w:after="0" w:line="240" w:lineRule="auto"/>
        <w:ind w:firstLine="708"/>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Proiectul definește obiectul de reglementare: </w:t>
      </w:r>
    </w:p>
    <w:p w:rsidR="000140CA" w:rsidRPr="00843D8C" w:rsidRDefault="000140CA" w:rsidP="000D6933">
      <w:pPr>
        <w:spacing w:after="0" w:line="240" w:lineRule="auto"/>
        <w:jc w:val="both"/>
        <w:rPr>
          <w:rFonts w:ascii="Times New Roman" w:hAnsi="Times New Roman"/>
          <w:color w:val="993300"/>
          <w:sz w:val="26"/>
          <w:szCs w:val="26"/>
          <w:lang w:val="ro-RO"/>
        </w:rPr>
      </w:pPr>
      <w:r w:rsidRPr="00843D8C">
        <w:rPr>
          <w:rFonts w:ascii="Times New Roman" w:hAnsi="Times New Roman"/>
          <w:color w:val="993300"/>
          <w:sz w:val="26"/>
          <w:szCs w:val="26"/>
          <w:lang w:val="ro-RO"/>
        </w:rPr>
        <w:t>-„componentele” sau „subansamblurile” destinate incorporării într-un aparat de către utilizatorul final, care sunt susceptibile să genereze perturbații electromagnetice sau a căror funcționare este susceptibilă de a fi afectată de astfel de perturbații;</w:t>
      </w:r>
    </w:p>
    <w:p w:rsidR="000140CA" w:rsidRPr="00843D8C" w:rsidRDefault="000140CA" w:rsidP="006D5593">
      <w:pPr>
        <w:spacing w:after="0" w:line="240" w:lineRule="auto"/>
        <w:jc w:val="both"/>
        <w:rPr>
          <w:rFonts w:ascii="Times New Roman" w:hAnsi="Times New Roman"/>
          <w:color w:val="993300"/>
          <w:sz w:val="26"/>
          <w:szCs w:val="26"/>
          <w:lang w:val="it-IT"/>
        </w:rPr>
      </w:pPr>
      <w:r w:rsidRPr="00843D8C">
        <w:rPr>
          <w:rFonts w:ascii="Times New Roman" w:hAnsi="Times New Roman"/>
          <w:color w:val="993300"/>
          <w:sz w:val="26"/>
          <w:szCs w:val="26"/>
          <w:lang w:val="it-IT"/>
        </w:rPr>
        <w:t>- instalațiile mobile” definite ca o combinație de aparate și, după caz, alte dispozitive, destinate deplasării și funcționării în mai multe amplasamente.</w:t>
      </w:r>
    </w:p>
    <w:p w:rsidR="000140CA" w:rsidRPr="00843D8C" w:rsidRDefault="000140CA" w:rsidP="006D5593">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Sub incidenţa proiectului Hotărîrii Guvernului nu cad echipamentele hertziene şi echipamentele terminale de telecomunicații, produseleşi echipamentele aeronautice, echipamentele radio folosite de radioamatori în sensul reglementărilor radio, etc. </w:t>
      </w:r>
    </w:p>
    <w:p w:rsidR="000140CA" w:rsidRPr="00843D8C" w:rsidRDefault="000140CA" w:rsidP="00812F41">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812F41">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812F41">
      <w:pPr>
        <w:spacing w:line="240" w:lineRule="auto"/>
        <w:contextualSpacing/>
        <w:jc w:val="both"/>
        <w:rPr>
          <w:rFonts w:ascii="Times New Roman" w:hAnsi="Times New Roman"/>
          <w:b/>
          <w:color w:val="000000"/>
          <w:sz w:val="26"/>
          <w:szCs w:val="26"/>
          <w:lang w:val="ro-RO"/>
        </w:rPr>
      </w:pPr>
      <w:r w:rsidRPr="00843D8C">
        <w:rPr>
          <w:rFonts w:ascii="Times New Roman" w:hAnsi="Times New Roman"/>
          <w:b/>
          <w:color w:val="000000"/>
          <w:sz w:val="26"/>
          <w:szCs w:val="26"/>
          <w:lang w:val="ro-RO"/>
        </w:rPr>
        <w:t>DEFINIREA PROBLEMEI</w:t>
      </w:r>
    </w:p>
    <w:p w:rsidR="000140CA" w:rsidRPr="00843D8C" w:rsidRDefault="000140CA" w:rsidP="00812F41">
      <w:pPr>
        <w:spacing w:line="240" w:lineRule="auto"/>
        <w:contextualSpacing/>
        <w:jc w:val="both"/>
        <w:rPr>
          <w:rFonts w:ascii="Times New Roman" w:hAnsi="Times New Roman"/>
          <w:b/>
          <w:color w:val="000000"/>
          <w:sz w:val="26"/>
          <w:szCs w:val="26"/>
          <w:lang w:val="ro-RO"/>
        </w:rPr>
      </w:pPr>
    </w:p>
    <w:p w:rsidR="000140CA" w:rsidRPr="00843D8C" w:rsidRDefault="000140CA" w:rsidP="00812F41">
      <w:pPr>
        <w:spacing w:line="240" w:lineRule="auto"/>
        <w:ind w:firstLine="709"/>
        <w:contextualSpacing/>
        <w:jc w:val="both"/>
        <w:rPr>
          <w:rFonts w:ascii="Times New Roman" w:hAnsi="Times New Roman"/>
          <w:b/>
          <w:i/>
          <w:color w:val="000000"/>
          <w:sz w:val="26"/>
          <w:szCs w:val="26"/>
          <w:lang w:val="ro-RO"/>
        </w:rPr>
      </w:pPr>
      <w:r w:rsidRPr="00843D8C">
        <w:rPr>
          <w:rFonts w:ascii="Times New Roman" w:hAnsi="Times New Roman"/>
          <w:b/>
          <w:i/>
          <w:color w:val="000000"/>
          <w:sz w:val="26"/>
          <w:szCs w:val="26"/>
          <w:lang w:val="ro-RO"/>
        </w:rPr>
        <w:lastRenderedPageBreak/>
        <w:t>Componenta juridică</w:t>
      </w:r>
    </w:p>
    <w:p w:rsidR="000140CA" w:rsidRPr="00843D8C" w:rsidRDefault="000140CA" w:rsidP="00812F41">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Actualmente, domeniul respectiv este reglementat prin Reglementarea tehnică „Compatibilitatea electromagnetică a echipamentelor”, aprobată prin Hotărîrea Guvernului nr. 95 din 04.02.2008 (</w:t>
      </w:r>
      <w:r w:rsidRPr="00843D8C">
        <w:rPr>
          <w:rFonts w:ascii="Times New Roman" w:hAnsi="Times New Roman"/>
          <w:i/>
          <w:color w:val="000000"/>
          <w:sz w:val="26"/>
          <w:szCs w:val="26"/>
          <w:lang w:val="ro-RO"/>
        </w:rPr>
        <w:t>Monitorul Oficial, 2008, nr. 32-33, art. 176</w:t>
      </w:r>
      <w:r w:rsidRPr="00843D8C">
        <w:rPr>
          <w:rFonts w:ascii="Times New Roman" w:hAnsi="Times New Roman"/>
          <w:color w:val="000000"/>
          <w:sz w:val="26"/>
          <w:szCs w:val="26"/>
          <w:lang w:val="ro-RO"/>
        </w:rPr>
        <w:t xml:space="preserve">). </w:t>
      </w:r>
    </w:p>
    <w:p w:rsidR="000140CA" w:rsidRPr="00843D8C" w:rsidRDefault="000140CA" w:rsidP="00812F41">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Prevederile reglementării tehnice respective, parţial transpun Directiva 2004/108/CE a Parlamentului European şi a Consiliului din 15 decembrie 2004 privind apropierea legislaţiilor statelor membre cu privire la compatibilitatea electromagnetică şi de abrogare a Directivei 89/336/CEE. </w:t>
      </w:r>
    </w:p>
    <w:p w:rsidR="000140CA" w:rsidRPr="00843D8C" w:rsidRDefault="000140CA" w:rsidP="00476EF6">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Este necesar de menţionat că a fost efectuată o analiză a prevederilor din Directiva 2014/30/UE şi Hotărîrea Guvernului nr. 95 din 04.02.2008 în vigoare. Urmare analizei s-a constatat că în Hotărîrea Guvernului nr. 95 nu au fost prevăzute un șir de cerințe importante, și anume:</w:t>
      </w:r>
    </w:p>
    <w:p w:rsidR="000140CA" w:rsidRPr="00843D8C" w:rsidRDefault="000140CA" w:rsidP="00476EF6">
      <w:pPr>
        <w:pStyle w:val="Default"/>
        <w:ind w:firstLine="567"/>
        <w:jc w:val="both"/>
        <w:rPr>
          <w:rFonts w:ascii="Times New Roman" w:hAnsi="Times New Roman" w:cs="Times New Roman"/>
          <w:sz w:val="26"/>
          <w:szCs w:val="26"/>
          <w:lang w:val="ro-RO"/>
        </w:rPr>
      </w:pPr>
      <w:r w:rsidRPr="00843D8C">
        <w:rPr>
          <w:rFonts w:ascii="Times New Roman" w:hAnsi="Times New Roman" w:cs="Times New Roman"/>
          <w:sz w:val="26"/>
          <w:szCs w:val="26"/>
          <w:lang w:val="ro-RO"/>
        </w:rPr>
        <w:t>- prevederi clare și proporționale vis-a-vis cu obligațiile care corespund rolului deținut de fiecare agent economic în lanțul de furnizare și distribuție;</w:t>
      </w:r>
    </w:p>
    <w:p w:rsidR="000140CA" w:rsidRPr="00843D8C" w:rsidRDefault="000140CA" w:rsidP="00476EF6">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prevederi despre faptul că la introducerea pe piață în obligația producătorului, reprezentantului autorizat, importatorului sau distribuitorului intră indicarea datelor de contact pe aparat;</w:t>
      </w:r>
    </w:p>
    <w:p w:rsidR="000140CA" w:rsidRPr="00843D8C" w:rsidRDefault="000140CA" w:rsidP="00476EF6">
      <w:pPr>
        <w:pStyle w:val="Default"/>
        <w:ind w:firstLine="708"/>
        <w:jc w:val="both"/>
        <w:rPr>
          <w:rFonts w:ascii="Times New Roman" w:hAnsi="Times New Roman" w:cs="Times New Roman"/>
          <w:sz w:val="26"/>
          <w:szCs w:val="26"/>
          <w:lang w:val="ro-RO"/>
        </w:rPr>
      </w:pPr>
      <w:r w:rsidRPr="00843D8C">
        <w:rPr>
          <w:rFonts w:ascii="Times New Roman" w:hAnsi="Times New Roman" w:cs="Times New Roman"/>
          <w:sz w:val="26"/>
          <w:szCs w:val="26"/>
          <w:lang w:val="ro-RO"/>
        </w:rPr>
        <w:t>- prevederi privind stabilirea</w:t>
      </w:r>
      <w:r w:rsidRPr="00843D8C">
        <w:rPr>
          <w:rFonts w:ascii="Times New Roman" w:hAnsi="Times New Roman" w:cs="Times New Roman"/>
          <w:bCs/>
          <w:sz w:val="26"/>
          <w:szCs w:val="26"/>
          <w:lang w:val="ro-RO"/>
        </w:rPr>
        <w:t xml:space="preserve"> noilor proceduri de evaluare a conformității a produselor industriale din domeniul reglementat, </w:t>
      </w:r>
    </w:p>
    <w:p w:rsidR="000140CA" w:rsidRPr="00843D8C" w:rsidRDefault="000140CA" w:rsidP="00476EF6">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obligația de a păstra documentația tehnică și declarația de conformitate timp de 10 ani pentru echipamentele electrice introduse pe piață;</w:t>
      </w:r>
    </w:p>
    <w:p w:rsidR="000140CA" w:rsidRPr="00843D8C" w:rsidRDefault="000140CA" w:rsidP="00476EF6">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cerințe şi reguli cu referire la procedurile de notificare ale organismului de evaluare a conformităţii (anterior au fost stabilite cerințe privind desemnarea numai a laboratorului de încercări);</w:t>
      </w:r>
    </w:p>
    <w:p w:rsidR="000140CA" w:rsidRPr="00843D8C" w:rsidRDefault="000140CA" w:rsidP="00476EF6">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procedurile aplicabile aparatelor care prezintă un risc la nivelul naţional de către Agenția pentru Protecția Consumatorilor în vederea eliminării acestor riscuri;</w:t>
      </w:r>
    </w:p>
    <w:p w:rsidR="000140CA" w:rsidRPr="00843D8C" w:rsidRDefault="000140CA" w:rsidP="00476EF6">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directiva enunțată conține prevederi atît pentru clasificarea neconformităților de către autoritățile de supraveghere a pieței, cît și acțiunile privind remedierea acestor neconformități.</w:t>
      </w:r>
    </w:p>
    <w:p w:rsidR="000140CA" w:rsidRPr="00843D8C" w:rsidRDefault="000140CA" w:rsidP="00476EF6">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producătorii vor aplica numai marcajul ”CE”, care atestă că echipamentul electric îndeplineşte cerinţele esențiale.</w:t>
      </w:r>
    </w:p>
    <w:p w:rsidR="000140CA" w:rsidRPr="00843D8C" w:rsidRDefault="000140CA" w:rsidP="000F76C0">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Proiectul reglementării tehnice „Compatibilitatea electromagnetică a echipamentelor” este corelat cu prevederile existente şi terminologia definită de următoarele acte normative:</w:t>
      </w:r>
    </w:p>
    <w:p w:rsidR="000140CA" w:rsidRPr="00843D8C" w:rsidRDefault="000140CA" w:rsidP="00A1016C">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Legea nr. 235 din 01.12.2011 privind activităţile de acreditare şi de evaluare a conformităţii (</w:t>
      </w:r>
      <w:r w:rsidRPr="00843D8C">
        <w:rPr>
          <w:rFonts w:ascii="Times New Roman" w:hAnsi="Times New Roman"/>
          <w:i/>
          <w:color w:val="000000"/>
          <w:sz w:val="26"/>
          <w:szCs w:val="26"/>
          <w:lang w:val="ro-RO"/>
        </w:rPr>
        <w:t>Monitorul Oficial, 2012, nr. 46-47, art. 136</w:t>
      </w:r>
      <w:r w:rsidRPr="00843D8C">
        <w:rPr>
          <w:rFonts w:ascii="Times New Roman" w:hAnsi="Times New Roman"/>
          <w:color w:val="000000"/>
          <w:sz w:val="26"/>
          <w:szCs w:val="26"/>
          <w:lang w:val="ro-RO"/>
        </w:rPr>
        <w:t>). Conform art. 18 din Legea menţionată „</w:t>
      </w:r>
      <w:r w:rsidRPr="00843D8C">
        <w:rPr>
          <w:rFonts w:ascii="Times New Roman" w:hAnsi="Times New Roman"/>
          <w:i/>
          <w:color w:val="000000"/>
          <w:sz w:val="26"/>
          <w:szCs w:val="26"/>
          <w:lang w:val="ro-RO"/>
        </w:rPr>
        <w:t>Evaluarea conformităţii cu titlu obligatoriu se realizează pentru produsele din domeniile prevăzute la anexa nr.3</w:t>
      </w:r>
      <w:r w:rsidRPr="00843D8C">
        <w:rPr>
          <w:rFonts w:ascii="Times New Roman" w:hAnsi="Times New Roman"/>
          <w:color w:val="000000"/>
          <w:sz w:val="26"/>
          <w:szCs w:val="26"/>
          <w:lang w:val="ro-RO"/>
        </w:rPr>
        <w:t>”. În Anexa nr. 3 la Lege este specificat că domeniul „</w:t>
      </w:r>
      <w:r w:rsidRPr="00843D8C">
        <w:rPr>
          <w:rFonts w:ascii="Times New Roman" w:hAnsi="Times New Roman"/>
          <w:i/>
          <w:color w:val="000000"/>
          <w:sz w:val="26"/>
          <w:szCs w:val="26"/>
          <w:lang w:val="ro-RO"/>
        </w:rPr>
        <w:t>Compatibilitatea electromagnetică</w:t>
      </w:r>
      <w:r w:rsidRPr="00843D8C">
        <w:rPr>
          <w:rFonts w:ascii="Times New Roman" w:hAnsi="Times New Roman"/>
          <w:color w:val="000000"/>
          <w:sz w:val="26"/>
          <w:szCs w:val="26"/>
          <w:lang w:val="ro-RO"/>
        </w:rPr>
        <w:t>” prezintă domeniul reglementat;</w:t>
      </w:r>
    </w:p>
    <w:p w:rsidR="000140CA" w:rsidRPr="00843D8C" w:rsidRDefault="000140CA" w:rsidP="000F76C0">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Legea nr. 420-XVI din 22.12.2006 privind activitatea de reglementarea tehnică (</w:t>
      </w:r>
      <w:r w:rsidRPr="00843D8C">
        <w:rPr>
          <w:rFonts w:ascii="Times New Roman" w:hAnsi="Times New Roman"/>
          <w:i/>
          <w:color w:val="000000"/>
          <w:sz w:val="26"/>
          <w:szCs w:val="26"/>
          <w:lang w:val="ro-RO"/>
        </w:rPr>
        <w:t>Monitorul Oficial, 2007, nr. 36-38, art. 141</w:t>
      </w:r>
      <w:r w:rsidRPr="00843D8C">
        <w:rPr>
          <w:rFonts w:ascii="Times New Roman" w:hAnsi="Times New Roman"/>
          <w:color w:val="000000"/>
          <w:sz w:val="26"/>
          <w:szCs w:val="26"/>
          <w:lang w:val="ro-RO"/>
        </w:rPr>
        <w:t>);</w:t>
      </w:r>
    </w:p>
    <w:p w:rsidR="000140CA" w:rsidRPr="00843D8C" w:rsidRDefault="000140CA" w:rsidP="000F76C0">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Legea nr. 590 din 22.09.1995 cu privire la standardizare (</w:t>
      </w:r>
      <w:r w:rsidRPr="00843D8C">
        <w:rPr>
          <w:rFonts w:ascii="Times New Roman" w:hAnsi="Times New Roman"/>
          <w:i/>
          <w:color w:val="000000"/>
          <w:sz w:val="26"/>
          <w:szCs w:val="26"/>
          <w:lang w:val="ro-RO"/>
        </w:rPr>
        <w:t>Monitorul Oficial, 2012, nr.99-102, art. 328</w:t>
      </w:r>
      <w:r w:rsidRPr="00843D8C">
        <w:rPr>
          <w:rFonts w:ascii="Times New Roman" w:hAnsi="Times New Roman"/>
          <w:color w:val="000000"/>
          <w:sz w:val="26"/>
          <w:szCs w:val="26"/>
          <w:lang w:val="ro-RO"/>
        </w:rPr>
        <w:t>);</w:t>
      </w:r>
    </w:p>
    <w:p w:rsidR="000140CA" w:rsidRPr="00843D8C" w:rsidRDefault="000140CA" w:rsidP="000F76C0">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Hotărîrea Guvernului nr. 49 din 15.01.2013 cu privire la aprobarea Regulamentului privind procedurile de evaluare a conformităţii produselor industriale din domeniul reglementat (module) (</w:t>
      </w:r>
      <w:r w:rsidRPr="00843D8C">
        <w:rPr>
          <w:rFonts w:ascii="Times New Roman" w:hAnsi="Times New Roman"/>
          <w:i/>
          <w:color w:val="000000"/>
          <w:sz w:val="26"/>
          <w:szCs w:val="26"/>
          <w:lang w:val="ro-RO"/>
        </w:rPr>
        <w:t>Monitorul Oficial, 2013, nr. 10-14, art. 72</w:t>
      </w:r>
      <w:r w:rsidRPr="00843D8C">
        <w:rPr>
          <w:rFonts w:ascii="Times New Roman" w:hAnsi="Times New Roman"/>
          <w:color w:val="000000"/>
          <w:sz w:val="26"/>
          <w:szCs w:val="26"/>
          <w:lang w:val="ro-RO"/>
        </w:rPr>
        <w:t>).</w:t>
      </w:r>
    </w:p>
    <w:p w:rsidR="000140CA" w:rsidRPr="00843D8C" w:rsidRDefault="000140CA" w:rsidP="00812F41">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Totodată, elaborarea şi adoptarea proiectului de act normativ reiese din angajamentele asumate în cadrul acordurilor şi documentelor de politici publice, precum </w:t>
      </w:r>
      <w:r w:rsidRPr="00843D8C">
        <w:rPr>
          <w:rFonts w:ascii="Times New Roman" w:hAnsi="Times New Roman"/>
          <w:color w:val="000000"/>
          <w:sz w:val="26"/>
          <w:szCs w:val="26"/>
          <w:lang w:val="ro-RO"/>
        </w:rPr>
        <w:lastRenderedPageBreak/>
        <w:t>şi din obligația de a armoniza politicile naţionale cu acquis-ul comunitar, principalele documente fiind:</w:t>
      </w:r>
    </w:p>
    <w:p w:rsidR="000140CA" w:rsidRPr="00843D8C" w:rsidRDefault="000140CA" w:rsidP="00EF0C56">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-Acordul de Asociere între Republica Moldova, pe de o parte, şi Uniunea Europeană şi Comunitatea Europeană a Energiei Atomice şi statele membre ale acestora pe de altă parte, ratificat prin Legea nr. 112 din 02.07.2014 (</w:t>
      </w:r>
      <w:r w:rsidRPr="00843D8C">
        <w:rPr>
          <w:rFonts w:ascii="Times New Roman" w:hAnsi="Times New Roman"/>
          <w:i/>
          <w:color w:val="000000"/>
          <w:sz w:val="26"/>
          <w:szCs w:val="26"/>
          <w:lang w:val="ro-RO"/>
        </w:rPr>
        <w:t>Monitorul Oficial, 2014, nr. 185-199, art. 442</w:t>
      </w:r>
      <w:r w:rsidRPr="00843D8C">
        <w:rPr>
          <w:rFonts w:ascii="Times New Roman" w:hAnsi="Times New Roman"/>
          <w:color w:val="000000"/>
          <w:sz w:val="26"/>
          <w:szCs w:val="26"/>
          <w:lang w:val="ro-RO"/>
        </w:rPr>
        <w:t xml:space="preserve">) şi anume art.173 alin. (1) care prevede că </w:t>
      </w:r>
      <w:r w:rsidRPr="00843D8C">
        <w:rPr>
          <w:rFonts w:ascii="Times New Roman" w:hAnsi="Times New Roman"/>
          <w:i/>
          <w:color w:val="000000"/>
          <w:sz w:val="26"/>
          <w:szCs w:val="26"/>
          <w:lang w:val="ro-RO"/>
        </w:rPr>
        <w:t xml:space="preserve">Republica Moldova o să ia măsurile necesare pentru a asigura în mod progresiv conformitatea cu obiectivele Uniunii în materie de reglementări tehnice, standarde, metrologie, acreditare, evaluarea conformităţii, sisteme corespunzătoare şi sistemul de supraveghere a pieţei, şi se angajează să urmeze principiile şi practica prevăzute în </w:t>
      </w:r>
      <w:r w:rsidRPr="00843D8C">
        <w:rPr>
          <w:rFonts w:ascii="Times New Roman" w:hAnsi="Times New Roman"/>
          <w:i/>
          <w:iCs/>
          <w:color w:val="000000"/>
          <w:sz w:val="26"/>
          <w:szCs w:val="26"/>
          <w:lang w:val="ro-RO"/>
        </w:rPr>
        <w:t>acquis</w:t>
      </w:r>
      <w:r w:rsidRPr="00843D8C">
        <w:rPr>
          <w:rFonts w:ascii="Times New Roman" w:hAnsi="Times New Roman"/>
          <w:i/>
          <w:color w:val="000000"/>
          <w:sz w:val="26"/>
          <w:szCs w:val="26"/>
          <w:lang w:val="ro-RO"/>
        </w:rPr>
        <w:t>-ul relevant al Uniunii.</w:t>
      </w:r>
    </w:p>
    <w:p w:rsidR="000140CA" w:rsidRPr="00843D8C" w:rsidRDefault="000140CA" w:rsidP="00C0006B">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Hotărîrea Guvernului nr. 808 din 07.10.2014 cu privire la aprobarea Planului naţional pentru implementarea Acordului de Asociere Republica Moldova – Uniunea Europeană în perioada 2014-2016 (Monitorul Oficial, 2014, nr. 297-309, art. 851);</w:t>
      </w:r>
    </w:p>
    <w:p w:rsidR="000140CA" w:rsidRPr="00843D8C" w:rsidRDefault="000140CA" w:rsidP="00C0006B">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În același timp,menționăm faptul că Directiva 2004/108/CE pe 20.04.2016 va fi abrogată în Uniunea Europeană.</w:t>
      </w:r>
    </w:p>
    <w:p w:rsidR="000140CA" w:rsidRPr="00843D8C" w:rsidRDefault="000140CA" w:rsidP="00C0006B">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Astfel, conform prevederilor Hotărîrii Guvernului nr. 808 din 07.10.2014, Ministerul Economiei urmează să revizuiască şi armonizezeHotărîrea Guvernului nr. 95 din 04.02.2008cu Directiva 2014/30/UE. </w:t>
      </w:r>
    </w:p>
    <w:p w:rsidR="000140CA" w:rsidRPr="00843D8C" w:rsidRDefault="000140CA" w:rsidP="00FF3A3D">
      <w:pPr>
        <w:spacing w:after="0" w:line="240" w:lineRule="auto"/>
        <w:ind w:firstLine="708"/>
        <w:jc w:val="both"/>
        <w:rPr>
          <w:rFonts w:ascii="Times New Roman" w:hAnsi="Times New Roman"/>
          <w:bCs/>
          <w:color w:val="000000"/>
          <w:sz w:val="26"/>
          <w:szCs w:val="26"/>
          <w:lang w:val="ro-RO" w:eastAsia="ru-RU"/>
        </w:rPr>
      </w:pPr>
      <w:r w:rsidRPr="00843D8C">
        <w:rPr>
          <w:rFonts w:ascii="Times New Roman" w:hAnsi="Times New Roman"/>
          <w:color w:val="000000"/>
          <w:sz w:val="26"/>
          <w:szCs w:val="26"/>
          <w:lang w:val="ro-RO"/>
        </w:rPr>
        <w:t xml:space="preserve">Sub aspectul prevederilor Hotărîrii Guvernului </w:t>
      </w:r>
      <w:r w:rsidRPr="00843D8C">
        <w:rPr>
          <w:rFonts w:ascii="Times New Roman" w:hAnsi="Times New Roman"/>
          <w:bCs/>
          <w:color w:val="000000"/>
          <w:sz w:val="26"/>
          <w:szCs w:val="26"/>
          <w:lang w:val="ro-RO" w:eastAsia="ru-RU"/>
        </w:rPr>
        <w:t xml:space="preserve">nr. 1181 din 22.12.2010 privind monitorizarea procesului de implementare a legislaţiei s-a constatat că </w:t>
      </w:r>
      <w:r w:rsidRPr="00843D8C">
        <w:rPr>
          <w:rFonts w:ascii="Times New Roman" w:hAnsi="Times New Roman"/>
          <w:color w:val="000000"/>
          <w:sz w:val="26"/>
          <w:szCs w:val="26"/>
          <w:lang w:val="ro-RO"/>
        </w:rPr>
        <w:t xml:space="preserve">Hotărîrea Guvernului nr. 95 nu poate fi aplicată în măsură deplină, motivul fiind nedotarea LÎ respective pentru efectuării încercărilor în vederea satisfacerii cerințelor stabilite în standardele conexe. Pînă la momentul actual se utilizează standarde GOST. </w:t>
      </w:r>
    </w:p>
    <w:p w:rsidR="000140CA" w:rsidRPr="00843D8C" w:rsidRDefault="000140CA" w:rsidP="00131B65">
      <w:pPr>
        <w:spacing w:after="0" w:line="240" w:lineRule="auto"/>
        <w:ind w:firstLine="708"/>
        <w:jc w:val="both"/>
        <w:rPr>
          <w:rFonts w:ascii="Times New Roman" w:hAnsi="Times New Roman"/>
          <w:color w:val="000000"/>
          <w:sz w:val="26"/>
          <w:szCs w:val="26"/>
          <w:lang w:val="ro-RO" w:eastAsia="ru-RU"/>
        </w:rPr>
      </w:pPr>
      <w:r w:rsidRPr="00843D8C">
        <w:rPr>
          <w:rFonts w:ascii="Times New Roman" w:hAnsi="Times New Roman"/>
          <w:color w:val="000000"/>
          <w:sz w:val="26"/>
          <w:szCs w:val="26"/>
          <w:lang w:val="ro-RO" w:eastAsia="ru-RU"/>
        </w:rPr>
        <w:t xml:space="preserve">Astfel, din motivul că LÎ utilizează echipament depășit care nu poate face față cerințelor stabilite în standardele armonizate și, respectiv standardele conexe; precum și din motivul utilizării metodelor stabilite în standardele GOST și instruirea necorespunzătoare a personalului implicat în efectuarea încercărilor de laborator – toate acestea creează un amalgam de piedici pentru implementarea eficientă a prevederilor din </w:t>
      </w:r>
      <w:r w:rsidRPr="00843D8C">
        <w:rPr>
          <w:rFonts w:ascii="Times New Roman" w:hAnsi="Times New Roman"/>
          <w:color w:val="000000"/>
          <w:sz w:val="26"/>
          <w:szCs w:val="26"/>
          <w:lang w:val="ro-RO"/>
        </w:rPr>
        <w:t>Hotărîrea Guvernului nr. 95.</w:t>
      </w:r>
    </w:p>
    <w:p w:rsidR="000140CA" w:rsidRPr="00843D8C" w:rsidRDefault="000140CA" w:rsidP="00131B65">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C0006B">
      <w:pPr>
        <w:spacing w:line="240" w:lineRule="auto"/>
        <w:ind w:firstLine="709"/>
        <w:contextualSpacing/>
        <w:jc w:val="both"/>
        <w:rPr>
          <w:rFonts w:ascii="Times New Roman" w:hAnsi="Times New Roman"/>
          <w:b/>
          <w:i/>
          <w:color w:val="000000"/>
          <w:sz w:val="26"/>
          <w:szCs w:val="26"/>
          <w:lang w:val="ro-RO"/>
        </w:rPr>
      </w:pPr>
      <w:r w:rsidRPr="00843D8C">
        <w:rPr>
          <w:rFonts w:ascii="Times New Roman" w:hAnsi="Times New Roman"/>
          <w:b/>
          <w:i/>
          <w:color w:val="000000"/>
          <w:sz w:val="26"/>
          <w:szCs w:val="26"/>
          <w:lang w:val="ro-RO"/>
        </w:rPr>
        <w:t>Elementul analitic apariţiei problemei şi estimarea dimensiunii acesteia</w:t>
      </w:r>
    </w:p>
    <w:p w:rsidR="000140CA" w:rsidRPr="00843D8C" w:rsidRDefault="000140CA" w:rsidP="00D12872">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Din anul 2012 pînă 2014, majoritatea echipamentelor plasate pe piaţă națională, au fost importate din statele membre Uniunii Europene în valoare de 298467,6 mii dolari SUA.</w:t>
      </w:r>
    </w:p>
    <w:p w:rsidR="000140CA" w:rsidRPr="00843D8C" w:rsidRDefault="000140CA" w:rsidP="00D12872">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În aceeași perioadă de timp, din China, Turcia, Indonezia, Vietnam, Coreea de Sud, SUA, Taiwan, Mexic, Brazilia, Thailanda, Malaysia, Filipine, Singapore, India şi Japonia, s-a importat echipamente în valoare de 268486,2 mii dolari SUA.</w:t>
      </w:r>
    </w:p>
    <w:p w:rsidR="000140CA" w:rsidRPr="00843D8C" w:rsidRDefault="000140CA" w:rsidP="007202EE">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Totodată, în perioada respectivă, din țările CSI agenții economici au importat echipamente în valoare de 74146,0 mii dolari SUA.</w:t>
      </w:r>
    </w:p>
    <w:p w:rsidR="000140CA" w:rsidRPr="00843D8C" w:rsidRDefault="000140CA" w:rsidP="0000754E">
      <w:pPr>
        <w:pStyle w:val="a3"/>
        <w:rPr>
          <w:color w:val="000000"/>
          <w:sz w:val="26"/>
          <w:szCs w:val="26"/>
          <w:lang w:val="ro-RO"/>
        </w:rPr>
      </w:pPr>
      <w:r w:rsidRPr="00843D8C">
        <w:rPr>
          <w:color w:val="000000"/>
          <w:sz w:val="26"/>
          <w:szCs w:val="26"/>
          <w:lang w:val="ro-RO"/>
        </w:rPr>
        <w:t>În temeiul prevederilor din art.31 din Legea nr.235 din 01.12.2011 privind activităţile de acreditare şi de evaluare a conformităţii echipamentele nominalizate cu marcajul CE se introduc pe piață, aplicându-se specimenul de ștampilă al importatorului.</w:t>
      </w:r>
    </w:p>
    <w:p w:rsidR="000140CA" w:rsidRPr="00843D8C" w:rsidRDefault="000140CA" w:rsidP="00FC2BE0">
      <w:pPr>
        <w:spacing w:after="0" w:line="240" w:lineRule="auto"/>
        <w:ind w:firstLine="708"/>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Referitor la aplicarea marcajului ”CE” prevăzut de directivă, menționăm că actualmente, conform legislației în vigoare, adică pînă la momentul semnării Acordului de Asociere, marcajul național de conformitate a produsului cu cerințele esențiale prevăzute în reglementările tehnice specifice aplicabile, este marcajul de conformitate ”SM”. </w:t>
      </w:r>
    </w:p>
    <w:p w:rsidR="000140CA" w:rsidRPr="00843D8C" w:rsidRDefault="000140CA" w:rsidP="00FC2BE0">
      <w:pPr>
        <w:spacing w:after="0" w:line="240" w:lineRule="auto"/>
        <w:ind w:firstLine="708"/>
        <w:jc w:val="both"/>
        <w:rPr>
          <w:rFonts w:ascii="Times New Roman" w:hAnsi="Times New Roman"/>
          <w:color w:val="000000"/>
          <w:sz w:val="26"/>
          <w:szCs w:val="26"/>
          <w:lang w:val="ro-RO"/>
        </w:rPr>
      </w:pPr>
      <w:r w:rsidRPr="00843D8C">
        <w:rPr>
          <w:rFonts w:ascii="Times New Roman" w:hAnsi="Times New Roman"/>
          <w:color w:val="000000"/>
          <w:sz w:val="26"/>
          <w:szCs w:val="26"/>
          <w:lang w:val="ro-RO"/>
        </w:rPr>
        <w:lastRenderedPageBreak/>
        <w:t>Totodată, în această perioadă de tranziție, în condițiile prevăzute de reglementările tehnice aplicabile, se recunoaște și marcajul european de conformitate ”CE” pentru produsele fabricate în statele-membre ale Uniunii Europene.</w:t>
      </w:r>
    </w:p>
    <w:p w:rsidR="000140CA" w:rsidRPr="00843D8C" w:rsidRDefault="000140CA" w:rsidP="0000754E">
      <w:pPr>
        <w:pStyle w:val="Default"/>
        <w:ind w:right="-81" w:firstLine="708"/>
        <w:jc w:val="both"/>
        <w:rPr>
          <w:rFonts w:ascii="Times New Roman" w:hAnsi="Times New Roman" w:cs="Times New Roman"/>
          <w:sz w:val="26"/>
          <w:szCs w:val="26"/>
          <w:lang w:val="ro-RO"/>
        </w:rPr>
      </w:pPr>
      <w:r w:rsidRPr="00843D8C">
        <w:rPr>
          <w:rFonts w:ascii="Times New Roman" w:hAnsi="Times New Roman" w:cs="Times New Roman"/>
          <w:sz w:val="26"/>
          <w:szCs w:val="26"/>
          <w:lang w:val="ro-RO"/>
        </w:rPr>
        <w:t xml:space="preserve">În realitate, din motivul că importatorul nu întotdeauna se asigură că echipamentul este însoțit de documentația tehnică sau produsul este procurat nu de la producător, importatorii plasează produsele în baza certificatului de conformitate emis de către organismele de evaluare a conformității. </w:t>
      </w:r>
    </w:p>
    <w:p w:rsidR="000140CA" w:rsidRDefault="000140CA" w:rsidP="00FC2BE0">
      <w:pPr>
        <w:spacing w:after="0" w:line="240" w:lineRule="auto"/>
        <w:ind w:firstLine="720"/>
        <w:jc w:val="both"/>
        <w:rPr>
          <w:rFonts w:ascii="Times New Roman" w:hAnsi="Times New Roman"/>
          <w:color w:val="993300"/>
          <w:sz w:val="26"/>
          <w:szCs w:val="26"/>
          <w:lang w:val="ro-RO"/>
        </w:rPr>
      </w:pPr>
      <w:r w:rsidRPr="00843D8C">
        <w:rPr>
          <w:rFonts w:ascii="Times New Roman" w:hAnsi="Times New Roman"/>
          <w:color w:val="993300"/>
          <w:sz w:val="26"/>
          <w:szCs w:val="26"/>
          <w:lang w:val="ro-RO"/>
        </w:rPr>
        <w:t>Este necesar de menționat că din momentul punerii în aplicare a HG nr.95/2008, nivelul de calitate a cedat mult, deși, conform datelor prezentate de Agenția pentru Protecția Consumatorilor, cantitatea neconformităților scade simțitor:</w:t>
      </w:r>
    </w:p>
    <w:p w:rsidR="000140CA" w:rsidRPr="00843D8C" w:rsidRDefault="000140CA" w:rsidP="00FC2BE0">
      <w:pPr>
        <w:spacing w:after="0" w:line="240" w:lineRule="auto"/>
        <w:ind w:firstLine="720"/>
        <w:jc w:val="both"/>
        <w:rPr>
          <w:rFonts w:ascii="Times New Roman" w:hAnsi="Times New Roman"/>
          <w:color w:val="993300"/>
          <w:sz w:val="26"/>
          <w:szCs w:val="26"/>
          <w:lang w:val="ro-RO"/>
        </w:rPr>
      </w:pP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2644"/>
        <w:gridCol w:w="1647"/>
        <w:gridCol w:w="2300"/>
        <w:gridCol w:w="1232"/>
      </w:tblGrid>
      <w:tr w:rsidR="000140CA" w:rsidRPr="00843D8C" w:rsidTr="0084632B">
        <w:tc>
          <w:tcPr>
            <w:tcW w:w="1260" w:type="dxa"/>
            <w:vMerge w:val="restart"/>
          </w:tcPr>
          <w:p w:rsidR="000140CA" w:rsidRPr="00843D8C" w:rsidRDefault="000140CA" w:rsidP="0084632B">
            <w:pPr>
              <w:pStyle w:val="tt"/>
              <w:rPr>
                <w:color w:val="993300"/>
                <w:sz w:val="26"/>
                <w:szCs w:val="26"/>
                <w:lang w:val="en-US"/>
              </w:rPr>
            </w:pPr>
            <w:r w:rsidRPr="00843D8C">
              <w:rPr>
                <w:color w:val="993300"/>
                <w:sz w:val="26"/>
                <w:szCs w:val="26"/>
                <w:lang w:val="en-US"/>
              </w:rPr>
              <w:t>Anii</w:t>
            </w:r>
          </w:p>
        </w:tc>
        <w:tc>
          <w:tcPr>
            <w:tcW w:w="2644" w:type="dxa"/>
            <w:vMerge w:val="restart"/>
          </w:tcPr>
          <w:p w:rsidR="000140CA" w:rsidRPr="00843D8C" w:rsidRDefault="000140CA" w:rsidP="0084632B">
            <w:pPr>
              <w:pStyle w:val="tt"/>
              <w:rPr>
                <w:color w:val="993300"/>
                <w:sz w:val="26"/>
                <w:szCs w:val="26"/>
                <w:lang w:val="en-US"/>
              </w:rPr>
            </w:pPr>
            <w:r w:rsidRPr="00843D8C">
              <w:rPr>
                <w:color w:val="993300"/>
                <w:sz w:val="26"/>
                <w:szCs w:val="26"/>
                <w:lang w:val="en-US"/>
              </w:rPr>
              <w:t>Controale efectuate</w:t>
            </w:r>
          </w:p>
        </w:tc>
        <w:tc>
          <w:tcPr>
            <w:tcW w:w="5179" w:type="dxa"/>
            <w:gridSpan w:val="3"/>
          </w:tcPr>
          <w:p w:rsidR="000140CA" w:rsidRPr="00843D8C" w:rsidRDefault="000140CA" w:rsidP="0084632B">
            <w:pPr>
              <w:pStyle w:val="tt"/>
              <w:rPr>
                <w:b w:val="0"/>
                <w:color w:val="993300"/>
                <w:sz w:val="26"/>
                <w:szCs w:val="26"/>
                <w:lang w:val="it-IT"/>
              </w:rPr>
            </w:pPr>
            <w:r w:rsidRPr="00843D8C">
              <w:rPr>
                <w:color w:val="993300"/>
                <w:sz w:val="26"/>
                <w:szCs w:val="26"/>
                <w:lang w:val="en-US"/>
              </w:rPr>
              <w:t>Neconformităţi depistate</w:t>
            </w:r>
          </w:p>
        </w:tc>
      </w:tr>
      <w:tr w:rsidR="000140CA" w:rsidRPr="00843D8C" w:rsidTr="0084632B">
        <w:tc>
          <w:tcPr>
            <w:tcW w:w="1260" w:type="dxa"/>
            <w:vMerge/>
          </w:tcPr>
          <w:p w:rsidR="000140CA" w:rsidRPr="00843D8C" w:rsidRDefault="000140CA" w:rsidP="0084632B">
            <w:pPr>
              <w:pStyle w:val="tt"/>
              <w:rPr>
                <w:color w:val="993300"/>
                <w:sz w:val="26"/>
                <w:szCs w:val="26"/>
                <w:lang w:val="en-US"/>
              </w:rPr>
            </w:pPr>
          </w:p>
        </w:tc>
        <w:tc>
          <w:tcPr>
            <w:tcW w:w="2644" w:type="dxa"/>
            <w:vMerge/>
          </w:tcPr>
          <w:p w:rsidR="000140CA" w:rsidRPr="00843D8C" w:rsidRDefault="000140CA" w:rsidP="0084632B">
            <w:pPr>
              <w:pStyle w:val="tt"/>
              <w:rPr>
                <w:color w:val="993300"/>
                <w:sz w:val="26"/>
                <w:szCs w:val="26"/>
                <w:lang w:val="en-US"/>
              </w:rPr>
            </w:pPr>
          </w:p>
        </w:tc>
        <w:tc>
          <w:tcPr>
            <w:tcW w:w="1647" w:type="dxa"/>
          </w:tcPr>
          <w:p w:rsidR="000140CA" w:rsidRPr="00843D8C" w:rsidRDefault="000140CA" w:rsidP="0084632B">
            <w:pPr>
              <w:pStyle w:val="tt"/>
              <w:rPr>
                <w:color w:val="993300"/>
                <w:sz w:val="26"/>
                <w:szCs w:val="26"/>
                <w:lang w:val="en-US"/>
              </w:rPr>
            </w:pPr>
            <w:r w:rsidRPr="00843D8C">
              <w:rPr>
                <w:b w:val="0"/>
                <w:color w:val="993300"/>
                <w:sz w:val="26"/>
                <w:szCs w:val="26"/>
                <w:lang w:val="it-IT"/>
              </w:rPr>
              <w:t xml:space="preserve">Lipsa certificatelor de conformitate   </w:t>
            </w:r>
          </w:p>
        </w:tc>
        <w:tc>
          <w:tcPr>
            <w:tcW w:w="2300" w:type="dxa"/>
          </w:tcPr>
          <w:p w:rsidR="000140CA" w:rsidRPr="00843D8C" w:rsidRDefault="000140CA" w:rsidP="0084632B">
            <w:pPr>
              <w:pStyle w:val="tt"/>
              <w:jc w:val="both"/>
              <w:rPr>
                <w:b w:val="0"/>
                <w:color w:val="993300"/>
                <w:sz w:val="26"/>
                <w:szCs w:val="26"/>
                <w:lang w:val="it-IT"/>
              </w:rPr>
            </w:pPr>
            <w:r w:rsidRPr="00843D8C">
              <w:rPr>
                <w:b w:val="0"/>
                <w:color w:val="993300"/>
                <w:sz w:val="26"/>
                <w:szCs w:val="26"/>
                <w:lang w:val="it-IT"/>
              </w:rPr>
              <w:t>Lipsa informaţiei în limba de stat, marcare necorespunzătoare</w:t>
            </w:r>
          </w:p>
          <w:p w:rsidR="000140CA" w:rsidRPr="00843D8C" w:rsidRDefault="000140CA" w:rsidP="0084632B">
            <w:pPr>
              <w:pStyle w:val="tt"/>
              <w:rPr>
                <w:color w:val="993300"/>
                <w:sz w:val="26"/>
                <w:szCs w:val="26"/>
                <w:lang w:val="it-IT"/>
              </w:rPr>
            </w:pPr>
          </w:p>
        </w:tc>
        <w:tc>
          <w:tcPr>
            <w:tcW w:w="1232" w:type="dxa"/>
          </w:tcPr>
          <w:p w:rsidR="000140CA" w:rsidRPr="00843D8C" w:rsidRDefault="000140CA" w:rsidP="0084632B">
            <w:pPr>
              <w:pStyle w:val="tt"/>
              <w:rPr>
                <w:color w:val="993300"/>
                <w:sz w:val="26"/>
                <w:szCs w:val="26"/>
                <w:lang w:val="it-IT"/>
              </w:rPr>
            </w:pPr>
            <w:r w:rsidRPr="00843D8C">
              <w:rPr>
                <w:b w:val="0"/>
                <w:color w:val="993300"/>
                <w:sz w:val="26"/>
                <w:szCs w:val="26"/>
                <w:lang w:val="it-IT"/>
              </w:rPr>
              <w:t>Lipsa totală a marcarii</w:t>
            </w:r>
          </w:p>
        </w:tc>
      </w:tr>
      <w:tr w:rsidR="000140CA" w:rsidRPr="00843D8C" w:rsidTr="0084632B">
        <w:trPr>
          <w:trHeight w:val="549"/>
        </w:trPr>
        <w:tc>
          <w:tcPr>
            <w:tcW w:w="1260" w:type="dxa"/>
          </w:tcPr>
          <w:p w:rsidR="000140CA" w:rsidRPr="00843D8C" w:rsidRDefault="000140CA" w:rsidP="0084632B">
            <w:pPr>
              <w:pStyle w:val="tt"/>
              <w:jc w:val="both"/>
              <w:rPr>
                <w:color w:val="993300"/>
                <w:sz w:val="26"/>
                <w:szCs w:val="26"/>
                <w:lang w:val="en-US"/>
              </w:rPr>
            </w:pPr>
            <w:r w:rsidRPr="00843D8C">
              <w:rPr>
                <w:color w:val="993300"/>
                <w:sz w:val="26"/>
                <w:szCs w:val="26"/>
                <w:lang w:val="en-US"/>
              </w:rPr>
              <w:t>2012</w:t>
            </w:r>
          </w:p>
        </w:tc>
        <w:tc>
          <w:tcPr>
            <w:tcW w:w="2644" w:type="dxa"/>
          </w:tcPr>
          <w:p w:rsidR="000140CA" w:rsidRPr="00843D8C" w:rsidRDefault="000140CA" w:rsidP="0084632B">
            <w:pPr>
              <w:pStyle w:val="tt"/>
              <w:jc w:val="both"/>
              <w:rPr>
                <w:b w:val="0"/>
                <w:color w:val="993300"/>
                <w:sz w:val="26"/>
                <w:szCs w:val="26"/>
                <w:lang w:val="en-US"/>
              </w:rPr>
            </w:pPr>
            <w:r w:rsidRPr="00843D8C">
              <w:rPr>
                <w:b w:val="0"/>
                <w:color w:val="993300"/>
                <w:sz w:val="26"/>
                <w:szCs w:val="26"/>
                <w:lang w:val="en-US"/>
              </w:rPr>
              <w:t>87 controale de stat</w:t>
            </w:r>
          </w:p>
        </w:tc>
        <w:tc>
          <w:tcPr>
            <w:tcW w:w="1647" w:type="dxa"/>
          </w:tcPr>
          <w:p w:rsidR="000140CA" w:rsidRPr="00843D8C" w:rsidRDefault="000140CA" w:rsidP="0084632B">
            <w:pPr>
              <w:pStyle w:val="tt"/>
              <w:jc w:val="both"/>
              <w:rPr>
                <w:b w:val="0"/>
                <w:color w:val="993300"/>
                <w:sz w:val="26"/>
                <w:szCs w:val="26"/>
                <w:lang w:val="it-IT"/>
              </w:rPr>
            </w:pPr>
            <w:r w:rsidRPr="00843D8C">
              <w:rPr>
                <w:b w:val="0"/>
                <w:color w:val="993300"/>
                <w:sz w:val="26"/>
                <w:szCs w:val="26"/>
                <w:lang w:val="it-IT"/>
              </w:rPr>
              <w:t>21</w:t>
            </w:r>
          </w:p>
        </w:tc>
        <w:tc>
          <w:tcPr>
            <w:tcW w:w="2300" w:type="dxa"/>
          </w:tcPr>
          <w:p w:rsidR="000140CA" w:rsidRPr="00843D8C" w:rsidRDefault="000140CA" w:rsidP="0084632B">
            <w:pPr>
              <w:pStyle w:val="tt"/>
              <w:jc w:val="both"/>
              <w:rPr>
                <w:b w:val="0"/>
                <w:color w:val="993300"/>
                <w:sz w:val="26"/>
                <w:szCs w:val="26"/>
                <w:lang w:val="it-IT"/>
              </w:rPr>
            </w:pPr>
            <w:r w:rsidRPr="00843D8C">
              <w:rPr>
                <w:b w:val="0"/>
                <w:color w:val="993300"/>
                <w:sz w:val="26"/>
                <w:szCs w:val="26"/>
                <w:lang w:val="it-IT"/>
              </w:rPr>
              <w:t>14</w:t>
            </w:r>
          </w:p>
        </w:tc>
        <w:tc>
          <w:tcPr>
            <w:tcW w:w="1232" w:type="dxa"/>
          </w:tcPr>
          <w:p w:rsidR="000140CA" w:rsidRPr="00843D8C" w:rsidRDefault="000140CA" w:rsidP="0084632B">
            <w:pPr>
              <w:pStyle w:val="tt"/>
              <w:jc w:val="both"/>
              <w:rPr>
                <w:b w:val="0"/>
                <w:color w:val="993300"/>
                <w:sz w:val="26"/>
                <w:szCs w:val="26"/>
                <w:lang w:val="it-IT"/>
              </w:rPr>
            </w:pPr>
            <w:r w:rsidRPr="00843D8C">
              <w:rPr>
                <w:b w:val="0"/>
                <w:color w:val="993300"/>
                <w:sz w:val="26"/>
                <w:szCs w:val="26"/>
                <w:lang w:val="it-IT"/>
              </w:rPr>
              <w:t>3</w:t>
            </w:r>
          </w:p>
        </w:tc>
      </w:tr>
      <w:tr w:rsidR="000140CA" w:rsidRPr="00843D8C" w:rsidTr="0084632B">
        <w:tc>
          <w:tcPr>
            <w:tcW w:w="1260" w:type="dxa"/>
          </w:tcPr>
          <w:p w:rsidR="000140CA" w:rsidRPr="00843D8C" w:rsidRDefault="000140CA" w:rsidP="0084632B">
            <w:pPr>
              <w:pStyle w:val="tt"/>
              <w:jc w:val="both"/>
              <w:rPr>
                <w:color w:val="993300"/>
                <w:sz w:val="26"/>
                <w:szCs w:val="26"/>
                <w:lang w:val="en-US"/>
              </w:rPr>
            </w:pPr>
            <w:r w:rsidRPr="00843D8C">
              <w:rPr>
                <w:color w:val="993300"/>
                <w:sz w:val="26"/>
                <w:szCs w:val="26"/>
                <w:lang w:val="en-US"/>
              </w:rPr>
              <w:t>2013</w:t>
            </w:r>
          </w:p>
          <w:p w:rsidR="000140CA" w:rsidRPr="00843D8C" w:rsidRDefault="000140CA" w:rsidP="0084632B">
            <w:pPr>
              <w:pStyle w:val="tt"/>
              <w:jc w:val="both"/>
              <w:rPr>
                <w:color w:val="993300"/>
                <w:sz w:val="26"/>
                <w:szCs w:val="26"/>
                <w:lang w:val="en-US"/>
              </w:rPr>
            </w:pPr>
          </w:p>
        </w:tc>
        <w:tc>
          <w:tcPr>
            <w:tcW w:w="2644" w:type="dxa"/>
          </w:tcPr>
          <w:p w:rsidR="000140CA" w:rsidRPr="00843D8C" w:rsidRDefault="000140CA" w:rsidP="0084632B">
            <w:pPr>
              <w:pStyle w:val="tt"/>
              <w:jc w:val="both"/>
              <w:rPr>
                <w:b w:val="0"/>
                <w:color w:val="993300"/>
                <w:sz w:val="26"/>
                <w:szCs w:val="26"/>
                <w:lang w:val="en-US"/>
              </w:rPr>
            </w:pPr>
            <w:r w:rsidRPr="00843D8C">
              <w:rPr>
                <w:b w:val="0"/>
                <w:color w:val="993300"/>
                <w:sz w:val="26"/>
                <w:szCs w:val="26"/>
                <w:lang w:val="en-US"/>
              </w:rPr>
              <w:t>73 controale de stat</w:t>
            </w:r>
          </w:p>
        </w:tc>
        <w:tc>
          <w:tcPr>
            <w:tcW w:w="1647" w:type="dxa"/>
          </w:tcPr>
          <w:p w:rsidR="000140CA" w:rsidRPr="00843D8C" w:rsidRDefault="000140CA" w:rsidP="0084632B">
            <w:pPr>
              <w:pStyle w:val="tt"/>
              <w:jc w:val="both"/>
              <w:rPr>
                <w:b w:val="0"/>
                <w:color w:val="993300"/>
                <w:sz w:val="26"/>
                <w:szCs w:val="26"/>
                <w:lang w:val="it-IT"/>
              </w:rPr>
            </w:pPr>
            <w:r w:rsidRPr="00843D8C">
              <w:rPr>
                <w:b w:val="0"/>
                <w:color w:val="993300"/>
                <w:sz w:val="26"/>
                <w:szCs w:val="26"/>
                <w:lang w:val="it-IT"/>
              </w:rPr>
              <w:t>18</w:t>
            </w:r>
          </w:p>
        </w:tc>
        <w:tc>
          <w:tcPr>
            <w:tcW w:w="2300" w:type="dxa"/>
          </w:tcPr>
          <w:p w:rsidR="000140CA" w:rsidRPr="00843D8C" w:rsidRDefault="000140CA" w:rsidP="0084632B">
            <w:pPr>
              <w:pStyle w:val="tt"/>
              <w:jc w:val="both"/>
              <w:rPr>
                <w:b w:val="0"/>
                <w:color w:val="993300"/>
                <w:sz w:val="26"/>
                <w:szCs w:val="26"/>
                <w:lang w:val="it-IT"/>
              </w:rPr>
            </w:pPr>
            <w:r w:rsidRPr="00843D8C">
              <w:rPr>
                <w:b w:val="0"/>
                <w:color w:val="993300"/>
                <w:sz w:val="26"/>
                <w:szCs w:val="26"/>
                <w:lang w:val="it-IT"/>
              </w:rPr>
              <w:t>8</w:t>
            </w:r>
          </w:p>
        </w:tc>
        <w:tc>
          <w:tcPr>
            <w:tcW w:w="1232" w:type="dxa"/>
          </w:tcPr>
          <w:p w:rsidR="000140CA" w:rsidRPr="00843D8C" w:rsidRDefault="000140CA" w:rsidP="0084632B">
            <w:pPr>
              <w:pStyle w:val="tt"/>
              <w:jc w:val="both"/>
              <w:rPr>
                <w:b w:val="0"/>
                <w:color w:val="993300"/>
                <w:sz w:val="26"/>
                <w:szCs w:val="26"/>
                <w:lang w:val="it-IT"/>
              </w:rPr>
            </w:pPr>
            <w:r w:rsidRPr="00843D8C">
              <w:rPr>
                <w:b w:val="0"/>
                <w:color w:val="993300"/>
                <w:sz w:val="26"/>
                <w:szCs w:val="26"/>
                <w:lang w:val="it-IT"/>
              </w:rPr>
              <w:t>1</w:t>
            </w:r>
          </w:p>
        </w:tc>
      </w:tr>
      <w:tr w:rsidR="000140CA" w:rsidRPr="00843D8C" w:rsidTr="0084632B">
        <w:tc>
          <w:tcPr>
            <w:tcW w:w="1260" w:type="dxa"/>
          </w:tcPr>
          <w:p w:rsidR="000140CA" w:rsidRPr="00843D8C" w:rsidRDefault="000140CA" w:rsidP="0084632B">
            <w:pPr>
              <w:pStyle w:val="tt"/>
              <w:jc w:val="both"/>
              <w:rPr>
                <w:color w:val="993300"/>
                <w:sz w:val="26"/>
                <w:szCs w:val="26"/>
                <w:lang w:val="en-US"/>
              </w:rPr>
            </w:pPr>
            <w:r w:rsidRPr="00843D8C">
              <w:rPr>
                <w:color w:val="993300"/>
                <w:sz w:val="26"/>
                <w:szCs w:val="26"/>
                <w:lang w:val="en-US"/>
              </w:rPr>
              <w:t>2014</w:t>
            </w:r>
          </w:p>
          <w:p w:rsidR="000140CA" w:rsidRPr="00843D8C" w:rsidRDefault="000140CA" w:rsidP="0084632B">
            <w:pPr>
              <w:pStyle w:val="tt"/>
              <w:jc w:val="both"/>
              <w:rPr>
                <w:color w:val="993300"/>
                <w:sz w:val="26"/>
                <w:szCs w:val="26"/>
                <w:lang w:val="en-US"/>
              </w:rPr>
            </w:pPr>
          </w:p>
        </w:tc>
        <w:tc>
          <w:tcPr>
            <w:tcW w:w="2644" w:type="dxa"/>
          </w:tcPr>
          <w:p w:rsidR="000140CA" w:rsidRPr="00843D8C" w:rsidRDefault="000140CA" w:rsidP="0084632B">
            <w:pPr>
              <w:pStyle w:val="tt"/>
              <w:jc w:val="both"/>
              <w:rPr>
                <w:b w:val="0"/>
                <w:color w:val="993300"/>
                <w:sz w:val="26"/>
                <w:szCs w:val="26"/>
                <w:lang w:val="en-US"/>
              </w:rPr>
            </w:pPr>
            <w:r w:rsidRPr="00843D8C">
              <w:rPr>
                <w:b w:val="0"/>
                <w:color w:val="993300"/>
                <w:sz w:val="26"/>
                <w:szCs w:val="26"/>
                <w:lang w:val="en-US"/>
              </w:rPr>
              <w:t>45 controale de stat</w:t>
            </w:r>
          </w:p>
        </w:tc>
        <w:tc>
          <w:tcPr>
            <w:tcW w:w="1647" w:type="dxa"/>
          </w:tcPr>
          <w:p w:rsidR="000140CA" w:rsidRPr="00843D8C" w:rsidRDefault="000140CA" w:rsidP="0084632B">
            <w:pPr>
              <w:pStyle w:val="tt"/>
              <w:jc w:val="both"/>
              <w:rPr>
                <w:b w:val="0"/>
                <w:color w:val="993300"/>
                <w:sz w:val="26"/>
                <w:szCs w:val="26"/>
                <w:lang w:val="it-IT"/>
              </w:rPr>
            </w:pPr>
            <w:r w:rsidRPr="00843D8C">
              <w:rPr>
                <w:b w:val="0"/>
                <w:color w:val="993300"/>
                <w:sz w:val="26"/>
                <w:szCs w:val="26"/>
                <w:lang w:val="it-IT"/>
              </w:rPr>
              <w:t>11</w:t>
            </w:r>
          </w:p>
        </w:tc>
        <w:tc>
          <w:tcPr>
            <w:tcW w:w="2300" w:type="dxa"/>
          </w:tcPr>
          <w:p w:rsidR="000140CA" w:rsidRPr="00843D8C" w:rsidRDefault="000140CA" w:rsidP="0084632B">
            <w:pPr>
              <w:pStyle w:val="tt"/>
              <w:jc w:val="both"/>
              <w:rPr>
                <w:b w:val="0"/>
                <w:color w:val="993300"/>
                <w:sz w:val="26"/>
                <w:szCs w:val="26"/>
                <w:lang w:val="it-IT"/>
              </w:rPr>
            </w:pPr>
            <w:r w:rsidRPr="00843D8C">
              <w:rPr>
                <w:b w:val="0"/>
                <w:color w:val="993300"/>
                <w:sz w:val="26"/>
                <w:szCs w:val="26"/>
                <w:lang w:val="it-IT"/>
              </w:rPr>
              <w:t>14</w:t>
            </w:r>
          </w:p>
        </w:tc>
        <w:tc>
          <w:tcPr>
            <w:tcW w:w="1232" w:type="dxa"/>
          </w:tcPr>
          <w:p w:rsidR="000140CA" w:rsidRPr="00843D8C" w:rsidRDefault="000140CA" w:rsidP="0084632B">
            <w:pPr>
              <w:pStyle w:val="tt"/>
              <w:jc w:val="both"/>
              <w:rPr>
                <w:b w:val="0"/>
                <w:color w:val="993300"/>
                <w:sz w:val="26"/>
                <w:szCs w:val="26"/>
                <w:lang w:val="it-IT"/>
              </w:rPr>
            </w:pPr>
            <w:r w:rsidRPr="00843D8C">
              <w:rPr>
                <w:b w:val="0"/>
                <w:color w:val="993300"/>
                <w:sz w:val="26"/>
                <w:szCs w:val="26"/>
                <w:lang w:val="it-IT"/>
              </w:rPr>
              <w:t>3</w:t>
            </w:r>
          </w:p>
        </w:tc>
      </w:tr>
    </w:tbl>
    <w:p w:rsidR="000140CA" w:rsidRPr="00843D8C" w:rsidRDefault="000140CA" w:rsidP="00FC2BE0">
      <w:pPr>
        <w:ind w:left="-720" w:right="-365"/>
        <w:jc w:val="both"/>
        <w:rPr>
          <w:rFonts w:ascii="Times New Roman" w:hAnsi="Times New Roman"/>
          <w:sz w:val="26"/>
          <w:szCs w:val="26"/>
          <w:lang w:val="ro-RO"/>
        </w:rPr>
      </w:pPr>
    </w:p>
    <w:p w:rsidR="000140CA" w:rsidRPr="00843D8C" w:rsidRDefault="000140CA" w:rsidP="00FC2BE0">
      <w:pPr>
        <w:spacing w:after="0" w:line="240" w:lineRule="auto"/>
        <w:ind w:firstLine="708"/>
        <w:jc w:val="both"/>
        <w:rPr>
          <w:rFonts w:ascii="Times New Roman" w:hAnsi="Times New Roman"/>
          <w:color w:val="993300"/>
          <w:sz w:val="26"/>
          <w:szCs w:val="26"/>
          <w:lang w:val="ro-RO"/>
        </w:rPr>
      </w:pPr>
      <w:r w:rsidRPr="00843D8C">
        <w:rPr>
          <w:rFonts w:ascii="Times New Roman" w:hAnsi="Times New Roman"/>
          <w:color w:val="993300"/>
          <w:sz w:val="26"/>
          <w:szCs w:val="26"/>
          <w:lang w:val="ro-RO"/>
        </w:rPr>
        <w:t>Dat fiind faptul că în Republica Moldova nu sunt mulți producători, iar aceștea nu au un nivel corespunzător pentru ași promova interesele prin diferite asociații (așa cum fac producătorii din alte țări), o soluție pentru punerea la dispoziție a echipentelor în cauză este transpunerea  întocmai a legislației  din domeniul armonizat, precum și:</w:t>
      </w:r>
    </w:p>
    <w:p w:rsidR="000140CA" w:rsidRPr="00843D8C" w:rsidRDefault="000140CA" w:rsidP="003927FD">
      <w:pPr>
        <w:numPr>
          <w:ilvl w:val="0"/>
          <w:numId w:val="14"/>
        </w:numPr>
        <w:spacing w:after="0" w:line="240" w:lineRule="auto"/>
        <w:ind w:left="0" w:firstLine="0"/>
        <w:jc w:val="both"/>
        <w:rPr>
          <w:rFonts w:ascii="Times New Roman" w:hAnsi="Times New Roman"/>
          <w:color w:val="993300"/>
          <w:sz w:val="26"/>
          <w:szCs w:val="26"/>
          <w:lang w:val="ro-RO"/>
        </w:rPr>
      </w:pPr>
      <w:r w:rsidRPr="00843D8C">
        <w:rPr>
          <w:rFonts w:ascii="Times New Roman" w:hAnsi="Times New Roman"/>
          <w:color w:val="993300"/>
          <w:sz w:val="26"/>
          <w:szCs w:val="26"/>
          <w:lang w:val="ro-RO"/>
        </w:rPr>
        <w:t>Stabilirea clară a actorilor la punerea la dispoziție pe piață a produsului (cine și ce trebuie să efectuieze);</w:t>
      </w:r>
    </w:p>
    <w:p w:rsidR="000140CA" w:rsidRPr="00843D8C" w:rsidRDefault="000140CA" w:rsidP="003927FD">
      <w:pPr>
        <w:numPr>
          <w:ilvl w:val="0"/>
          <w:numId w:val="14"/>
        </w:numPr>
        <w:spacing w:after="0" w:line="240" w:lineRule="auto"/>
        <w:ind w:left="0" w:firstLine="0"/>
        <w:jc w:val="both"/>
        <w:rPr>
          <w:rFonts w:ascii="Times New Roman" w:hAnsi="Times New Roman"/>
          <w:color w:val="993300"/>
          <w:sz w:val="26"/>
          <w:szCs w:val="26"/>
          <w:lang w:val="ro-RO"/>
        </w:rPr>
      </w:pPr>
      <w:r w:rsidRPr="00843D8C">
        <w:rPr>
          <w:rFonts w:ascii="Times New Roman" w:hAnsi="Times New Roman"/>
          <w:color w:val="993300"/>
          <w:sz w:val="26"/>
          <w:szCs w:val="26"/>
          <w:lang w:val="ro-RO"/>
        </w:rPr>
        <w:t>Delimitarea atribuțiilor fiecărui actor (începînd cu producătorul și terminînd cu inspectorul);</w:t>
      </w:r>
    </w:p>
    <w:p w:rsidR="000140CA" w:rsidRPr="00843D8C" w:rsidRDefault="000140CA" w:rsidP="003927FD">
      <w:pPr>
        <w:numPr>
          <w:ilvl w:val="0"/>
          <w:numId w:val="14"/>
        </w:numPr>
        <w:spacing w:after="0" w:line="240" w:lineRule="auto"/>
        <w:ind w:left="0" w:firstLine="0"/>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Respectarea drepturilor fiecărei părți implicate și responsabilitatea acesteia; </w:t>
      </w:r>
    </w:p>
    <w:p w:rsidR="000140CA" w:rsidRPr="00843D8C" w:rsidRDefault="000140CA" w:rsidP="003927FD">
      <w:pPr>
        <w:numPr>
          <w:ilvl w:val="0"/>
          <w:numId w:val="14"/>
        </w:numPr>
        <w:spacing w:after="0" w:line="240" w:lineRule="auto"/>
        <w:ind w:left="0" w:firstLine="0"/>
        <w:jc w:val="both"/>
        <w:rPr>
          <w:rFonts w:ascii="Times New Roman" w:hAnsi="Times New Roman"/>
          <w:color w:val="993300"/>
          <w:sz w:val="26"/>
          <w:szCs w:val="26"/>
          <w:lang w:val="ro-RO"/>
        </w:rPr>
      </w:pPr>
      <w:r w:rsidRPr="00843D8C">
        <w:rPr>
          <w:rFonts w:ascii="Times New Roman" w:hAnsi="Times New Roman"/>
          <w:color w:val="993300"/>
          <w:sz w:val="26"/>
          <w:szCs w:val="26"/>
          <w:lang w:val="ro-RO"/>
        </w:rPr>
        <w:t>Toate părțile trebuie să-și consolideze eforturile pentru punerea la dispoziție pe piață numai a produselor SIGURE.</w:t>
      </w:r>
    </w:p>
    <w:p w:rsidR="000140CA" w:rsidRPr="00843D8C" w:rsidRDefault="000140CA" w:rsidP="0000754E">
      <w:pPr>
        <w:pStyle w:val="Default"/>
        <w:ind w:right="-81" w:firstLine="708"/>
        <w:jc w:val="both"/>
        <w:rPr>
          <w:rFonts w:ascii="Times New Roman" w:hAnsi="Times New Roman" w:cs="Times New Roman"/>
          <w:sz w:val="26"/>
          <w:szCs w:val="26"/>
          <w:lang w:val="ro-RO"/>
        </w:rPr>
      </w:pPr>
    </w:p>
    <w:p w:rsidR="000140CA" w:rsidRPr="00843D8C" w:rsidRDefault="000140CA" w:rsidP="00E41808">
      <w:pPr>
        <w:spacing w:after="0" w:line="240" w:lineRule="auto"/>
        <w:ind w:firstLine="708"/>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Studiind cazul de aprobare a unei Directive noi pentru echipamentele în cauză de către Parlamentul European care, a neglijat posibilitatea de modificare a Directivei existente, încă o dată ne-am încredințat că calea aleasă (de a elabora un nou proiect și nu a modifica HG nr.95) este corectă, mai ales că noi </w:t>
      </w:r>
      <w:r>
        <w:rPr>
          <w:rFonts w:ascii="Times New Roman" w:hAnsi="Times New Roman"/>
          <w:color w:val="993300"/>
          <w:sz w:val="26"/>
          <w:szCs w:val="26"/>
          <w:lang w:val="ro-RO"/>
        </w:rPr>
        <w:t>avem</w:t>
      </w:r>
      <w:r w:rsidRPr="00843D8C">
        <w:rPr>
          <w:rFonts w:ascii="Times New Roman" w:hAnsi="Times New Roman"/>
          <w:color w:val="993300"/>
          <w:sz w:val="26"/>
          <w:szCs w:val="26"/>
          <w:lang w:val="ro-RO"/>
        </w:rPr>
        <w:t xml:space="preserve"> </w:t>
      </w:r>
      <w:r>
        <w:rPr>
          <w:rFonts w:ascii="Times New Roman" w:hAnsi="Times New Roman"/>
          <w:color w:val="993300"/>
          <w:sz w:val="26"/>
          <w:szCs w:val="26"/>
          <w:lang w:val="ro-RO"/>
        </w:rPr>
        <w:t xml:space="preserve">puse la dispoziție pe piață </w:t>
      </w:r>
      <w:r w:rsidRPr="00843D8C">
        <w:rPr>
          <w:rFonts w:ascii="Times New Roman" w:hAnsi="Times New Roman"/>
          <w:color w:val="993300"/>
          <w:sz w:val="26"/>
          <w:szCs w:val="26"/>
          <w:lang w:val="ro-RO"/>
        </w:rPr>
        <w:t>ace</w:t>
      </w:r>
      <w:r>
        <w:rPr>
          <w:rFonts w:ascii="Times New Roman" w:hAnsi="Times New Roman"/>
          <w:color w:val="993300"/>
          <w:sz w:val="26"/>
          <w:szCs w:val="26"/>
          <w:lang w:val="ro-RO"/>
        </w:rPr>
        <w:t xml:space="preserve">leași echipamente </w:t>
      </w:r>
      <w:r w:rsidRPr="00843D8C">
        <w:rPr>
          <w:rFonts w:ascii="Times New Roman" w:hAnsi="Times New Roman"/>
          <w:color w:val="993300"/>
          <w:sz w:val="26"/>
          <w:szCs w:val="26"/>
          <w:lang w:val="ro-RO"/>
        </w:rPr>
        <w:t>ca și în UE.</w:t>
      </w:r>
    </w:p>
    <w:p w:rsidR="000140CA" w:rsidRPr="00843D8C" w:rsidRDefault="000140CA" w:rsidP="003D7CD5">
      <w:pPr>
        <w:spacing w:after="0" w:line="240" w:lineRule="auto"/>
        <w:ind w:firstLine="708"/>
        <w:jc w:val="both"/>
        <w:rPr>
          <w:rFonts w:ascii="Times New Roman" w:hAnsi="Times New Roman"/>
          <w:color w:val="993300"/>
          <w:sz w:val="26"/>
          <w:szCs w:val="26"/>
          <w:lang w:val="ro-RO"/>
        </w:rPr>
      </w:pPr>
      <w:r w:rsidRPr="00843D8C">
        <w:rPr>
          <w:rFonts w:ascii="Times New Roman" w:hAnsi="Times New Roman"/>
          <w:color w:val="993300"/>
          <w:sz w:val="26"/>
          <w:szCs w:val="26"/>
          <w:lang w:val="ro-RO"/>
        </w:rPr>
        <w:t>Este de menționat că echipamentele care cad sub incidența RT enunțate sunt printre categoriile de produse cel mai frecvent notificate prin Sistemul RAPEX a Comisiei deoarece produsele electronice defecte pot prezenta un risc de electrocutare sau arsuri.</w:t>
      </w:r>
    </w:p>
    <w:p w:rsidR="000140CA" w:rsidRPr="00843D8C" w:rsidRDefault="000140CA" w:rsidP="008D50E7">
      <w:pPr>
        <w:spacing w:after="0" w:line="240" w:lineRule="auto"/>
        <w:ind w:firstLine="709"/>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Importurile produselor din țările sud-est asiatice in ultimii patru ani au crescut considerabil (aceste produse provin din China, urmate la o distanță considerabilă de SUA, Japonia și Coreea de Sud). Deși se cunoaște necesitatea și beneficiile oferite de </w:t>
      </w:r>
      <w:r w:rsidRPr="00843D8C">
        <w:rPr>
          <w:rFonts w:ascii="Times New Roman" w:hAnsi="Times New Roman"/>
          <w:color w:val="993300"/>
          <w:sz w:val="26"/>
          <w:szCs w:val="26"/>
          <w:lang w:val="ro-RO"/>
        </w:rPr>
        <w:lastRenderedPageBreak/>
        <w:t>legislația de armonizare, industriașii consideră că efectul cumulat al legislației originare a produsului din diferite domenii și niveluri pot pune probleme, în special pentru IMM-uri.</w:t>
      </w:r>
    </w:p>
    <w:p w:rsidR="000140CA" w:rsidRPr="00843D8C" w:rsidRDefault="000140CA" w:rsidP="008D50E7">
      <w:pPr>
        <w:spacing w:after="0" w:line="240" w:lineRule="auto"/>
        <w:ind w:firstLine="709"/>
        <w:jc w:val="both"/>
        <w:rPr>
          <w:rFonts w:ascii="Times New Roman" w:hAnsi="Times New Roman"/>
          <w:color w:val="993300"/>
          <w:sz w:val="26"/>
          <w:szCs w:val="26"/>
          <w:lang w:val="ro-RO"/>
        </w:rPr>
      </w:pPr>
      <w:r w:rsidRPr="00843D8C">
        <w:rPr>
          <w:rFonts w:ascii="Times New Roman" w:hAnsi="Times New Roman"/>
          <w:color w:val="993300"/>
          <w:sz w:val="26"/>
          <w:szCs w:val="26"/>
          <w:lang w:val="ro-RO"/>
        </w:rPr>
        <w:t>Absența terței părți pentru intervenția în procedurile de evaluare a conformității, stabilite de legislație mult reduce povara asupra producătorului, acesta fiind un model de afaceri prietenos. Structura industriei este caracterizată de câteva corporații mari, producând o gamă largă de echipamente și multe companii mici sunt specializate în piețele de nișă.</w:t>
      </w:r>
    </w:p>
    <w:p w:rsidR="000140CA" w:rsidRPr="00843D8C" w:rsidRDefault="000140CA" w:rsidP="003D7CD5">
      <w:pPr>
        <w:spacing w:after="0" w:line="240" w:lineRule="auto"/>
        <w:ind w:firstLine="708"/>
        <w:jc w:val="both"/>
        <w:rPr>
          <w:rFonts w:ascii="Times New Roman" w:hAnsi="Times New Roman"/>
          <w:color w:val="993300"/>
          <w:sz w:val="26"/>
          <w:szCs w:val="26"/>
          <w:lang w:val="ro-RO"/>
        </w:rPr>
      </w:pPr>
      <w:r w:rsidRPr="00843D8C">
        <w:rPr>
          <w:rFonts w:ascii="Times New Roman" w:hAnsi="Times New Roman"/>
          <w:color w:val="993300"/>
          <w:sz w:val="26"/>
          <w:szCs w:val="26"/>
          <w:lang w:val="ro-RO"/>
        </w:rPr>
        <w:t>În ultimul deceniu, producția, exportul și piața internă au în mod constant dezvoltare. Această tendință a fost brusc oprită de criza economică (138 de notificări RAPEX s-au înregistrat în 02.09.2009, corespunzând la 8% din numărul total de notificări RAPEX).</w:t>
      </w:r>
    </w:p>
    <w:p w:rsidR="000140CA" w:rsidRPr="00843D8C" w:rsidRDefault="000140CA" w:rsidP="003D7CD5">
      <w:pPr>
        <w:spacing w:after="0" w:line="240" w:lineRule="auto"/>
        <w:ind w:firstLine="708"/>
        <w:jc w:val="both"/>
        <w:rPr>
          <w:rFonts w:ascii="Times New Roman" w:hAnsi="Times New Roman"/>
          <w:color w:val="993300"/>
          <w:sz w:val="26"/>
          <w:szCs w:val="26"/>
          <w:lang w:val="ro-RO"/>
        </w:rPr>
      </w:pPr>
      <w:r w:rsidRPr="00843D8C">
        <w:rPr>
          <w:rFonts w:ascii="Times New Roman" w:hAnsi="Times New Roman"/>
          <w:color w:val="993300"/>
          <w:sz w:val="26"/>
          <w:szCs w:val="26"/>
          <w:lang w:val="ro-RO"/>
        </w:rPr>
        <w:t>Având în vedere că cele mai multe notificări nu sunt legate de accidente, numărul este relativ scăzut, în vederea unei estimări (total de 2 milioane de tipuri de produse într-o piață de peste 250 miliarde € / an și 500 milioane de cetățeni).</w:t>
      </w:r>
    </w:p>
    <w:p w:rsidR="000140CA" w:rsidRPr="00843D8C" w:rsidRDefault="000140CA" w:rsidP="003D7CD5">
      <w:pPr>
        <w:spacing w:after="0" w:line="240" w:lineRule="auto"/>
        <w:ind w:firstLine="720"/>
        <w:jc w:val="both"/>
        <w:rPr>
          <w:rFonts w:ascii="Times New Roman" w:hAnsi="Times New Roman"/>
          <w:color w:val="993300"/>
          <w:sz w:val="26"/>
          <w:szCs w:val="26"/>
          <w:lang w:val="ro-RO"/>
        </w:rPr>
      </w:pPr>
      <w:r w:rsidRPr="00843D8C">
        <w:rPr>
          <w:rFonts w:ascii="Times New Roman" w:hAnsi="Times New Roman"/>
          <w:color w:val="993300"/>
          <w:sz w:val="26"/>
          <w:szCs w:val="26"/>
          <w:lang w:val="ro-RO"/>
        </w:rPr>
        <w:t>Deaceea, pentru a nu exclude IMM-urile – un mijloc stabil de menținere a locurilor de muncă, în UE s-a convenit ca toate evaluările pentru stabilirea conformității cu cerințele esențiale să fie efectuate de producător.</w:t>
      </w:r>
    </w:p>
    <w:p w:rsidR="000140CA" w:rsidRPr="00843D8C" w:rsidRDefault="000140CA" w:rsidP="003D7CD5">
      <w:pPr>
        <w:spacing w:after="0" w:line="240" w:lineRule="auto"/>
        <w:ind w:firstLine="720"/>
        <w:jc w:val="both"/>
        <w:rPr>
          <w:rFonts w:ascii="Times New Roman" w:hAnsi="Times New Roman"/>
          <w:color w:val="993300"/>
          <w:sz w:val="26"/>
          <w:szCs w:val="26"/>
          <w:lang w:val="ro-RO"/>
        </w:rPr>
      </w:pPr>
      <w:r w:rsidRPr="00843D8C">
        <w:rPr>
          <w:rFonts w:ascii="Times New Roman" w:hAnsi="Times New Roman"/>
          <w:color w:val="993300"/>
          <w:sz w:val="26"/>
          <w:szCs w:val="26"/>
          <w:lang w:val="ro-RO"/>
        </w:rPr>
        <w:t>Din considerentul că piața de desfacere pentru un producător este mică, în Republica Moldova, sunt mai mulți importatori decît producători, iar produsele importate deseori nu sunt de calitatea cea mai bună, luînd în considerație veniturile modeste a populației.</w:t>
      </w:r>
    </w:p>
    <w:p w:rsidR="000140CA" w:rsidRPr="00843D8C" w:rsidRDefault="000140CA" w:rsidP="003D7CD5">
      <w:pPr>
        <w:spacing w:after="0" w:line="240" w:lineRule="auto"/>
        <w:ind w:firstLine="720"/>
        <w:jc w:val="both"/>
        <w:rPr>
          <w:rFonts w:ascii="Times New Roman" w:hAnsi="Times New Roman"/>
          <w:color w:val="993300"/>
          <w:sz w:val="26"/>
          <w:szCs w:val="26"/>
          <w:lang w:val="ro-RO"/>
        </w:rPr>
      </w:pPr>
      <w:r w:rsidRPr="00843D8C">
        <w:rPr>
          <w:rFonts w:ascii="Times New Roman" w:hAnsi="Times New Roman"/>
          <w:color w:val="993300"/>
          <w:sz w:val="26"/>
          <w:szCs w:val="26"/>
          <w:lang w:val="ro-RO"/>
        </w:rPr>
        <w:t>Totodată, importatorii menționează că aplicarea marcajului CE ridică cu mult prețul produsului, deoarece pentru aplicarea marcajului este necesară respectarea tuturor prevederilor pentru produsul fabricat începînd cu proiectarea, cablurile folosite și terminînd cu produsul finit.</w:t>
      </w:r>
    </w:p>
    <w:p w:rsidR="000140CA" w:rsidRPr="00843D8C" w:rsidRDefault="000140CA" w:rsidP="003D7CD5">
      <w:pPr>
        <w:spacing w:after="0" w:line="240" w:lineRule="auto"/>
        <w:ind w:firstLine="839"/>
        <w:jc w:val="both"/>
        <w:rPr>
          <w:rFonts w:ascii="Times New Roman" w:hAnsi="Times New Roman"/>
          <w:color w:val="993300"/>
          <w:sz w:val="26"/>
          <w:szCs w:val="26"/>
          <w:lang w:val="ro-RO"/>
        </w:rPr>
      </w:pPr>
      <w:r w:rsidRPr="00843D8C">
        <w:rPr>
          <w:rFonts w:ascii="Times New Roman" w:hAnsi="Times New Roman"/>
          <w:color w:val="993300"/>
          <w:sz w:val="26"/>
          <w:szCs w:val="26"/>
          <w:lang w:val="ro-RO"/>
        </w:rPr>
        <w:t>Deci, aprobarea prezentului proiect va duce la reorientarea pieței pe de o parte:</w:t>
      </w:r>
    </w:p>
    <w:p w:rsidR="000140CA" w:rsidRPr="00843D8C" w:rsidRDefault="000140CA" w:rsidP="003D7CD5">
      <w:pPr>
        <w:numPr>
          <w:ilvl w:val="0"/>
          <w:numId w:val="15"/>
        </w:numPr>
        <w:spacing w:after="0" w:line="240" w:lineRule="auto"/>
        <w:ind w:left="0" w:firstLine="0"/>
        <w:jc w:val="both"/>
        <w:rPr>
          <w:rFonts w:ascii="Times New Roman" w:hAnsi="Times New Roman"/>
          <w:color w:val="993300"/>
          <w:sz w:val="26"/>
          <w:szCs w:val="26"/>
          <w:lang w:val="ro-RO"/>
        </w:rPr>
      </w:pPr>
      <w:r w:rsidRPr="00843D8C">
        <w:rPr>
          <w:rFonts w:ascii="Times New Roman" w:hAnsi="Times New Roman"/>
          <w:color w:val="993300"/>
          <w:sz w:val="26"/>
          <w:szCs w:val="26"/>
          <w:lang w:val="ro-RO"/>
        </w:rPr>
        <w:t>la introducerea produselor care vor fi inofensive, marcate corespunzător și nu la produsele mai des întrebate, mai ieftine dar nesigure;</w:t>
      </w:r>
    </w:p>
    <w:p w:rsidR="000140CA" w:rsidRPr="00843D8C" w:rsidRDefault="000140CA" w:rsidP="003D7CD5">
      <w:pPr>
        <w:numPr>
          <w:ilvl w:val="0"/>
          <w:numId w:val="15"/>
        </w:numPr>
        <w:spacing w:after="0" w:line="240" w:lineRule="auto"/>
        <w:ind w:left="0" w:firstLine="0"/>
        <w:jc w:val="both"/>
        <w:rPr>
          <w:rFonts w:ascii="Times New Roman" w:hAnsi="Times New Roman"/>
          <w:color w:val="993300"/>
          <w:sz w:val="26"/>
          <w:szCs w:val="26"/>
          <w:lang w:val="ro-RO"/>
        </w:rPr>
      </w:pPr>
      <w:r w:rsidRPr="00843D8C">
        <w:rPr>
          <w:rFonts w:ascii="Times New Roman" w:hAnsi="Times New Roman"/>
          <w:color w:val="993300"/>
          <w:sz w:val="26"/>
          <w:szCs w:val="26"/>
          <w:lang w:val="ro-RO"/>
        </w:rPr>
        <w:t>importatorii avea posibilitatea de a deveni reprezentanți autorizați ai producătorului – fapt care va contribui la competitivitatea sănătoasă a produselor.</w:t>
      </w:r>
    </w:p>
    <w:p w:rsidR="000140CA" w:rsidRPr="00843D8C" w:rsidRDefault="000140CA" w:rsidP="008D50E7">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Pe de altă parte, după transpunerea Directivei 2014/30/UE producătorii vor aplica numai marcajul ”CE”, care atestă că echipamentul electric îndeplineşte cerinţele esențiale, adică indică faptul că producătorul acestor produse efectuează controlul produsului şi asigură corespunderea acestuia cerinţelor prescrise.</w:t>
      </w:r>
    </w:p>
    <w:p w:rsidR="000140CA" w:rsidRPr="00843D8C" w:rsidRDefault="000140CA" w:rsidP="008D50E7">
      <w:pPr>
        <w:spacing w:after="0" w:line="240" w:lineRule="auto"/>
        <w:ind w:firstLine="708"/>
        <w:jc w:val="both"/>
        <w:rPr>
          <w:rFonts w:ascii="Times New Roman" w:hAnsi="Times New Roman"/>
          <w:color w:val="993300"/>
          <w:sz w:val="26"/>
          <w:szCs w:val="26"/>
          <w:lang w:val="ro-RO"/>
        </w:rPr>
      </w:pPr>
      <w:r w:rsidRPr="00843D8C">
        <w:rPr>
          <w:rFonts w:ascii="Times New Roman" w:hAnsi="Times New Roman"/>
          <w:color w:val="000000"/>
          <w:sz w:val="26"/>
          <w:szCs w:val="26"/>
          <w:lang w:val="ro-RO"/>
        </w:rPr>
        <w:t xml:space="preserve">Astfel, problema de bază care va fi soluționată prin proiectul propus este eliminarea obstacolelor în calea comerţului din cauza prevederilor diferite existente şi legislaţiei naţionale, care conține specificații tehnice proprii şi, ca urmare, asigurarea liberii circulații a echipamentelor electrice care cad sub incidența Directivei 2014/30/UE pe de o parte, precum și </w:t>
      </w:r>
      <w:r w:rsidRPr="00843D8C">
        <w:rPr>
          <w:rFonts w:ascii="Times New Roman" w:hAnsi="Times New Roman"/>
          <w:color w:val="993300"/>
          <w:sz w:val="26"/>
          <w:szCs w:val="26"/>
          <w:lang w:val="ro-RO"/>
        </w:rPr>
        <w:t>punerea la dispoziție pe piață numai a produselor SIGURE.</w:t>
      </w:r>
    </w:p>
    <w:p w:rsidR="000140CA" w:rsidRPr="00843D8C" w:rsidRDefault="000140CA" w:rsidP="003D7CD5">
      <w:pPr>
        <w:spacing w:after="0" w:line="240" w:lineRule="auto"/>
        <w:jc w:val="both"/>
        <w:rPr>
          <w:rFonts w:ascii="Times New Roman" w:hAnsi="Times New Roman"/>
          <w:color w:val="993300"/>
          <w:sz w:val="26"/>
          <w:szCs w:val="26"/>
          <w:lang w:val="ro-RO"/>
        </w:rPr>
      </w:pPr>
    </w:p>
    <w:p w:rsidR="000140CA" w:rsidRPr="00843D8C" w:rsidRDefault="000140CA" w:rsidP="00E63A47">
      <w:pPr>
        <w:spacing w:line="240" w:lineRule="auto"/>
        <w:ind w:firstLine="709"/>
        <w:contextualSpacing/>
        <w:jc w:val="both"/>
        <w:rPr>
          <w:rFonts w:ascii="Times New Roman" w:hAnsi="Times New Roman"/>
          <w:b/>
          <w:i/>
          <w:color w:val="000000"/>
          <w:sz w:val="26"/>
          <w:szCs w:val="26"/>
          <w:lang w:val="ro-RO"/>
        </w:rPr>
      </w:pPr>
      <w:r w:rsidRPr="00843D8C">
        <w:rPr>
          <w:rFonts w:ascii="Times New Roman" w:hAnsi="Times New Roman"/>
          <w:b/>
          <w:i/>
          <w:color w:val="000000"/>
          <w:sz w:val="26"/>
          <w:szCs w:val="26"/>
          <w:lang w:val="ro-RO"/>
        </w:rPr>
        <w:t>Estimarea posibilelor consecinţe în cazul în care nici o acţiune nu e întreprinsă.</w:t>
      </w:r>
    </w:p>
    <w:p w:rsidR="000140CA" w:rsidRPr="00843D8C" w:rsidRDefault="000140CA" w:rsidP="00E92725">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Reglementarea tehnică în cauză bazată pe standardele internaţionale, care la rândul lor, au fost transpuse în standardele europene:</w:t>
      </w:r>
    </w:p>
    <w:p w:rsidR="000140CA" w:rsidRPr="00843D8C" w:rsidRDefault="000140CA" w:rsidP="00E92725">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va exclude existentadispozițiilor naţionale disproporționate, care au un impact practic redus şi au devenit, prin urmare, nerelevante;</w:t>
      </w:r>
    </w:p>
    <w:p w:rsidR="000140CA" w:rsidRPr="00843D8C" w:rsidRDefault="000140CA" w:rsidP="00E92725">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va evita introducerea obstacolelor în calea progresului tehnologic prin stabilirea doar cerinţelor de performanţă (esențiale);</w:t>
      </w:r>
    </w:p>
    <w:p w:rsidR="000140CA" w:rsidRPr="00843D8C" w:rsidRDefault="000140CA" w:rsidP="00E92725">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va asigura nivelul ridicat de protecţie pentru consumatori.</w:t>
      </w:r>
    </w:p>
    <w:p w:rsidR="000140CA" w:rsidRPr="00843D8C" w:rsidRDefault="000140CA" w:rsidP="00E63A47">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lastRenderedPageBreak/>
        <w:t>În cazul inacțiunii, cele menţionate mai sus nu vor fi realizate şi rezultat vor fi afectate facilitarea comerţului, protecţia consumatorilor, precum şi anumite angajamentele ale Republicii Moldova față de partenerii de dezvoltare stabilite în Acorduri (Acord de Asociere RM-UE, Acord OMC/TBT).</w:t>
      </w:r>
    </w:p>
    <w:p w:rsidR="000140CA" w:rsidRPr="00843D8C" w:rsidRDefault="000140CA" w:rsidP="00E63A47">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E63A47">
      <w:pPr>
        <w:spacing w:line="240" w:lineRule="auto"/>
        <w:ind w:firstLine="709"/>
        <w:contextualSpacing/>
        <w:jc w:val="both"/>
        <w:rPr>
          <w:rFonts w:ascii="Times New Roman" w:hAnsi="Times New Roman"/>
          <w:b/>
          <w:i/>
          <w:color w:val="000000"/>
          <w:sz w:val="26"/>
          <w:szCs w:val="26"/>
          <w:lang w:val="ro-RO"/>
        </w:rPr>
      </w:pPr>
      <w:r w:rsidRPr="00843D8C">
        <w:rPr>
          <w:rFonts w:ascii="Times New Roman" w:hAnsi="Times New Roman"/>
          <w:b/>
          <w:i/>
          <w:color w:val="000000"/>
          <w:sz w:val="26"/>
          <w:szCs w:val="26"/>
          <w:lang w:val="ro-RO"/>
        </w:rPr>
        <w:t>Stabilirea scopurilor acţiunilor statului.</w:t>
      </w:r>
    </w:p>
    <w:p w:rsidR="000140CA" w:rsidRPr="00843D8C" w:rsidRDefault="000140CA" w:rsidP="00E63A47">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Prin măsurările propuse de armonizare cu prevederile directivei statul are următoarele scopuri:</w:t>
      </w:r>
    </w:p>
    <w:p w:rsidR="000140CA" w:rsidRPr="00843D8C" w:rsidRDefault="000140CA" w:rsidP="00E63A47">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aducerea cadrului normativ în corespundere cu prevederile Directivei 2014/30/UE;</w:t>
      </w:r>
    </w:p>
    <w:p w:rsidR="000140CA" w:rsidRPr="00843D8C" w:rsidRDefault="000140CA" w:rsidP="004F6C04">
      <w:pPr>
        <w:numPr>
          <w:ilvl w:val="0"/>
          <w:numId w:val="12"/>
        </w:numPr>
        <w:spacing w:after="0" w:line="240" w:lineRule="auto"/>
        <w:ind w:left="0" w:right="-81" w:firstLine="720"/>
        <w:jc w:val="both"/>
        <w:rPr>
          <w:rFonts w:ascii="Times New Roman" w:hAnsi="Times New Roman"/>
          <w:color w:val="000000"/>
          <w:sz w:val="26"/>
          <w:szCs w:val="26"/>
          <w:lang w:val="ro-RO"/>
        </w:rPr>
      </w:pPr>
      <w:r w:rsidRPr="00843D8C">
        <w:rPr>
          <w:rFonts w:ascii="Times New Roman" w:hAnsi="Times New Roman"/>
          <w:color w:val="000000"/>
          <w:sz w:val="26"/>
          <w:szCs w:val="26"/>
          <w:lang w:val="ro-RO"/>
        </w:rPr>
        <w:t>îmbunătățirea protecției populației, oferind un nivel ridicat de protecție a sănătății și securității persoanelor, a animalelor domestice și a bunurilor;</w:t>
      </w:r>
    </w:p>
    <w:p w:rsidR="000140CA" w:rsidRPr="00843D8C" w:rsidRDefault="000140CA" w:rsidP="004F6C04">
      <w:pPr>
        <w:numPr>
          <w:ilvl w:val="0"/>
          <w:numId w:val="12"/>
        </w:numPr>
        <w:spacing w:after="0" w:line="240" w:lineRule="auto"/>
        <w:ind w:left="0" w:right="-81" w:firstLine="720"/>
        <w:jc w:val="both"/>
        <w:rPr>
          <w:rFonts w:ascii="Times New Roman" w:hAnsi="Times New Roman"/>
          <w:color w:val="000000"/>
          <w:sz w:val="26"/>
          <w:szCs w:val="26"/>
          <w:lang w:val="ro-RO"/>
        </w:rPr>
      </w:pPr>
      <w:r w:rsidRPr="00843D8C">
        <w:rPr>
          <w:rFonts w:ascii="Times New Roman" w:hAnsi="Times New Roman"/>
          <w:color w:val="000000"/>
          <w:sz w:val="26"/>
          <w:szCs w:val="26"/>
          <w:lang w:val="ro-RO"/>
        </w:rPr>
        <w:t>reducerea barierelor în calea comerțului, stabilind cerințe unificate cu cele din UE față de echipamente electrice.</w:t>
      </w:r>
    </w:p>
    <w:p w:rsidR="000140CA" w:rsidRPr="00843D8C" w:rsidRDefault="000140CA" w:rsidP="003E0454">
      <w:pPr>
        <w:spacing w:after="0" w:line="240" w:lineRule="auto"/>
        <w:ind w:firstLine="708"/>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Ceea ce ține de indicatorii de performanță stabiliți în 2008 și în ce măsură au fost aceștia atinși putem menționa că scopul RT în vigoare nu a fost atins în deplină măsură (50%) deoarece responsabilitatea pentru plasarea produselor nu o deține producătorul (care de cele mai multe ori este din altă țară), cu atît mai puțin importatorul sau organismul de evaluare a conformității. Autorii își pun ca scop micșorarea cazurilor de neconformități depistate la controalele efectuate la supravegherea pieței. </w:t>
      </w:r>
    </w:p>
    <w:p w:rsidR="000140CA" w:rsidRPr="00843D8C" w:rsidRDefault="000140CA" w:rsidP="003E0454">
      <w:pPr>
        <w:spacing w:after="0" w:line="240" w:lineRule="auto"/>
        <w:ind w:firstLine="708"/>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Referitor la promovarea proiectului și impactul asupra OEC sau dacă există oare riscul ca odată cu scăderea cererii pe acest segment în genere să nu mai existe OEC care să dorească menținerea acreditării,  considerăm că dezvoltarea și încurajarea producătorilor care vor plasa produse inofensive pe piață este sarcina autorității de reglementare, iar OEC sunt doar unul din instrumentele statului pentru asigurarea securității naționale, protecția vieții, sănătății, eredității și securității oamenilor. Un alt instrument al statului sunt - Seviciul vamal și Agenția pentru Protecția Consumatorilor care au menirea de a  preveni introducerea produselor neconforme în țară și expunerea spre comercializare, excluzînd practicile care induc în eroare consumatorii în ceea ce privește inofensivitatea produselor. </w:t>
      </w:r>
    </w:p>
    <w:p w:rsidR="000140CA" w:rsidRPr="00843D8C" w:rsidRDefault="000140CA" w:rsidP="00E63A47">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E63A47">
      <w:pPr>
        <w:spacing w:line="240" w:lineRule="auto"/>
        <w:ind w:firstLine="709"/>
        <w:contextualSpacing/>
        <w:jc w:val="both"/>
        <w:rPr>
          <w:rFonts w:ascii="Times New Roman" w:hAnsi="Times New Roman"/>
          <w:b/>
          <w:color w:val="000000"/>
          <w:sz w:val="26"/>
          <w:szCs w:val="26"/>
          <w:lang w:val="ro-RO"/>
        </w:rPr>
      </w:pPr>
      <w:r w:rsidRPr="00843D8C">
        <w:rPr>
          <w:rFonts w:ascii="Times New Roman" w:hAnsi="Times New Roman"/>
          <w:b/>
          <w:color w:val="000000"/>
          <w:sz w:val="26"/>
          <w:szCs w:val="26"/>
          <w:lang w:val="ro-RO"/>
        </w:rPr>
        <w:t>COSTURILE MAJORE ŞI BENEFICIILE ANTICIPATE ALE INTERVENȚIEI STATULUI</w:t>
      </w:r>
    </w:p>
    <w:p w:rsidR="000140CA" w:rsidRPr="00843D8C" w:rsidRDefault="000140CA" w:rsidP="00E63A47">
      <w:pPr>
        <w:spacing w:line="240" w:lineRule="auto"/>
        <w:ind w:firstLine="709"/>
        <w:contextualSpacing/>
        <w:jc w:val="both"/>
        <w:rPr>
          <w:rFonts w:ascii="Times New Roman" w:hAnsi="Times New Roman"/>
          <w:b/>
          <w:color w:val="000000"/>
          <w:sz w:val="26"/>
          <w:szCs w:val="26"/>
          <w:lang w:val="ro-RO"/>
        </w:rPr>
      </w:pPr>
    </w:p>
    <w:p w:rsidR="000140CA" w:rsidRPr="00843D8C" w:rsidRDefault="000140CA" w:rsidP="00E63A47">
      <w:pPr>
        <w:spacing w:line="240" w:lineRule="auto"/>
        <w:ind w:firstLine="709"/>
        <w:contextualSpacing/>
        <w:jc w:val="both"/>
        <w:rPr>
          <w:rFonts w:ascii="Times New Roman" w:hAnsi="Times New Roman"/>
          <w:b/>
          <w:i/>
          <w:color w:val="000000"/>
          <w:sz w:val="26"/>
          <w:szCs w:val="26"/>
          <w:lang w:val="ro-RO"/>
        </w:rPr>
      </w:pPr>
      <w:r w:rsidRPr="00843D8C">
        <w:rPr>
          <w:rFonts w:ascii="Times New Roman" w:hAnsi="Times New Roman"/>
          <w:b/>
          <w:i/>
          <w:color w:val="000000"/>
          <w:sz w:val="26"/>
          <w:szCs w:val="26"/>
          <w:lang w:val="ro-RO"/>
        </w:rPr>
        <w:t>Impacturile potențiale asupra sectorului privat</w:t>
      </w:r>
    </w:p>
    <w:p w:rsidR="000140CA" w:rsidRPr="00843D8C" w:rsidRDefault="000140CA" w:rsidP="002C3F6E">
      <w:pPr>
        <w:spacing w:after="0" w:line="240" w:lineRule="auto"/>
        <w:ind w:firstLine="567"/>
        <w:jc w:val="both"/>
        <w:rPr>
          <w:rFonts w:ascii="Times New Roman" w:hAnsi="Times New Roman"/>
          <w:color w:val="000000"/>
          <w:sz w:val="26"/>
          <w:szCs w:val="26"/>
          <w:lang w:val="ro-RO"/>
        </w:rPr>
      </w:pPr>
    </w:p>
    <w:p w:rsidR="000140CA" w:rsidRPr="00843D8C" w:rsidRDefault="000140CA" w:rsidP="002C3F6E">
      <w:pPr>
        <w:spacing w:after="0" w:line="240" w:lineRule="auto"/>
        <w:ind w:firstLine="567"/>
        <w:jc w:val="both"/>
        <w:rPr>
          <w:rFonts w:ascii="Times New Roman" w:hAnsi="Times New Roman"/>
          <w:i/>
          <w:color w:val="000000"/>
          <w:sz w:val="26"/>
          <w:szCs w:val="26"/>
          <w:lang w:val="ro-RO" w:eastAsia="ru-RU"/>
        </w:rPr>
      </w:pPr>
      <w:r w:rsidRPr="00843D8C">
        <w:rPr>
          <w:rFonts w:ascii="Times New Roman" w:hAnsi="Times New Roman"/>
          <w:color w:val="000000"/>
          <w:sz w:val="26"/>
          <w:szCs w:val="26"/>
          <w:lang w:val="ro-RO"/>
        </w:rPr>
        <w:t xml:space="preserve">La moment, agenții economici care plasează echipamente electrice nu se adresează la OEC deoarece conform prevederilor alin. </w:t>
      </w:r>
      <w:r w:rsidRPr="00843D8C">
        <w:rPr>
          <w:rFonts w:ascii="Times New Roman" w:hAnsi="Times New Roman"/>
          <w:color w:val="000000"/>
          <w:sz w:val="26"/>
          <w:szCs w:val="26"/>
          <w:lang w:val="ro-RO" w:eastAsia="ru-RU"/>
        </w:rPr>
        <w:t>(2)</w:t>
      </w:r>
      <w:r w:rsidRPr="00843D8C">
        <w:rPr>
          <w:rFonts w:ascii="Times New Roman" w:hAnsi="Times New Roman"/>
          <w:color w:val="000000"/>
          <w:sz w:val="26"/>
          <w:szCs w:val="26"/>
          <w:lang w:val="ro-RO"/>
        </w:rPr>
        <w:t xml:space="preserve">art. 28 din Legea nr. 235/01.12.2012 stipulează că  </w:t>
      </w:r>
      <w:r w:rsidRPr="00843D8C">
        <w:rPr>
          <w:rFonts w:ascii="Times New Roman" w:hAnsi="Times New Roman"/>
          <w:i/>
          <w:color w:val="000000"/>
          <w:sz w:val="26"/>
          <w:szCs w:val="26"/>
          <w:lang w:val="ro-RO" w:eastAsia="ru-RU"/>
        </w:rPr>
        <w:t>Importatorul introduce pe piaţă numai produse conforme cerinţelor esențiale pe baza unei declarații de conformitate, emisă pe propria responsabilitate în temeiul documentației tehnice a producătorului, tradusă în limba de stat şi legalizată, menţionată la art.19 alin.(9).</w:t>
      </w:r>
    </w:p>
    <w:p w:rsidR="000140CA" w:rsidRPr="00843D8C" w:rsidRDefault="000140CA" w:rsidP="002C3F6E">
      <w:pPr>
        <w:pStyle w:val="a3"/>
        <w:tabs>
          <w:tab w:val="left" w:pos="851"/>
        </w:tabs>
        <w:ind w:right="-81" w:firstLine="0"/>
        <w:rPr>
          <w:color w:val="000000"/>
          <w:sz w:val="26"/>
          <w:szCs w:val="26"/>
          <w:lang w:val="ro-RO"/>
        </w:rPr>
      </w:pPr>
      <w:r w:rsidRPr="00843D8C">
        <w:rPr>
          <w:color w:val="000000"/>
          <w:sz w:val="26"/>
          <w:szCs w:val="26"/>
          <w:lang w:val="ro-RO"/>
        </w:rPr>
        <w:tab/>
        <w:t>În Moldova se numără doar câțiva producători care fabrică echipamentele electrice la comandă sau sezonier.</w:t>
      </w:r>
    </w:p>
    <w:p w:rsidR="000140CA" w:rsidRPr="00843D8C" w:rsidRDefault="000140CA" w:rsidP="002C3F6E">
      <w:pPr>
        <w:pStyle w:val="a3"/>
        <w:tabs>
          <w:tab w:val="left" w:pos="851"/>
        </w:tabs>
        <w:ind w:right="-81" w:firstLine="0"/>
        <w:rPr>
          <w:color w:val="000000"/>
          <w:sz w:val="26"/>
          <w:szCs w:val="26"/>
          <w:lang w:val="ro-RO"/>
        </w:rPr>
      </w:pPr>
      <w:r w:rsidRPr="00843D8C">
        <w:rPr>
          <w:color w:val="000000"/>
          <w:sz w:val="26"/>
          <w:szCs w:val="26"/>
          <w:lang w:val="ro-RO"/>
        </w:rPr>
        <w:tab/>
        <w:t xml:space="preserve">Acești producători, de obicei, nu au laboratoare de încercări acreditate și pentru a-și evalua conformitatea produselor introduse pe piață se adresează la organismele de evaluare a conformității, care certifică produsele fabricate în loturi mici sau rareori fabricate în serie. </w:t>
      </w:r>
    </w:p>
    <w:p w:rsidR="000140CA" w:rsidRPr="00843D8C" w:rsidRDefault="000140CA" w:rsidP="00FE618B">
      <w:pPr>
        <w:pStyle w:val="a3"/>
        <w:tabs>
          <w:tab w:val="left" w:pos="851"/>
        </w:tabs>
        <w:ind w:right="-81" w:firstLine="0"/>
        <w:rPr>
          <w:color w:val="000000"/>
          <w:sz w:val="26"/>
          <w:szCs w:val="26"/>
          <w:lang w:val="ro-RO"/>
        </w:rPr>
      </w:pPr>
      <w:r w:rsidRPr="00843D8C">
        <w:rPr>
          <w:color w:val="000000"/>
          <w:sz w:val="26"/>
          <w:szCs w:val="26"/>
          <w:lang w:val="ro-RO"/>
        </w:rPr>
        <w:tab/>
        <w:t xml:space="preserve">Pentru evaluarea produselor, producătorii suportă următoarele costuri: </w:t>
      </w:r>
    </w:p>
    <w:p w:rsidR="000140CA" w:rsidRPr="00843D8C" w:rsidRDefault="000140CA" w:rsidP="00FE618B">
      <w:pPr>
        <w:pStyle w:val="a3"/>
        <w:tabs>
          <w:tab w:val="left" w:pos="851"/>
        </w:tabs>
        <w:ind w:right="-81" w:firstLine="0"/>
        <w:jc w:val="right"/>
        <w:rPr>
          <w:color w:val="000000"/>
          <w:sz w:val="26"/>
          <w:szCs w:val="26"/>
          <w:lang w:val="ro-RO"/>
        </w:rPr>
      </w:pPr>
      <w:r w:rsidRPr="00843D8C">
        <w:rPr>
          <w:color w:val="000000"/>
          <w:sz w:val="26"/>
          <w:szCs w:val="26"/>
          <w:lang w:val="ro-RO"/>
        </w:rPr>
        <w:lastRenderedPageBreak/>
        <w:t xml:space="preserve">tabelul nr.1.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67"/>
        <w:gridCol w:w="1865"/>
        <w:gridCol w:w="1865"/>
        <w:gridCol w:w="1823"/>
        <w:gridCol w:w="2118"/>
      </w:tblGrid>
      <w:tr w:rsidR="000140CA" w:rsidRPr="00775169" w:rsidTr="00E4297E">
        <w:tc>
          <w:tcPr>
            <w:tcW w:w="468" w:type="dxa"/>
          </w:tcPr>
          <w:p w:rsidR="000140CA" w:rsidRPr="00843D8C" w:rsidRDefault="000140CA" w:rsidP="00E4297E">
            <w:pPr>
              <w:pStyle w:val="a3"/>
              <w:tabs>
                <w:tab w:val="left" w:pos="851"/>
              </w:tabs>
              <w:ind w:right="-81" w:firstLine="0"/>
              <w:jc w:val="center"/>
              <w:rPr>
                <w:b/>
                <w:color w:val="000000"/>
                <w:sz w:val="26"/>
                <w:szCs w:val="26"/>
                <w:lang w:val="ro-RO"/>
              </w:rPr>
            </w:pPr>
            <w:r w:rsidRPr="00843D8C">
              <w:rPr>
                <w:b/>
                <w:color w:val="000000"/>
                <w:sz w:val="26"/>
                <w:szCs w:val="26"/>
                <w:lang w:val="ro-RO"/>
              </w:rPr>
              <w:t>Nr. d/o</w:t>
            </w:r>
          </w:p>
        </w:tc>
        <w:tc>
          <w:tcPr>
            <w:tcW w:w="1467" w:type="dxa"/>
          </w:tcPr>
          <w:p w:rsidR="000140CA" w:rsidRPr="00843D8C" w:rsidRDefault="000140CA" w:rsidP="00E4297E">
            <w:pPr>
              <w:pStyle w:val="a3"/>
              <w:tabs>
                <w:tab w:val="left" w:pos="851"/>
              </w:tabs>
              <w:ind w:right="-81" w:firstLine="0"/>
              <w:jc w:val="center"/>
              <w:rPr>
                <w:b/>
                <w:color w:val="000000"/>
                <w:sz w:val="26"/>
                <w:szCs w:val="26"/>
                <w:lang w:val="ro-RO"/>
              </w:rPr>
            </w:pPr>
            <w:r w:rsidRPr="00843D8C">
              <w:rPr>
                <w:b/>
                <w:color w:val="000000"/>
                <w:sz w:val="26"/>
                <w:szCs w:val="26"/>
                <w:lang w:val="ro-RO"/>
              </w:rPr>
              <w:t>Denumire produs</w:t>
            </w:r>
          </w:p>
        </w:tc>
        <w:tc>
          <w:tcPr>
            <w:tcW w:w="3730" w:type="dxa"/>
            <w:gridSpan w:val="2"/>
          </w:tcPr>
          <w:p w:rsidR="000140CA" w:rsidRPr="00843D8C" w:rsidRDefault="000140CA" w:rsidP="00E4297E">
            <w:pPr>
              <w:pStyle w:val="a3"/>
              <w:tabs>
                <w:tab w:val="left" w:pos="851"/>
              </w:tabs>
              <w:ind w:right="-81" w:firstLine="0"/>
              <w:jc w:val="center"/>
              <w:rPr>
                <w:b/>
                <w:color w:val="000000"/>
                <w:sz w:val="26"/>
                <w:szCs w:val="26"/>
                <w:lang w:val="ro-RO"/>
              </w:rPr>
            </w:pPr>
            <w:r w:rsidRPr="00843D8C">
              <w:rPr>
                <w:b/>
                <w:color w:val="000000"/>
                <w:sz w:val="26"/>
                <w:szCs w:val="26"/>
                <w:lang w:val="ro-RO"/>
              </w:rPr>
              <w:t>Costul serviciilor Organismului de certificare</w:t>
            </w:r>
          </w:p>
        </w:tc>
        <w:tc>
          <w:tcPr>
            <w:tcW w:w="1823" w:type="dxa"/>
          </w:tcPr>
          <w:p w:rsidR="000140CA" w:rsidRPr="00843D8C" w:rsidRDefault="000140CA" w:rsidP="00E4297E">
            <w:pPr>
              <w:pStyle w:val="a3"/>
              <w:tabs>
                <w:tab w:val="left" w:pos="851"/>
              </w:tabs>
              <w:ind w:right="-81" w:firstLine="0"/>
              <w:jc w:val="left"/>
              <w:rPr>
                <w:b/>
                <w:color w:val="000000"/>
                <w:sz w:val="26"/>
                <w:szCs w:val="26"/>
                <w:lang w:val="ro-RO"/>
              </w:rPr>
            </w:pPr>
            <w:r w:rsidRPr="00843D8C">
              <w:rPr>
                <w:b/>
                <w:color w:val="000000"/>
                <w:sz w:val="26"/>
                <w:szCs w:val="26"/>
                <w:lang w:val="ro-RO"/>
              </w:rPr>
              <w:t>Costul serviciilor laboratorului de încercări (la securitate)</w:t>
            </w:r>
          </w:p>
        </w:tc>
        <w:tc>
          <w:tcPr>
            <w:tcW w:w="2118" w:type="dxa"/>
          </w:tcPr>
          <w:p w:rsidR="000140CA" w:rsidRPr="00843D8C" w:rsidRDefault="000140CA" w:rsidP="00E4297E">
            <w:pPr>
              <w:pStyle w:val="a3"/>
              <w:tabs>
                <w:tab w:val="left" w:pos="851"/>
              </w:tabs>
              <w:ind w:right="-81" w:firstLine="0"/>
              <w:jc w:val="left"/>
              <w:rPr>
                <w:b/>
                <w:color w:val="000000"/>
                <w:sz w:val="26"/>
                <w:szCs w:val="26"/>
                <w:lang w:val="ro-RO"/>
              </w:rPr>
            </w:pPr>
            <w:r w:rsidRPr="00843D8C">
              <w:rPr>
                <w:b/>
                <w:color w:val="000000"/>
                <w:sz w:val="26"/>
                <w:szCs w:val="26"/>
                <w:lang w:val="ro-RO"/>
              </w:rPr>
              <w:t>Costul serviciilor laboratorului de încercări (la compatibilitate)</w:t>
            </w:r>
          </w:p>
        </w:tc>
      </w:tr>
      <w:tr w:rsidR="000140CA" w:rsidRPr="00843D8C" w:rsidTr="00E4297E">
        <w:tc>
          <w:tcPr>
            <w:tcW w:w="468" w:type="dxa"/>
          </w:tcPr>
          <w:p w:rsidR="000140CA" w:rsidRPr="00843D8C" w:rsidRDefault="000140CA" w:rsidP="00E4297E">
            <w:pPr>
              <w:pStyle w:val="a3"/>
              <w:tabs>
                <w:tab w:val="left" w:pos="851"/>
              </w:tabs>
              <w:ind w:right="-81" w:firstLine="0"/>
              <w:rPr>
                <w:color w:val="000000"/>
                <w:sz w:val="26"/>
                <w:szCs w:val="26"/>
                <w:lang w:val="ro-RO"/>
              </w:rPr>
            </w:pPr>
          </w:p>
        </w:tc>
        <w:tc>
          <w:tcPr>
            <w:tcW w:w="1467" w:type="dxa"/>
          </w:tcPr>
          <w:p w:rsidR="000140CA" w:rsidRPr="00843D8C" w:rsidRDefault="000140CA" w:rsidP="00E4297E">
            <w:pPr>
              <w:pStyle w:val="a3"/>
              <w:tabs>
                <w:tab w:val="left" w:pos="851"/>
              </w:tabs>
              <w:ind w:right="-81" w:firstLine="0"/>
              <w:rPr>
                <w:color w:val="000000"/>
                <w:sz w:val="26"/>
                <w:szCs w:val="26"/>
                <w:lang w:val="ro-RO"/>
              </w:rPr>
            </w:pPr>
          </w:p>
        </w:tc>
        <w:tc>
          <w:tcPr>
            <w:tcW w:w="1865"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lot</w:t>
            </w:r>
          </w:p>
        </w:tc>
        <w:tc>
          <w:tcPr>
            <w:tcW w:w="1865"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serie</w:t>
            </w:r>
          </w:p>
        </w:tc>
        <w:tc>
          <w:tcPr>
            <w:tcW w:w="1823" w:type="dxa"/>
          </w:tcPr>
          <w:p w:rsidR="000140CA" w:rsidRPr="00843D8C" w:rsidRDefault="000140CA" w:rsidP="00E4297E">
            <w:pPr>
              <w:pStyle w:val="a3"/>
              <w:tabs>
                <w:tab w:val="left" w:pos="851"/>
              </w:tabs>
              <w:ind w:right="-81" w:firstLine="0"/>
              <w:rPr>
                <w:color w:val="000000"/>
                <w:sz w:val="26"/>
                <w:szCs w:val="26"/>
                <w:lang w:val="ro-RO"/>
              </w:rPr>
            </w:pPr>
          </w:p>
        </w:tc>
        <w:tc>
          <w:tcPr>
            <w:tcW w:w="2118" w:type="dxa"/>
          </w:tcPr>
          <w:p w:rsidR="000140CA" w:rsidRPr="00843D8C" w:rsidRDefault="000140CA" w:rsidP="00E4297E">
            <w:pPr>
              <w:pStyle w:val="a3"/>
              <w:tabs>
                <w:tab w:val="left" w:pos="851"/>
              </w:tabs>
              <w:ind w:right="-81" w:firstLine="0"/>
              <w:rPr>
                <w:color w:val="000000"/>
                <w:sz w:val="26"/>
                <w:szCs w:val="26"/>
                <w:lang w:val="ro-RO"/>
              </w:rPr>
            </w:pPr>
          </w:p>
        </w:tc>
      </w:tr>
      <w:tr w:rsidR="000140CA" w:rsidRPr="00843D8C" w:rsidTr="00E4297E">
        <w:tc>
          <w:tcPr>
            <w:tcW w:w="468"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1.</w:t>
            </w:r>
          </w:p>
        </w:tc>
        <w:tc>
          <w:tcPr>
            <w:tcW w:w="1467"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Fen</w:t>
            </w:r>
          </w:p>
        </w:tc>
        <w:tc>
          <w:tcPr>
            <w:tcW w:w="1865" w:type="dxa"/>
            <w:vMerge w:val="restart"/>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900–2161 lei</w:t>
            </w:r>
          </w:p>
          <w:p w:rsidR="000140CA" w:rsidRPr="00843D8C" w:rsidRDefault="000140CA" w:rsidP="00E4297E">
            <w:pPr>
              <w:pStyle w:val="a3"/>
              <w:tabs>
                <w:tab w:val="left" w:pos="851"/>
              </w:tabs>
              <w:ind w:right="-81"/>
              <w:rPr>
                <w:color w:val="000000"/>
                <w:sz w:val="26"/>
                <w:szCs w:val="26"/>
                <w:lang w:val="ro-RO"/>
              </w:rPr>
            </w:pPr>
          </w:p>
        </w:tc>
        <w:tc>
          <w:tcPr>
            <w:tcW w:w="1865" w:type="dxa"/>
            <w:vMerge w:val="restart"/>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788,9–2850 lei</w:t>
            </w:r>
          </w:p>
        </w:tc>
        <w:tc>
          <w:tcPr>
            <w:tcW w:w="1823" w:type="dxa"/>
            <w:vMerge w:val="restart"/>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486,7lei</w:t>
            </w:r>
          </w:p>
        </w:tc>
        <w:tc>
          <w:tcPr>
            <w:tcW w:w="2118" w:type="dxa"/>
            <w:vMerge w:val="restart"/>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2000 lei</w:t>
            </w:r>
          </w:p>
        </w:tc>
      </w:tr>
      <w:tr w:rsidR="000140CA" w:rsidRPr="00843D8C" w:rsidTr="00E4297E">
        <w:tc>
          <w:tcPr>
            <w:tcW w:w="468"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2.</w:t>
            </w:r>
          </w:p>
        </w:tc>
        <w:tc>
          <w:tcPr>
            <w:tcW w:w="1467"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Fier de călcat</w:t>
            </w:r>
          </w:p>
        </w:tc>
        <w:tc>
          <w:tcPr>
            <w:tcW w:w="1865" w:type="dxa"/>
            <w:vMerge/>
          </w:tcPr>
          <w:p w:rsidR="000140CA" w:rsidRPr="00843D8C" w:rsidRDefault="000140CA" w:rsidP="00E4297E">
            <w:pPr>
              <w:pStyle w:val="a3"/>
              <w:tabs>
                <w:tab w:val="left" w:pos="851"/>
              </w:tabs>
              <w:ind w:right="-81" w:firstLine="0"/>
              <w:rPr>
                <w:color w:val="000000"/>
                <w:sz w:val="26"/>
                <w:szCs w:val="26"/>
                <w:lang w:val="ro-RO"/>
              </w:rPr>
            </w:pPr>
          </w:p>
        </w:tc>
        <w:tc>
          <w:tcPr>
            <w:tcW w:w="1865" w:type="dxa"/>
            <w:vMerge/>
          </w:tcPr>
          <w:p w:rsidR="000140CA" w:rsidRPr="00843D8C" w:rsidRDefault="000140CA" w:rsidP="00E4297E">
            <w:pPr>
              <w:pStyle w:val="a3"/>
              <w:tabs>
                <w:tab w:val="left" w:pos="851"/>
              </w:tabs>
              <w:ind w:right="-81" w:firstLine="0"/>
              <w:rPr>
                <w:color w:val="000000"/>
                <w:sz w:val="26"/>
                <w:szCs w:val="26"/>
                <w:lang w:val="ro-RO"/>
              </w:rPr>
            </w:pPr>
          </w:p>
        </w:tc>
        <w:tc>
          <w:tcPr>
            <w:tcW w:w="1823" w:type="dxa"/>
            <w:vMerge/>
          </w:tcPr>
          <w:p w:rsidR="000140CA" w:rsidRPr="00843D8C" w:rsidRDefault="000140CA" w:rsidP="00E4297E">
            <w:pPr>
              <w:pStyle w:val="a3"/>
              <w:tabs>
                <w:tab w:val="left" w:pos="851"/>
              </w:tabs>
              <w:ind w:right="-81" w:firstLine="0"/>
              <w:rPr>
                <w:color w:val="000000"/>
                <w:sz w:val="26"/>
                <w:szCs w:val="26"/>
                <w:lang w:val="ro-RO"/>
              </w:rPr>
            </w:pPr>
          </w:p>
        </w:tc>
        <w:tc>
          <w:tcPr>
            <w:tcW w:w="2118" w:type="dxa"/>
            <w:vMerge/>
          </w:tcPr>
          <w:p w:rsidR="000140CA" w:rsidRPr="00843D8C" w:rsidRDefault="000140CA" w:rsidP="00E4297E">
            <w:pPr>
              <w:pStyle w:val="a3"/>
              <w:tabs>
                <w:tab w:val="left" w:pos="851"/>
              </w:tabs>
              <w:ind w:right="-81" w:firstLine="0"/>
              <w:rPr>
                <w:color w:val="000000"/>
                <w:sz w:val="26"/>
                <w:szCs w:val="26"/>
                <w:lang w:val="ro-RO"/>
              </w:rPr>
            </w:pPr>
          </w:p>
        </w:tc>
      </w:tr>
      <w:tr w:rsidR="000140CA" w:rsidRPr="00843D8C" w:rsidTr="00E4297E">
        <w:tc>
          <w:tcPr>
            <w:tcW w:w="468"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3.</w:t>
            </w:r>
          </w:p>
        </w:tc>
        <w:tc>
          <w:tcPr>
            <w:tcW w:w="1467"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Calculator</w:t>
            </w:r>
          </w:p>
        </w:tc>
        <w:tc>
          <w:tcPr>
            <w:tcW w:w="1865" w:type="dxa"/>
            <w:vMerge/>
          </w:tcPr>
          <w:p w:rsidR="000140CA" w:rsidRPr="00843D8C" w:rsidRDefault="000140CA" w:rsidP="00E4297E">
            <w:pPr>
              <w:pStyle w:val="a3"/>
              <w:tabs>
                <w:tab w:val="left" w:pos="851"/>
              </w:tabs>
              <w:ind w:right="-81" w:firstLine="0"/>
              <w:rPr>
                <w:color w:val="000000"/>
                <w:sz w:val="26"/>
                <w:szCs w:val="26"/>
                <w:lang w:val="ro-RO"/>
              </w:rPr>
            </w:pPr>
          </w:p>
        </w:tc>
        <w:tc>
          <w:tcPr>
            <w:tcW w:w="1865" w:type="dxa"/>
            <w:vMerge/>
          </w:tcPr>
          <w:p w:rsidR="000140CA" w:rsidRPr="00843D8C" w:rsidRDefault="000140CA" w:rsidP="00E4297E">
            <w:pPr>
              <w:pStyle w:val="a3"/>
              <w:tabs>
                <w:tab w:val="left" w:pos="851"/>
              </w:tabs>
              <w:ind w:right="-81" w:firstLine="0"/>
              <w:rPr>
                <w:color w:val="000000"/>
                <w:sz w:val="26"/>
                <w:szCs w:val="26"/>
                <w:lang w:val="ro-RO"/>
              </w:rPr>
            </w:pPr>
          </w:p>
        </w:tc>
        <w:tc>
          <w:tcPr>
            <w:tcW w:w="1823"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493,2-640lei</w:t>
            </w:r>
          </w:p>
        </w:tc>
        <w:tc>
          <w:tcPr>
            <w:tcW w:w="2118"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2048 lei</w:t>
            </w:r>
          </w:p>
        </w:tc>
      </w:tr>
    </w:tbl>
    <w:p w:rsidR="000140CA" w:rsidRPr="00843D8C" w:rsidRDefault="000140CA" w:rsidP="002C3F6E">
      <w:pPr>
        <w:pStyle w:val="a3"/>
        <w:tabs>
          <w:tab w:val="left" w:pos="851"/>
        </w:tabs>
        <w:ind w:right="-81" w:firstLine="0"/>
        <w:rPr>
          <w:i/>
          <w:color w:val="000000"/>
          <w:sz w:val="26"/>
          <w:szCs w:val="26"/>
          <w:lang w:val="ro-RO"/>
        </w:rPr>
      </w:pPr>
      <w:r w:rsidRPr="00843D8C">
        <w:rPr>
          <w:i/>
          <w:color w:val="000000"/>
          <w:sz w:val="26"/>
          <w:szCs w:val="26"/>
          <w:lang w:val="ro-RO"/>
        </w:rPr>
        <w:t>* Prețurile menționate au fost calculate fără includerea TVA.</w:t>
      </w:r>
    </w:p>
    <w:p w:rsidR="000140CA" w:rsidRPr="00843D8C" w:rsidRDefault="000140CA" w:rsidP="002C3F6E">
      <w:pPr>
        <w:pStyle w:val="a3"/>
        <w:tabs>
          <w:tab w:val="left" w:pos="851"/>
        </w:tabs>
        <w:ind w:right="-81" w:firstLine="0"/>
        <w:rPr>
          <w:color w:val="000000"/>
          <w:sz w:val="26"/>
          <w:szCs w:val="26"/>
          <w:lang w:val="ro-RO"/>
        </w:rPr>
      </w:pPr>
    </w:p>
    <w:p w:rsidR="000140CA" w:rsidRPr="00843D8C" w:rsidRDefault="000140CA" w:rsidP="002C3F6E">
      <w:pPr>
        <w:pStyle w:val="a3"/>
        <w:tabs>
          <w:tab w:val="left" w:pos="851"/>
        </w:tabs>
        <w:ind w:right="-81" w:firstLine="0"/>
        <w:rPr>
          <w:color w:val="000000"/>
          <w:sz w:val="26"/>
          <w:szCs w:val="26"/>
          <w:lang w:val="ro-RO"/>
        </w:rPr>
      </w:pPr>
      <w:r w:rsidRPr="00843D8C">
        <w:rPr>
          <w:color w:val="000000"/>
          <w:sz w:val="26"/>
          <w:szCs w:val="26"/>
          <w:lang w:val="ro-RO"/>
        </w:rPr>
        <w:tab/>
        <w:t xml:space="preserve">Prin urmare, pentru a evalua un singur produs, producătorul (în dependență de schema evaluării) va suporta cheltuieli în valoarea indicată în tabelul nr.1 (pentru produsul fabricat în lot -3386,7- 4647,7 lei și în serie 3275,6-5538 lei). </w:t>
      </w:r>
    </w:p>
    <w:p w:rsidR="000140CA" w:rsidRPr="00843D8C" w:rsidRDefault="000140CA" w:rsidP="00A80551">
      <w:pPr>
        <w:pStyle w:val="a3"/>
        <w:tabs>
          <w:tab w:val="left" w:pos="720"/>
        </w:tabs>
        <w:ind w:firstLine="0"/>
        <w:rPr>
          <w:color w:val="000000"/>
          <w:sz w:val="26"/>
          <w:szCs w:val="26"/>
          <w:lang w:val="ro-RO"/>
        </w:rPr>
      </w:pPr>
      <w:r w:rsidRPr="00843D8C">
        <w:rPr>
          <w:color w:val="000000"/>
          <w:sz w:val="26"/>
          <w:szCs w:val="26"/>
          <w:lang w:val="ro-RO"/>
        </w:rPr>
        <w:tab/>
        <w:t>Laimportul produseloreste creată altă situație.</w:t>
      </w:r>
    </w:p>
    <w:p w:rsidR="000140CA" w:rsidRPr="00843D8C" w:rsidRDefault="000140CA" w:rsidP="002C3F6E">
      <w:pPr>
        <w:pStyle w:val="CM1"/>
        <w:ind w:firstLine="708"/>
        <w:jc w:val="both"/>
        <w:rPr>
          <w:rFonts w:ascii="Times New Roman" w:hAnsi="Times New Roman"/>
          <w:color w:val="000000"/>
          <w:sz w:val="26"/>
          <w:szCs w:val="26"/>
          <w:lang w:val="ro-RO"/>
        </w:rPr>
      </w:pPr>
      <w:r w:rsidRPr="00843D8C">
        <w:rPr>
          <w:rFonts w:ascii="Times New Roman" w:hAnsi="Times New Roman"/>
          <w:color w:val="000000"/>
          <w:sz w:val="26"/>
          <w:szCs w:val="26"/>
          <w:lang w:val="ro-RO"/>
        </w:rPr>
        <w:t>De exemplu, importul echipamentelor electrice din țările Comunității Statelor Independente (Federația Rusă, Belorusia și Ukraina). Produsele menționate, ca regulă, sunt însoțite cu toată documentația, eliberată de către producător. Importatorul, în lipsa reprezentantului autorizat, garantează că procedura corespunzătoare de evaluare a conformității a fost îndeplinită de către producător, că producătorul a întocmit documentația tehnică, că echipamentele electrice poartă marcajul CE și sunt însoțite de documentele necesare  înainte de punerea la dispoziție pe piață  a echipamentelor electrice.</w:t>
      </w:r>
    </w:p>
    <w:p w:rsidR="000140CA" w:rsidRPr="00843D8C" w:rsidRDefault="000140CA" w:rsidP="002C3F6E">
      <w:pPr>
        <w:pStyle w:val="a3"/>
        <w:tabs>
          <w:tab w:val="left" w:pos="851"/>
        </w:tabs>
        <w:ind w:right="-81" w:firstLine="0"/>
        <w:rPr>
          <w:color w:val="000000"/>
          <w:sz w:val="26"/>
          <w:szCs w:val="26"/>
          <w:lang w:val="ro-RO"/>
        </w:rPr>
      </w:pPr>
      <w:r w:rsidRPr="00843D8C">
        <w:rPr>
          <w:color w:val="000000"/>
          <w:sz w:val="26"/>
          <w:szCs w:val="26"/>
          <w:lang w:val="ro-RO"/>
        </w:rPr>
        <w:tab/>
        <w:t>Avînd aceleași reguli de punere la dispoziție pe piață, la importul echipamentelor electrice din țările Uniunii Europene, importatorul nu întîmpină dificultăți ce țin de punerea la dispoziție pe piață a produselor, deoarece producătorii transmit documentația necesară în baza căreia a fost emisă declarația de conformitate.</w:t>
      </w:r>
    </w:p>
    <w:p w:rsidR="000140CA" w:rsidRPr="00843D8C" w:rsidRDefault="000140CA" w:rsidP="002C3F6E">
      <w:pPr>
        <w:pStyle w:val="a3"/>
        <w:tabs>
          <w:tab w:val="left" w:pos="851"/>
        </w:tabs>
        <w:ind w:right="-81" w:firstLine="0"/>
        <w:rPr>
          <w:color w:val="000000"/>
          <w:sz w:val="26"/>
          <w:szCs w:val="26"/>
          <w:lang w:val="ro-RO"/>
        </w:rPr>
      </w:pPr>
      <w:r w:rsidRPr="00843D8C">
        <w:rPr>
          <w:color w:val="000000"/>
          <w:sz w:val="26"/>
          <w:szCs w:val="26"/>
          <w:lang w:val="ro-RO"/>
        </w:rPr>
        <w:tab/>
        <w:t>O bună parte de întreprinderi cu renume au filiale atît în terțe țări(cum ar fi China, Turcia, Indonezia, Vietnam, Coreea de Sud, SUA, Taiwan, Mexic, Brazilia. Thailanda, Malayzia, Filipine, Singapore, India, Japonia etc.), cît și în Uniunea Europeană. Acest fapt oferă importatorilor posibilitatea de a plasa echipamentele electrice în baza documentației, oferite de către producătorii amplasați în Uniunea Europeană.</w:t>
      </w:r>
    </w:p>
    <w:p w:rsidR="000140CA" w:rsidRPr="00843D8C" w:rsidRDefault="000140CA" w:rsidP="007115F9">
      <w:pPr>
        <w:spacing w:after="0" w:line="240" w:lineRule="auto"/>
        <w:ind w:firstLine="709"/>
        <w:jc w:val="both"/>
        <w:rPr>
          <w:rFonts w:ascii="Times New Roman" w:hAnsi="Times New Roman"/>
          <w:color w:val="000000"/>
          <w:sz w:val="26"/>
          <w:szCs w:val="26"/>
          <w:lang w:val="ro-RO"/>
        </w:rPr>
      </w:pPr>
      <w:r w:rsidRPr="00843D8C">
        <w:rPr>
          <w:rFonts w:ascii="Times New Roman" w:hAnsi="Times New Roman"/>
          <w:color w:val="000000"/>
          <w:sz w:val="26"/>
          <w:szCs w:val="26"/>
          <w:lang w:val="ro-RO"/>
        </w:rPr>
        <w:t>Totodată menționăm că importatorul, în dependență de documentele prezentate de către producător la comercializarea produsului său, nu totdeauna are toate documentele necesare.</w:t>
      </w:r>
    </w:p>
    <w:p w:rsidR="000140CA" w:rsidRPr="00843D8C" w:rsidRDefault="000140CA" w:rsidP="007115F9">
      <w:pPr>
        <w:spacing w:after="0" w:line="240" w:lineRule="auto"/>
        <w:ind w:firstLine="709"/>
        <w:jc w:val="both"/>
        <w:rPr>
          <w:rFonts w:ascii="Times New Roman" w:hAnsi="Times New Roman"/>
          <w:color w:val="000000"/>
          <w:sz w:val="26"/>
          <w:szCs w:val="26"/>
          <w:lang w:val="ro-RO"/>
        </w:rPr>
      </w:pPr>
      <w:r w:rsidRPr="00843D8C">
        <w:rPr>
          <w:rFonts w:ascii="Times New Roman" w:hAnsi="Times New Roman"/>
          <w:color w:val="000000"/>
          <w:sz w:val="26"/>
          <w:szCs w:val="26"/>
          <w:lang w:val="ro-RO"/>
        </w:rPr>
        <w:t>Dacă documentația necesară pentru punerea la dispoziție a unui echipament electric solicitată de la producător nu a fost prezentată, importatorul se adresează la un organism de evaluare a conformității acreditat în acest domeniu pentru a testa produsele. Echipamentele electrice pot fi supuse voluntar certificării conformității.</w:t>
      </w:r>
    </w:p>
    <w:p w:rsidR="000140CA" w:rsidRPr="00843D8C" w:rsidRDefault="000140CA" w:rsidP="007115F9">
      <w:pPr>
        <w:spacing w:after="0" w:line="240" w:lineRule="auto"/>
        <w:ind w:firstLine="709"/>
        <w:jc w:val="both"/>
        <w:rPr>
          <w:rFonts w:ascii="Times New Roman" w:hAnsi="Times New Roman"/>
          <w:color w:val="000000"/>
          <w:sz w:val="26"/>
          <w:szCs w:val="26"/>
          <w:lang w:val="ro-RO"/>
        </w:rPr>
      </w:pPr>
      <w:r w:rsidRPr="00843D8C">
        <w:rPr>
          <w:rFonts w:ascii="Times New Roman" w:hAnsi="Times New Roman"/>
          <w:color w:val="000000"/>
          <w:sz w:val="26"/>
          <w:szCs w:val="26"/>
          <w:lang w:val="ro-RO"/>
        </w:rPr>
        <w:t>În cadrul elaborării AIR de la LÎ al ÎS ”Introscop” au fost solicitate costurile pentru testările efectuate asupra echipamentelor electrice. Actualmente, este necesar de menţionat că costurile pentru efectuarea încercărilor la compatibilitatea electromagnetică variază de la 950 la 2000 lei.</w:t>
      </w:r>
    </w:p>
    <w:p w:rsidR="000140CA" w:rsidRDefault="000140CA" w:rsidP="007115F9">
      <w:pPr>
        <w:spacing w:after="0" w:line="240" w:lineRule="auto"/>
        <w:ind w:firstLine="709"/>
        <w:jc w:val="both"/>
        <w:rPr>
          <w:rFonts w:ascii="Times New Roman" w:hAnsi="Times New Roman"/>
          <w:color w:val="000000"/>
          <w:sz w:val="26"/>
          <w:szCs w:val="26"/>
          <w:lang w:val="ro-RO"/>
        </w:rPr>
      </w:pPr>
      <w:r w:rsidRPr="00843D8C">
        <w:rPr>
          <w:rFonts w:ascii="Times New Roman" w:hAnsi="Times New Roman"/>
          <w:color w:val="000000"/>
          <w:sz w:val="26"/>
          <w:szCs w:val="26"/>
          <w:lang w:val="ro-RO"/>
        </w:rPr>
        <w:t>Pentru a reda tabloul în linii generale, considerăm necesar de a indica și prețurile pe care le suportă importatorii :</w:t>
      </w:r>
    </w:p>
    <w:p w:rsidR="000140CA" w:rsidRPr="00843D8C" w:rsidRDefault="000140CA" w:rsidP="007115F9">
      <w:pPr>
        <w:spacing w:after="0" w:line="240" w:lineRule="auto"/>
        <w:ind w:firstLine="709"/>
        <w:jc w:val="both"/>
        <w:rPr>
          <w:rFonts w:ascii="Times New Roman" w:hAnsi="Times New Roman"/>
          <w:color w:val="000000"/>
          <w:sz w:val="26"/>
          <w:szCs w:val="26"/>
          <w:lang w:val="ro-RO"/>
        </w:rPr>
      </w:pPr>
    </w:p>
    <w:p w:rsidR="000140CA" w:rsidRDefault="000140CA" w:rsidP="00A268D1">
      <w:pPr>
        <w:pStyle w:val="a3"/>
        <w:tabs>
          <w:tab w:val="left" w:pos="851"/>
        </w:tabs>
        <w:ind w:right="-81" w:firstLine="0"/>
        <w:jc w:val="right"/>
        <w:rPr>
          <w:color w:val="000000"/>
          <w:sz w:val="26"/>
          <w:szCs w:val="26"/>
          <w:lang w:val="ro-RO"/>
        </w:rPr>
      </w:pPr>
    </w:p>
    <w:p w:rsidR="000140CA" w:rsidRPr="00843D8C" w:rsidRDefault="000140CA" w:rsidP="00A268D1">
      <w:pPr>
        <w:pStyle w:val="a3"/>
        <w:tabs>
          <w:tab w:val="left" w:pos="851"/>
        </w:tabs>
        <w:ind w:right="-81" w:firstLine="0"/>
        <w:jc w:val="right"/>
        <w:rPr>
          <w:color w:val="000000"/>
          <w:sz w:val="26"/>
          <w:szCs w:val="26"/>
          <w:lang w:val="ro-RO"/>
        </w:rPr>
      </w:pPr>
      <w:r>
        <w:rPr>
          <w:color w:val="000000"/>
          <w:sz w:val="26"/>
          <w:szCs w:val="26"/>
          <w:lang w:val="ro-RO"/>
        </w:rPr>
        <w:lastRenderedPageBreak/>
        <w:t>T</w:t>
      </w:r>
      <w:r w:rsidRPr="00843D8C">
        <w:rPr>
          <w:color w:val="000000"/>
          <w:sz w:val="26"/>
          <w:szCs w:val="26"/>
          <w:lang w:val="ro-RO"/>
        </w:rPr>
        <w:t xml:space="preserve">abelul nr.2.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1080"/>
        <w:gridCol w:w="1063"/>
        <w:gridCol w:w="1092"/>
        <w:gridCol w:w="1382"/>
        <w:gridCol w:w="1418"/>
        <w:gridCol w:w="1701"/>
      </w:tblGrid>
      <w:tr w:rsidR="000140CA" w:rsidRPr="00775169" w:rsidTr="00E4297E">
        <w:tc>
          <w:tcPr>
            <w:tcW w:w="468" w:type="dxa"/>
          </w:tcPr>
          <w:p w:rsidR="000140CA" w:rsidRPr="00843D8C" w:rsidRDefault="000140CA" w:rsidP="00E4297E">
            <w:pPr>
              <w:pStyle w:val="a3"/>
              <w:tabs>
                <w:tab w:val="left" w:pos="851"/>
              </w:tabs>
              <w:ind w:right="-81" w:firstLine="0"/>
              <w:rPr>
                <w:b/>
                <w:color w:val="000000"/>
                <w:sz w:val="26"/>
                <w:szCs w:val="26"/>
                <w:lang w:val="ro-RO"/>
              </w:rPr>
            </w:pPr>
            <w:r w:rsidRPr="00843D8C">
              <w:rPr>
                <w:b/>
                <w:color w:val="000000"/>
                <w:sz w:val="26"/>
                <w:szCs w:val="26"/>
                <w:lang w:val="ro-RO"/>
              </w:rPr>
              <w:t>Nr. d/o</w:t>
            </w:r>
          </w:p>
        </w:tc>
        <w:tc>
          <w:tcPr>
            <w:tcW w:w="1260" w:type="dxa"/>
          </w:tcPr>
          <w:p w:rsidR="000140CA" w:rsidRPr="00843D8C" w:rsidRDefault="000140CA" w:rsidP="00E4297E">
            <w:pPr>
              <w:pStyle w:val="a3"/>
              <w:tabs>
                <w:tab w:val="left" w:pos="851"/>
              </w:tabs>
              <w:ind w:right="-81" w:firstLine="0"/>
              <w:rPr>
                <w:b/>
                <w:color w:val="000000"/>
                <w:sz w:val="26"/>
                <w:szCs w:val="26"/>
                <w:lang w:val="ro-RO"/>
              </w:rPr>
            </w:pPr>
            <w:r w:rsidRPr="00843D8C">
              <w:rPr>
                <w:b/>
                <w:color w:val="000000"/>
                <w:sz w:val="26"/>
                <w:szCs w:val="26"/>
                <w:lang w:val="ro-RO"/>
              </w:rPr>
              <w:t>Denumirea produsului</w:t>
            </w:r>
          </w:p>
        </w:tc>
        <w:tc>
          <w:tcPr>
            <w:tcW w:w="1080" w:type="dxa"/>
          </w:tcPr>
          <w:p w:rsidR="000140CA" w:rsidRPr="00843D8C" w:rsidRDefault="000140CA" w:rsidP="00E4297E">
            <w:pPr>
              <w:pStyle w:val="a3"/>
              <w:tabs>
                <w:tab w:val="left" w:pos="851"/>
              </w:tabs>
              <w:ind w:right="-81" w:firstLine="0"/>
              <w:rPr>
                <w:b/>
                <w:color w:val="000000"/>
                <w:sz w:val="26"/>
                <w:szCs w:val="26"/>
                <w:lang w:val="ro-RO"/>
              </w:rPr>
            </w:pPr>
            <w:r w:rsidRPr="00843D8C">
              <w:rPr>
                <w:b/>
                <w:color w:val="000000"/>
                <w:sz w:val="26"/>
                <w:szCs w:val="26"/>
                <w:lang w:val="ro-RO"/>
              </w:rPr>
              <w:t>Pretul produsului în vamă (conform invoice)</w:t>
            </w:r>
          </w:p>
        </w:tc>
        <w:tc>
          <w:tcPr>
            <w:tcW w:w="3537" w:type="dxa"/>
            <w:gridSpan w:val="3"/>
          </w:tcPr>
          <w:p w:rsidR="000140CA" w:rsidRPr="00843D8C" w:rsidRDefault="000140CA" w:rsidP="00E4297E">
            <w:pPr>
              <w:pStyle w:val="a3"/>
              <w:tabs>
                <w:tab w:val="left" w:pos="851"/>
              </w:tabs>
              <w:ind w:right="-81" w:firstLine="0"/>
              <w:jc w:val="center"/>
              <w:rPr>
                <w:b/>
                <w:color w:val="000000"/>
                <w:sz w:val="26"/>
                <w:szCs w:val="26"/>
                <w:lang w:val="ro-RO"/>
              </w:rPr>
            </w:pPr>
            <w:r w:rsidRPr="00843D8C">
              <w:rPr>
                <w:b/>
                <w:color w:val="000000"/>
                <w:sz w:val="26"/>
                <w:szCs w:val="26"/>
                <w:lang w:val="ro-RO"/>
              </w:rPr>
              <w:t>Costul serviciilor Organismului de certificare</w:t>
            </w:r>
          </w:p>
        </w:tc>
        <w:tc>
          <w:tcPr>
            <w:tcW w:w="1418" w:type="dxa"/>
          </w:tcPr>
          <w:p w:rsidR="000140CA" w:rsidRPr="00843D8C" w:rsidRDefault="000140CA" w:rsidP="00E4297E">
            <w:pPr>
              <w:pStyle w:val="a3"/>
              <w:tabs>
                <w:tab w:val="left" w:pos="851"/>
              </w:tabs>
              <w:ind w:right="-81" w:firstLine="0"/>
              <w:jc w:val="left"/>
              <w:rPr>
                <w:b/>
                <w:color w:val="000000"/>
                <w:sz w:val="26"/>
                <w:szCs w:val="26"/>
                <w:lang w:val="ro-RO"/>
              </w:rPr>
            </w:pPr>
            <w:r w:rsidRPr="00843D8C">
              <w:rPr>
                <w:b/>
                <w:color w:val="000000"/>
                <w:sz w:val="26"/>
                <w:szCs w:val="26"/>
                <w:lang w:val="ro-RO"/>
              </w:rPr>
              <w:t>Costul serviciilor laboratorului de încercări (la securitate)</w:t>
            </w:r>
          </w:p>
        </w:tc>
        <w:tc>
          <w:tcPr>
            <w:tcW w:w="1701" w:type="dxa"/>
          </w:tcPr>
          <w:p w:rsidR="000140CA" w:rsidRPr="00843D8C" w:rsidRDefault="000140CA" w:rsidP="00E4297E">
            <w:pPr>
              <w:pStyle w:val="a3"/>
              <w:tabs>
                <w:tab w:val="left" w:pos="851"/>
              </w:tabs>
              <w:ind w:right="-81" w:firstLine="0"/>
              <w:jc w:val="left"/>
              <w:rPr>
                <w:b/>
                <w:color w:val="000000"/>
                <w:sz w:val="26"/>
                <w:szCs w:val="26"/>
                <w:lang w:val="ro-RO"/>
              </w:rPr>
            </w:pPr>
            <w:r w:rsidRPr="00843D8C">
              <w:rPr>
                <w:b/>
                <w:color w:val="000000"/>
                <w:sz w:val="26"/>
                <w:szCs w:val="26"/>
                <w:lang w:val="ro-RO"/>
              </w:rPr>
              <w:t>Costul serviciilor laboratorului de încercări (la compatibilitate)</w:t>
            </w:r>
          </w:p>
        </w:tc>
      </w:tr>
      <w:tr w:rsidR="000140CA" w:rsidRPr="00843D8C" w:rsidTr="00E4297E">
        <w:tc>
          <w:tcPr>
            <w:tcW w:w="468" w:type="dxa"/>
          </w:tcPr>
          <w:p w:rsidR="000140CA" w:rsidRPr="00843D8C" w:rsidRDefault="000140CA" w:rsidP="00E4297E">
            <w:pPr>
              <w:pStyle w:val="a3"/>
              <w:tabs>
                <w:tab w:val="left" w:pos="851"/>
              </w:tabs>
              <w:ind w:right="-81" w:firstLine="0"/>
              <w:rPr>
                <w:color w:val="000000"/>
                <w:sz w:val="26"/>
                <w:szCs w:val="26"/>
                <w:lang w:val="ro-RO"/>
              </w:rPr>
            </w:pPr>
          </w:p>
        </w:tc>
        <w:tc>
          <w:tcPr>
            <w:tcW w:w="1260" w:type="dxa"/>
          </w:tcPr>
          <w:p w:rsidR="000140CA" w:rsidRPr="00843D8C" w:rsidRDefault="000140CA" w:rsidP="00E4297E">
            <w:pPr>
              <w:pStyle w:val="a3"/>
              <w:tabs>
                <w:tab w:val="left" w:pos="851"/>
              </w:tabs>
              <w:ind w:right="-81" w:firstLine="0"/>
              <w:rPr>
                <w:color w:val="000000"/>
                <w:sz w:val="26"/>
                <w:szCs w:val="26"/>
                <w:lang w:val="ro-RO"/>
              </w:rPr>
            </w:pPr>
          </w:p>
        </w:tc>
        <w:tc>
          <w:tcPr>
            <w:tcW w:w="1080" w:type="dxa"/>
          </w:tcPr>
          <w:p w:rsidR="000140CA" w:rsidRPr="00843D8C" w:rsidRDefault="000140CA" w:rsidP="00E4297E">
            <w:pPr>
              <w:pStyle w:val="a3"/>
              <w:tabs>
                <w:tab w:val="left" w:pos="851"/>
              </w:tabs>
              <w:ind w:right="-81" w:firstLine="0"/>
              <w:rPr>
                <w:color w:val="000000"/>
                <w:sz w:val="26"/>
                <w:szCs w:val="26"/>
                <w:lang w:val="ro-RO"/>
              </w:rPr>
            </w:pPr>
          </w:p>
        </w:tc>
        <w:tc>
          <w:tcPr>
            <w:tcW w:w="1063"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lot</w:t>
            </w:r>
          </w:p>
        </w:tc>
        <w:tc>
          <w:tcPr>
            <w:tcW w:w="1092"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serie</w:t>
            </w:r>
          </w:p>
        </w:tc>
        <w:tc>
          <w:tcPr>
            <w:tcW w:w="1382"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contract</w:t>
            </w:r>
          </w:p>
        </w:tc>
        <w:tc>
          <w:tcPr>
            <w:tcW w:w="1418" w:type="dxa"/>
          </w:tcPr>
          <w:p w:rsidR="000140CA" w:rsidRPr="00843D8C" w:rsidRDefault="000140CA" w:rsidP="00E4297E">
            <w:pPr>
              <w:pStyle w:val="a3"/>
              <w:tabs>
                <w:tab w:val="left" w:pos="851"/>
              </w:tabs>
              <w:ind w:right="-81" w:firstLine="0"/>
              <w:rPr>
                <w:color w:val="000000"/>
                <w:sz w:val="26"/>
                <w:szCs w:val="26"/>
                <w:lang w:val="ro-RO"/>
              </w:rPr>
            </w:pPr>
          </w:p>
        </w:tc>
        <w:tc>
          <w:tcPr>
            <w:tcW w:w="1701" w:type="dxa"/>
          </w:tcPr>
          <w:p w:rsidR="000140CA" w:rsidRPr="00843D8C" w:rsidRDefault="000140CA" w:rsidP="00E4297E">
            <w:pPr>
              <w:pStyle w:val="a3"/>
              <w:tabs>
                <w:tab w:val="left" w:pos="851"/>
              </w:tabs>
              <w:ind w:right="-81" w:firstLine="0"/>
              <w:rPr>
                <w:color w:val="000000"/>
                <w:sz w:val="26"/>
                <w:szCs w:val="26"/>
                <w:lang w:val="ro-RO"/>
              </w:rPr>
            </w:pPr>
          </w:p>
        </w:tc>
      </w:tr>
      <w:tr w:rsidR="000140CA" w:rsidRPr="00843D8C" w:rsidTr="00E4297E">
        <w:tc>
          <w:tcPr>
            <w:tcW w:w="468"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1.</w:t>
            </w:r>
          </w:p>
        </w:tc>
        <w:tc>
          <w:tcPr>
            <w:tcW w:w="1260"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Fen</w:t>
            </w:r>
          </w:p>
        </w:tc>
        <w:tc>
          <w:tcPr>
            <w:tcW w:w="1080"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10 $</w:t>
            </w:r>
          </w:p>
        </w:tc>
        <w:tc>
          <w:tcPr>
            <w:tcW w:w="1063" w:type="dxa"/>
            <w:vMerge w:val="restart"/>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900– 2161 lei</w:t>
            </w:r>
          </w:p>
          <w:p w:rsidR="000140CA" w:rsidRPr="00843D8C" w:rsidRDefault="000140CA" w:rsidP="00E4297E">
            <w:pPr>
              <w:pStyle w:val="a3"/>
              <w:tabs>
                <w:tab w:val="left" w:pos="851"/>
              </w:tabs>
              <w:ind w:right="-81"/>
              <w:rPr>
                <w:color w:val="000000"/>
                <w:sz w:val="26"/>
                <w:szCs w:val="26"/>
                <w:lang w:val="ro-RO"/>
              </w:rPr>
            </w:pPr>
          </w:p>
        </w:tc>
        <w:tc>
          <w:tcPr>
            <w:tcW w:w="1092" w:type="dxa"/>
            <w:vMerge w:val="restart"/>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788,9– 2850 lei</w:t>
            </w:r>
          </w:p>
        </w:tc>
        <w:tc>
          <w:tcPr>
            <w:tcW w:w="1382" w:type="dxa"/>
            <w:vMerge w:val="restart"/>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900-950lei</w:t>
            </w:r>
          </w:p>
        </w:tc>
        <w:tc>
          <w:tcPr>
            <w:tcW w:w="1418" w:type="dxa"/>
            <w:vMerge w:val="restart"/>
          </w:tcPr>
          <w:p w:rsidR="000140CA" w:rsidRPr="00843D8C" w:rsidRDefault="000140CA" w:rsidP="00E4297E">
            <w:pPr>
              <w:pStyle w:val="a3"/>
              <w:tabs>
                <w:tab w:val="left" w:pos="851"/>
              </w:tabs>
              <w:ind w:left="-261" w:right="-81" w:firstLine="261"/>
              <w:rPr>
                <w:color w:val="000000"/>
                <w:sz w:val="26"/>
                <w:szCs w:val="26"/>
                <w:lang w:val="ro-RO"/>
              </w:rPr>
            </w:pPr>
            <w:r w:rsidRPr="00843D8C">
              <w:rPr>
                <w:color w:val="000000"/>
                <w:sz w:val="26"/>
                <w:szCs w:val="26"/>
                <w:lang w:val="ro-RO"/>
              </w:rPr>
              <w:t>486,7lei</w:t>
            </w:r>
          </w:p>
        </w:tc>
        <w:tc>
          <w:tcPr>
            <w:tcW w:w="1701" w:type="dxa"/>
            <w:vMerge w:val="restart"/>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2000lei</w:t>
            </w:r>
          </w:p>
        </w:tc>
      </w:tr>
      <w:tr w:rsidR="000140CA" w:rsidRPr="00843D8C" w:rsidTr="00E4297E">
        <w:tc>
          <w:tcPr>
            <w:tcW w:w="468"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2.</w:t>
            </w:r>
          </w:p>
        </w:tc>
        <w:tc>
          <w:tcPr>
            <w:tcW w:w="1260"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Fier de călcat</w:t>
            </w:r>
          </w:p>
        </w:tc>
        <w:tc>
          <w:tcPr>
            <w:tcW w:w="1080"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12 $</w:t>
            </w:r>
          </w:p>
        </w:tc>
        <w:tc>
          <w:tcPr>
            <w:tcW w:w="1063" w:type="dxa"/>
            <w:vMerge/>
          </w:tcPr>
          <w:p w:rsidR="000140CA" w:rsidRPr="00843D8C" w:rsidRDefault="000140CA" w:rsidP="00E4297E">
            <w:pPr>
              <w:pStyle w:val="a3"/>
              <w:tabs>
                <w:tab w:val="left" w:pos="851"/>
              </w:tabs>
              <w:ind w:right="-81"/>
              <w:rPr>
                <w:color w:val="000000"/>
                <w:sz w:val="26"/>
                <w:szCs w:val="26"/>
                <w:lang w:val="ro-RO"/>
              </w:rPr>
            </w:pPr>
          </w:p>
        </w:tc>
        <w:tc>
          <w:tcPr>
            <w:tcW w:w="1092" w:type="dxa"/>
            <w:vMerge/>
          </w:tcPr>
          <w:p w:rsidR="000140CA" w:rsidRPr="00843D8C" w:rsidRDefault="000140CA" w:rsidP="00E4297E">
            <w:pPr>
              <w:pStyle w:val="a3"/>
              <w:tabs>
                <w:tab w:val="left" w:pos="851"/>
              </w:tabs>
              <w:ind w:right="-81" w:firstLine="0"/>
              <w:rPr>
                <w:color w:val="000000"/>
                <w:sz w:val="26"/>
                <w:szCs w:val="26"/>
                <w:lang w:val="ro-RO"/>
              </w:rPr>
            </w:pPr>
          </w:p>
        </w:tc>
        <w:tc>
          <w:tcPr>
            <w:tcW w:w="1382" w:type="dxa"/>
            <w:vMerge/>
          </w:tcPr>
          <w:p w:rsidR="000140CA" w:rsidRPr="00843D8C" w:rsidRDefault="000140CA" w:rsidP="00E4297E">
            <w:pPr>
              <w:pStyle w:val="a3"/>
              <w:tabs>
                <w:tab w:val="left" w:pos="851"/>
              </w:tabs>
              <w:ind w:right="-81" w:firstLine="0"/>
              <w:rPr>
                <w:color w:val="000000"/>
                <w:sz w:val="26"/>
                <w:szCs w:val="26"/>
                <w:lang w:val="ro-RO"/>
              </w:rPr>
            </w:pPr>
          </w:p>
        </w:tc>
        <w:tc>
          <w:tcPr>
            <w:tcW w:w="1418" w:type="dxa"/>
            <w:vMerge/>
          </w:tcPr>
          <w:p w:rsidR="000140CA" w:rsidRPr="00843D8C" w:rsidRDefault="000140CA" w:rsidP="00E4297E">
            <w:pPr>
              <w:pStyle w:val="a3"/>
              <w:tabs>
                <w:tab w:val="left" w:pos="851"/>
              </w:tabs>
              <w:ind w:right="-81" w:firstLine="0"/>
              <w:rPr>
                <w:color w:val="000000"/>
                <w:sz w:val="26"/>
                <w:szCs w:val="26"/>
                <w:lang w:val="ro-RO"/>
              </w:rPr>
            </w:pPr>
          </w:p>
        </w:tc>
        <w:tc>
          <w:tcPr>
            <w:tcW w:w="1701" w:type="dxa"/>
            <w:vMerge/>
          </w:tcPr>
          <w:p w:rsidR="000140CA" w:rsidRPr="00843D8C" w:rsidRDefault="000140CA" w:rsidP="00E4297E">
            <w:pPr>
              <w:pStyle w:val="a3"/>
              <w:tabs>
                <w:tab w:val="left" w:pos="851"/>
              </w:tabs>
              <w:ind w:right="-81" w:firstLine="0"/>
              <w:rPr>
                <w:color w:val="000000"/>
                <w:sz w:val="26"/>
                <w:szCs w:val="26"/>
                <w:lang w:val="ro-RO"/>
              </w:rPr>
            </w:pPr>
          </w:p>
        </w:tc>
      </w:tr>
      <w:tr w:rsidR="000140CA" w:rsidRPr="00843D8C" w:rsidTr="00E4297E">
        <w:tc>
          <w:tcPr>
            <w:tcW w:w="468"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3.</w:t>
            </w:r>
          </w:p>
        </w:tc>
        <w:tc>
          <w:tcPr>
            <w:tcW w:w="1260"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Calculator</w:t>
            </w:r>
          </w:p>
        </w:tc>
        <w:tc>
          <w:tcPr>
            <w:tcW w:w="1080" w:type="dxa"/>
          </w:tcPr>
          <w:p w:rsidR="000140CA" w:rsidRPr="00843D8C" w:rsidRDefault="000140CA" w:rsidP="00E4297E">
            <w:pPr>
              <w:pStyle w:val="a3"/>
              <w:tabs>
                <w:tab w:val="left" w:pos="851"/>
              </w:tabs>
              <w:ind w:right="-81" w:firstLine="0"/>
              <w:rPr>
                <w:color w:val="000000"/>
                <w:sz w:val="26"/>
                <w:szCs w:val="26"/>
                <w:lang w:val="ro-RO"/>
              </w:rPr>
            </w:pPr>
          </w:p>
        </w:tc>
        <w:tc>
          <w:tcPr>
            <w:tcW w:w="1063" w:type="dxa"/>
            <w:vMerge/>
          </w:tcPr>
          <w:p w:rsidR="000140CA" w:rsidRPr="00843D8C" w:rsidRDefault="000140CA" w:rsidP="00E4297E">
            <w:pPr>
              <w:pStyle w:val="a3"/>
              <w:tabs>
                <w:tab w:val="left" w:pos="851"/>
              </w:tabs>
              <w:ind w:right="-81" w:firstLine="0"/>
              <w:rPr>
                <w:color w:val="000000"/>
                <w:sz w:val="26"/>
                <w:szCs w:val="26"/>
                <w:lang w:val="ro-RO"/>
              </w:rPr>
            </w:pPr>
          </w:p>
        </w:tc>
        <w:tc>
          <w:tcPr>
            <w:tcW w:w="1092" w:type="dxa"/>
            <w:vMerge/>
          </w:tcPr>
          <w:p w:rsidR="000140CA" w:rsidRPr="00843D8C" w:rsidRDefault="000140CA" w:rsidP="00E4297E">
            <w:pPr>
              <w:pStyle w:val="a3"/>
              <w:tabs>
                <w:tab w:val="left" w:pos="851"/>
              </w:tabs>
              <w:ind w:right="-81" w:firstLine="0"/>
              <w:rPr>
                <w:color w:val="000000"/>
                <w:sz w:val="26"/>
                <w:szCs w:val="26"/>
                <w:lang w:val="ro-RO"/>
              </w:rPr>
            </w:pPr>
          </w:p>
        </w:tc>
        <w:tc>
          <w:tcPr>
            <w:tcW w:w="1382" w:type="dxa"/>
            <w:vMerge/>
          </w:tcPr>
          <w:p w:rsidR="000140CA" w:rsidRPr="00843D8C" w:rsidRDefault="000140CA" w:rsidP="00E4297E">
            <w:pPr>
              <w:pStyle w:val="a3"/>
              <w:tabs>
                <w:tab w:val="left" w:pos="851"/>
              </w:tabs>
              <w:ind w:right="-81" w:firstLine="0"/>
              <w:rPr>
                <w:color w:val="000000"/>
                <w:sz w:val="26"/>
                <w:szCs w:val="26"/>
                <w:lang w:val="ro-RO"/>
              </w:rPr>
            </w:pPr>
          </w:p>
        </w:tc>
        <w:tc>
          <w:tcPr>
            <w:tcW w:w="1418"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493,2-640lei</w:t>
            </w:r>
          </w:p>
        </w:tc>
        <w:tc>
          <w:tcPr>
            <w:tcW w:w="1701" w:type="dxa"/>
          </w:tcPr>
          <w:p w:rsidR="000140CA" w:rsidRPr="00843D8C" w:rsidRDefault="000140CA" w:rsidP="00E4297E">
            <w:pPr>
              <w:pStyle w:val="a3"/>
              <w:tabs>
                <w:tab w:val="left" w:pos="851"/>
              </w:tabs>
              <w:ind w:right="-81" w:firstLine="0"/>
              <w:rPr>
                <w:color w:val="000000"/>
                <w:sz w:val="26"/>
                <w:szCs w:val="26"/>
                <w:lang w:val="ro-RO"/>
              </w:rPr>
            </w:pPr>
            <w:r w:rsidRPr="00843D8C">
              <w:rPr>
                <w:color w:val="000000"/>
                <w:sz w:val="26"/>
                <w:szCs w:val="26"/>
                <w:lang w:val="ro-RO"/>
              </w:rPr>
              <w:t>2048lei</w:t>
            </w:r>
          </w:p>
        </w:tc>
      </w:tr>
    </w:tbl>
    <w:p w:rsidR="000140CA" w:rsidRPr="00843D8C" w:rsidRDefault="000140CA" w:rsidP="00A268D1">
      <w:pPr>
        <w:pStyle w:val="a3"/>
        <w:tabs>
          <w:tab w:val="left" w:pos="851"/>
        </w:tabs>
        <w:ind w:firstLine="0"/>
        <w:rPr>
          <w:color w:val="000000"/>
          <w:sz w:val="26"/>
          <w:szCs w:val="26"/>
          <w:lang w:val="ro-RO"/>
        </w:rPr>
      </w:pPr>
    </w:p>
    <w:p w:rsidR="000140CA" w:rsidRPr="00843D8C" w:rsidRDefault="000140CA" w:rsidP="002C6F4A">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Deoarece prețurile suportate pentru efectuarea evaluării conformității unui singur produs de către importator și producător sunt aceleași, vom enunța numai prețul maxim al produsului importat pe contract - 3638 lei). Astfel, sumele menţionate sunt incluse în costul produselor.</w:t>
      </w:r>
    </w:p>
    <w:p w:rsidR="000140CA" w:rsidRPr="00843D8C" w:rsidRDefault="000140CA" w:rsidP="002C6F4A">
      <w:pPr>
        <w:pStyle w:val="a3"/>
        <w:tabs>
          <w:tab w:val="left" w:pos="851"/>
        </w:tabs>
        <w:ind w:firstLine="0"/>
        <w:rPr>
          <w:color w:val="000000"/>
          <w:sz w:val="26"/>
          <w:szCs w:val="26"/>
          <w:lang w:val="ro-RO"/>
        </w:rPr>
      </w:pPr>
      <w:r w:rsidRPr="00843D8C">
        <w:rPr>
          <w:color w:val="000000"/>
          <w:sz w:val="26"/>
          <w:szCs w:val="26"/>
          <w:lang w:val="ro-RO"/>
        </w:rPr>
        <w:tab/>
        <w:t>Comparînd prețurile pe care le suportă un importator și un producător se reliefează decalajul costurilor suportate de părți – aceasta se datorează faptului că mai este de lucrat la capitolul implementarea standardelor, competitivității produselor, instruirea producătorilor și importatorilor privind cerințele esențiale pentru echipamentele electrice stabilite în UE,.</w:t>
      </w:r>
    </w:p>
    <w:p w:rsidR="000140CA" w:rsidRPr="00843D8C" w:rsidRDefault="000140CA" w:rsidP="00A268D1">
      <w:pPr>
        <w:pStyle w:val="a3"/>
        <w:tabs>
          <w:tab w:val="left" w:pos="851"/>
        </w:tabs>
        <w:ind w:right="-81" w:firstLine="0"/>
        <w:rPr>
          <w:color w:val="000000"/>
          <w:sz w:val="26"/>
          <w:szCs w:val="26"/>
          <w:lang w:val="ro-RO"/>
        </w:rPr>
      </w:pPr>
      <w:r w:rsidRPr="00843D8C">
        <w:rPr>
          <w:color w:val="000000"/>
          <w:sz w:val="26"/>
          <w:szCs w:val="26"/>
          <w:lang w:val="ro-RO"/>
        </w:rPr>
        <w:tab/>
        <w:t>Întru familiarizarea importatorilor, producătorilor, organismelor de evaluare a conformității, organismului de acreditare, Institutului Național de Standardizare cu noile prevederi ale proiectului enunțat, precum și stabilirea conceptului unic privind implementarea cerințelor acestuia, pe data de 21.05.2015 în incinta Ministerului Economiei a fost organizată o ședință la care au participat toate părțile interesate.</w:t>
      </w:r>
    </w:p>
    <w:p w:rsidR="000140CA" w:rsidRPr="00843D8C" w:rsidRDefault="000140CA" w:rsidP="002C6F4A">
      <w:pPr>
        <w:spacing w:after="0"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A fost subliniat faptul că urmare aprobării proiectului respectiv, va fi impusă cerința generală pentru introducerea echipamentelor electrice pe piață - producători trebuie să aleagă calea de demonstrare a conformității, aplicând modulul A sau modulul B și C și numai după aceea să elaboreze declarația de conformitate în baza documentației tehnice pentru a oferi informațiile necesare cu referire la compatibilitatea electromagnetică a echipamentelor plasate pe piaţă. </w:t>
      </w:r>
    </w:p>
    <w:p w:rsidR="000140CA" w:rsidRPr="00843D8C" w:rsidRDefault="000140CA" w:rsidP="002C6F4A">
      <w:pPr>
        <w:pStyle w:val="a3"/>
        <w:tabs>
          <w:tab w:val="left" w:pos="851"/>
        </w:tabs>
        <w:ind w:firstLine="720"/>
        <w:rPr>
          <w:color w:val="000000"/>
          <w:sz w:val="26"/>
          <w:szCs w:val="26"/>
          <w:lang w:val="ro-RO"/>
        </w:rPr>
      </w:pPr>
      <w:r w:rsidRPr="00843D8C">
        <w:rPr>
          <w:color w:val="000000"/>
          <w:sz w:val="26"/>
          <w:szCs w:val="26"/>
          <w:lang w:val="ro-RO"/>
        </w:rPr>
        <w:t>Urmare aprobării proiectului în cauză, echipamentele electrice vor fi scutite de multiple verificări ale conformității, fiind impusă cerința generală pentru producător, care trebuie să elaboreze și să transmită agenților economici implicați în lanțul de distribuție documentația care însoțește echipamentul pentru a oferi informațiile necesare cu privire la conformitatea echipamentelor electrice plasate pe piață.</w:t>
      </w:r>
    </w:p>
    <w:p w:rsidR="000140CA" w:rsidRPr="00843D8C" w:rsidRDefault="000140CA" w:rsidP="007115F9">
      <w:pPr>
        <w:spacing w:after="0" w:line="240" w:lineRule="auto"/>
        <w:ind w:firstLine="709"/>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Echipamentele electrice autohtone, cît și cele importate vor putea fi plasate pe piață în baza documentației producătorului și marcajului corespunzător - metoda cea mai corectă și puțin costisitoare pentru agenții economici implicați în lanțul de punere la dispoziție pe piață a echipamentelor electrice. </w:t>
      </w:r>
    </w:p>
    <w:p w:rsidR="000140CA" w:rsidRPr="00843D8C" w:rsidRDefault="000140CA" w:rsidP="007115F9">
      <w:pPr>
        <w:spacing w:after="0" w:line="240" w:lineRule="auto"/>
        <w:ind w:firstLine="709"/>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Responsabilitatea producătorilor și a tuturor agenților economici implicați în punerea la dispoziție pe piață a produselor pe de o parte, precum și stabilirea unor reguli clare și atribuții a fiecărui actor din acest lanț pe de altă parte, va spori competitivitatea echipamentelor, determinînd raportul calitate și preț. </w:t>
      </w:r>
    </w:p>
    <w:p w:rsidR="000140CA" w:rsidRPr="00843D8C" w:rsidRDefault="000140CA" w:rsidP="007115F9">
      <w:pPr>
        <w:spacing w:after="0" w:line="240" w:lineRule="auto"/>
        <w:ind w:firstLine="709"/>
        <w:jc w:val="both"/>
        <w:rPr>
          <w:rFonts w:ascii="Times New Roman" w:hAnsi="Times New Roman"/>
          <w:color w:val="000000"/>
          <w:sz w:val="26"/>
          <w:szCs w:val="26"/>
          <w:lang w:val="ro-RO"/>
        </w:rPr>
      </w:pPr>
      <w:r w:rsidRPr="00843D8C">
        <w:rPr>
          <w:rFonts w:ascii="Times New Roman" w:hAnsi="Times New Roman"/>
          <w:color w:val="000000"/>
          <w:sz w:val="26"/>
          <w:szCs w:val="26"/>
          <w:lang w:val="ro-RO"/>
        </w:rPr>
        <w:lastRenderedPageBreak/>
        <w:t>Mai mult ca atît, echipamentele electrice  marcate corespunzător vor avea prioritate în ceea ce priveşte accesul acestora pe pieţele externe</w:t>
      </w:r>
      <w:r w:rsidRPr="00843D8C">
        <w:rPr>
          <w:rFonts w:ascii="Times New Roman" w:hAnsi="Times New Roman"/>
          <w:i/>
          <w:color w:val="000000"/>
          <w:sz w:val="26"/>
          <w:szCs w:val="26"/>
          <w:lang w:val="ro-RO"/>
        </w:rPr>
        <w:t xml:space="preserve">, </w:t>
      </w:r>
      <w:r w:rsidRPr="00843D8C">
        <w:rPr>
          <w:rFonts w:ascii="Times New Roman" w:hAnsi="Times New Roman"/>
          <w:color w:val="000000"/>
          <w:sz w:val="26"/>
          <w:szCs w:val="26"/>
          <w:lang w:val="ro-RO"/>
        </w:rPr>
        <w:t>ceea ce va avea un impact pozitiv asupra economiei naţionale.</w:t>
      </w:r>
    </w:p>
    <w:p w:rsidR="000140CA" w:rsidRPr="00843D8C" w:rsidRDefault="000140CA" w:rsidP="00E63A47">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În același timp, echipamentele marcate corespunzător vor avea prioritate în ceea ce priveşte accesul acestora pe pieţele externe, ceea ce va avea un impact pozitiv asupra producătorilor autohtoni de echipamente.</w:t>
      </w:r>
    </w:p>
    <w:p w:rsidR="000140CA" w:rsidRPr="00843D8C" w:rsidRDefault="000140CA" w:rsidP="00E63A47">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E63A47">
      <w:pPr>
        <w:spacing w:line="240" w:lineRule="auto"/>
        <w:ind w:firstLine="709"/>
        <w:contextualSpacing/>
        <w:jc w:val="both"/>
        <w:rPr>
          <w:rFonts w:ascii="Times New Roman" w:hAnsi="Times New Roman"/>
          <w:b/>
          <w:i/>
          <w:color w:val="000000"/>
          <w:sz w:val="26"/>
          <w:szCs w:val="26"/>
          <w:lang w:val="ro-RO"/>
        </w:rPr>
      </w:pPr>
      <w:r w:rsidRPr="00843D8C">
        <w:rPr>
          <w:rFonts w:ascii="Times New Roman" w:hAnsi="Times New Roman"/>
          <w:b/>
          <w:i/>
          <w:color w:val="000000"/>
          <w:sz w:val="26"/>
          <w:szCs w:val="26"/>
          <w:lang w:val="ro-RO"/>
        </w:rPr>
        <w:t>Impacturile potențiale asupra sectorului public</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Urmare analizei efectuate s-a constat că bugetul de stat nu va suporta costuri suplimentare legate de instruirea personalului Agenției pentru Protecţia Consumatorilor – organ responsabil pentru supravegherea echipamentelor electrice, deoarece angajațiiAgenției au fost deja instruiți în cadrul Proiectului Twinning „</w:t>
      </w:r>
      <w:r w:rsidRPr="00843D8C">
        <w:rPr>
          <w:rFonts w:ascii="Times New Roman" w:hAnsi="Times New Roman"/>
          <w:i/>
          <w:color w:val="000000"/>
          <w:sz w:val="26"/>
          <w:szCs w:val="26"/>
          <w:lang w:val="ro-RO"/>
        </w:rPr>
        <w:t>Suport pentru Agenţia pentru Protecţia Consumatorilor</w:t>
      </w:r>
      <w:r w:rsidRPr="00843D8C">
        <w:rPr>
          <w:rFonts w:ascii="Times New Roman" w:hAnsi="Times New Roman"/>
          <w:color w:val="000000"/>
          <w:sz w:val="26"/>
          <w:szCs w:val="26"/>
          <w:lang w:val="ro-RO"/>
        </w:rPr>
        <w:t>”.</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Cu toate acestea, putem menționa că o să fie necesare mijloace financiare pentru dotarea laboratoarelor din cadrul Centrului Naţional pentru Frecvente Radiosau altor laboratoare de încercări.</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DC320D">
      <w:pPr>
        <w:spacing w:line="240" w:lineRule="auto"/>
        <w:ind w:firstLine="709"/>
        <w:contextualSpacing/>
        <w:jc w:val="both"/>
        <w:rPr>
          <w:rFonts w:ascii="Times New Roman" w:hAnsi="Times New Roman"/>
          <w:b/>
          <w:i/>
          <w:color w:val="000000"/>
          <w:sz w:val="26"/>
          <w:szCs w:val="26"/>
          <w:lang w:val="ro-RO"/>
        </w:rPr>
      </w:pPr>
      <w:r w:rsidRPr="00843D8C">
        <w:rPr>
          <w:rFonts w:ascii="Times New Roman" w:hAnsi="Times New Roman"/>
          <w:b/>
          <w:i/>
          <w:color w:val="000000"/>
          <w:sz w:val="26"/>
          <w:szCs w:val="26"/>
          <w:lang w:val="ro-RO"/>
        </w:rPr>
        <w:t>Nesiguranţele majore referitor la potenţialele impacturi ale intervenţiei statului.</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Din bugetul de stat va fi necesară alocarea costurilor aferente publicării Hotărîrii Guvernului cu privire la aprobarea Reglementării tehnice „Compatibilitatea electromagnetică”.</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Se recomandă ca proiectul actului propus să între în vigoare peste 24 luni de la data publicării acestuia.</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DC320D">
      <w:pPr>
        <w:spacing w:line="240" w:lineRule="auto"/>
        <w:ind w:firstLine="709"/>
        <w:contextualSpacing/>
        <w:jc w:val="both"/>
        <w:rPr>
          <w:rFonts w:ascii="Times New Roman" w:hAnsi="Times New Roman"/>
          <w:b/>
          <w:color w:val="000000"/>
          <w:sz w:val="26"/>
          <w:szCs w:val="26"/>
          <w:lang w:val="ro-RO"/>
        </w:rPr>
      </w:pPr>
      <w:r w:rsidRPr="00843D8C">
        <w:rPr>
          <w:rFonts w:ascii="Times New Roman" w:hAnsi="Times New Roman"/>
          <w:b/>
          <w:color w:val="000000"/>
          <w:sz w:val="26"/>
          <w:szCs w:val="26"/>
          <w:lang w:val="ro-RO"/>
        </w:rPr>
        <w:t>EVALUAREA ABORDĂRILOR ALTERNATIVE.</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În procesul analizei şi elaborării AIR-ului s-au stabilit 3 abordări alternative de soluţionare a problemei identificate:</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„a nu face nimic”;</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„a modifica”Hotărîrea Guvernului nr. 95 din 04.02.2008 cu privire la aprobarea Reglementarea tehnică „Compatibilitatea electromagnetică a echipamentelor”;</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„a elabora şi adopta” proiectul noii Reglementari tehnice „Compatibilitatea electromagnetică a echipamentelor”.</w:t>
      </w:r>
    </w:p>
    <w:p w:rsidR="000140CA" w:rsidRPr="00843D8C" w:rsidRDefault="000140CA" w:rsidP="00AC5D8A">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Analiza comparativă a alternativelor este prezentată în tabelul 1.</w:t>
      </w:r>
    </w:p>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DC320D">
      <w:pPr>
        <w:spacing w:line="240" w:lineRule="auto"/>
        <w:ind w:firstLine="709"/>
        <w:contextualSpacing/>
        <w:jc w:val="both"/>
        <w:rPr>
          <w:rFonts w:ascii="Times New Roman" w:hAnsi="Times New Roman"/>
          <w:b/>
          <w:color w:val="000000"/>
          <w:sz w:val="26"/>
          <w:szCs w:val="26"/>
          <w:lang w:val="ro-RO"/>
        </w:rPr>
      </w:pPr>
      <w:r w:rsidRPr="00843D8C">
        <w:rPr>
          <w:rFonts w:ascii="Times New Roman" w:hAnsi="Times New Roman"/>
          <w:b/>
          <w:color w:val="000000"/>
          <w:sz w:val="26"/>
          <w:szCs w:val="26"/>
          <w:lang w:val="ro-RO"/>
        </w:rPr>
        <w:t>Tabelul 1. Analiza comparativă a alternativelor.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7"/>
        <w:gridCol w:w="3388"/>
        <w:gridCol w:w="4076"/>
      </w:tblGrid>
      <w:tr w:rsidR="000140CA" w:rsidRPr="00843D8C" w:rsidTr="00996C93">
        <w:tc>
          <w:tcPr>
            <w:tcW w:w="2107" w:type="dxa"/>
          </w:tcPr>
          <w:p w:rsidR="000140CA" w:rsidRPr="00843D8C" w:rsidRDefault="000140CA" w:rsidP="00996C93">
            <w:pPr>
              <w:spacing w:after="0" w:line="240" w:lineRule="auto"/>
              <w:contextualSpacing/>
              <w:jc w:val="center"/>
              <w:rPr>
                <w:rFonts w:ascii="Times New Roman" w:hAnsi="Times New Roman"/>
                <w:color w:val="000000"/>
                <w:sz w:val="26"/>
                <w:szCs w:val="26"/>
                <w:lang w:val="ro-RO"/>
              </w:rPr>
            </w:pPr>
            <w:r w:rsidRPr="00843D8C">
              <w:rPr>
                <w:rFonts w:ascii="Times New Roman" w:hAnsi="Times New Roman"/>
                <w:color w:val="000000"/>
                <w:sz w:val="26"/>
                <w:szCs w:val="26"/>
                <w:lang w:val="ro-RO"/>
              </w:rPr>
              <w:t>Alternativa</w:t>
            </w:r>
          </w:p>
        </w:tc>
        <w:tc>
          <w:tcPr>
            <w:tcW w:w="3388" w:type="dxa"/>
          </w:tcPr>
          <w:p w:rsidR="000140CA" w:rsidRPr="00843D8C" w:rsidRDefault="000140CA" w:rsidP="00996C93">
            <w:pPr>
              <w:spacing w:after="0" w:line="240" w:lineRule="auto"/>
              <w:contextualSpacing/>
              <w:jc w:val="center"/>
              <w:rPr>
                <w:rFonts w:ascii="Times New Roman" w:hAnsi="Times New Roman"/>
                <w:color w:val="000000"/>
                <w:sz w:val="26"/>
                <w:szCs w:val="26"/>
                <w:lang w:val="ro-RO"/>
              </w:rPr>
            </w:pPr>
            <w:r w:rsidRPr="00843D8C">
              <w:rPr>
                <w:rFonts w:ascii="Times New Roman" w:hAnsi="Times New Roman"/>
                <w:color w:val="000000"/>
                <w:sz w:val="26"/>
                <w:szCs w:val="26"/>
                <w:lang w:val="ro-RO"/>
              </w:rPr>
              <w:t>Posibile avantaje</w:t>
            </w:r>
          </w:p>
        </w:tc>
        <w:tc>
          <w:tcPr>
            <w:tcW w:w="4076" w:type="dxa"/>
          </w:tcPr>
          <w:p w:rsidR="000140CA" w:rsidRPr="00843D8C" w:rsidRDefault="000140CA" w:rsidP="00996C93">
            <w:pPr>
              <w:spacing w:after="0" w:line="240" w:lineRule="auto"/>
              <w:contextualSpacing/>
              <w:jc w:val="center"/>
              <w:rPr>
                <w:rFonts w:ascii="Times New Roman" w:hAnsi="Times New Roman"/>
                <w:color w:val="000000"/>
                <w:sz w:val="26"/>
                <w:szCs w:val="26"/>
                <w:lang w:val="ro-RO"/>
              </w:rPr>
            </w:pPr>
            <w:r w:rsidRPr="00843D8C">
              <w:rPr>
                <w:rFonts w:ascii="Times New Roman" w:hAnsi="Times New Roman"/>
                <w:color w:val="000000"/>
                <w:sz w:val="26"/>
                <w:szCs w:val="26"/>
                <w:lang w:val="ro-RO"/>
              </w:rPr>
              <w:t>Posibile dezavantaje</w:t>
            </w:r>
          </w:p>
        </w:tc>
      </w:tr>
      <w:tr w:rsidR="000140CA" w:rsidRPr="00775169" w:rsidTr="00996C93">
        <w:tc>
          <w:tcPr>
            <w:tcW w:w="2107" w:type="dxa"/>
          </w:tcPr>
          <w:p w:rsidR="000140CA" w:rsidRPr="00843D8C" w:rsidRDefault="000140CA" w:rsidP="00996C93">
            <w:pPr>
              <w:spacing w:after="0" w:line="240" w:lineRule="auto"/>
              <w:contextualSpacing/>
              <w:jc w:val="center"/>
              <w:rPr>
                <w:rFonts w:ascii="Times New Roman" w:hAnsi="Times New Roman"/>
                <w:color w:val="000000"/>
                <w:sz w:val="26"/>
                <w:szCs w:val="26"/>
                <w:lang w:val="ro-RO"/>
              </w:rPr>
            </w:pPr>
            <w:r w:rsidRPr="00843D8C">
              <w:rPr>
                <w:rFonts w:ascii="Times New Roman" w:hAnsi="Times New Roman"/>
                <w:color w:val="000000"/>
                <w:sz w:val="26"/>
                <w:szCs w:val="26"/>
                <w:lang w:val="ro-RO"/>
              </w:rPr>
              <w:t>A nu face nimic</w:t>
            </w:r>
          </w:p>
        </w:tc>
        <w:tc>
          <w:tcPr>
            <w:tcW w:w="3388" w:type="dxa"/>
          </w:tcPr>
          <w:p w:rsidR="000140CA" w:rsidRPr="00843D8C" w:rsidRDefault="000140CA" w:rsidP="00996C93">
            <w:pPr>
              <w:spacing w:after="0" w:line="240" w:lineRule="auto"/>
              <w:contextualSpacing/>
              <w:jc w:val="center"/>
              <w:rPr>
                <w:rFonts w:ascii="Times New Roman" w:hAnsi="Times New Roman"/>
                <w:color w:val="000000"/>
                <w:sz w:val="26"/>
                <w:szCs w:val="26"/>
                <w:lang w:val="ro-RO"/>
              </w:rPr>
            </w:pPr>
            <w:r w:rsidRPr="00843D8C">
              <w:rPr>
                <w:rFonts w:ascii="Times New Roman" w:hAnsi="Times New Roman"/>
                <w:color w:val="000000"/>
                <w:sz w:val="26"/>
                <w:szCs w:val="26"/>
                <w:lang w:val="ro-RO"/>
              </w:rPr>
              <w:t>Nu au fost identificate avantaje semnificative.</w:t>
            </w:r>
          </w:p>
        </w:tc>
        <w:tc>
          <w:tcPr>
            <w:tcW w:w="4076" w:type="dxa"/>
          </w:tcPr>
          <w:p w:rsidR="000140CA" w:rsidRPr="00843D8C" w:rsidRDefault="000140CA" w:rsidP="00996C93">
            <w:pPr>
              <w:spacing w:after="0" w:line="240" w:lineRule="auto"/>
              <w:contextualSpacing/>
              <w:jc w:val="center"/>
              <w:rPr>
                <w:rFonts w:ascii="Times New Roman" w:hAnsi="Times New Roman"/>
                <w:color w:val="000000"/>
                <w:sz w:val="26"/>
                <w:szCs w:val="26"/>
                <w:lang w:val="ro-RO"/>
              </w:rPr>
            </w:pPr>
            <w:r w:rsidRPr="00843D8C">
              <w:rPr>
                <w:rFonts w:ascii="Times New Roman" w:hAnsi="Times New Roman"/>
                <w:color w:val="000000"/>
                <w:sz w:val="26"/>
                <w:szCs w:val="26"/>
                <w:lang w:val="ro-RO"/>
              </w:rPr>
              <w:t>În procesul analizei s-a constatat că există unele lacune în cadrul normativ, dar și un potențial de îmbunătățire a cadrului de reglementare și a gradului de protecție a consumatorilor. Astfel, acest potențial nu poate fi valorificat dacă nu sunt efectuate îmbunătăţiri ale cadrului de reglementare propus în acest AIR.</w:t>
            </w:r>
          </w:p>
        </w:tc>
      </w:tr>
      <w:tr w:rsidR="000140CA" w:rsidRPr="00775169" w:rsidTr="008F740C">
        <w:tc>
          <w:tcPr>
            <w:tcW w:w="2107" w:type="dxa"/>
          </w:tcPr>
          <w:p w:rsidR="000140CA" w:rsidRPr="00843D8C" w:rsidRDefault="000140CA" w:rsidP="00996C93">
            <w:pPr>
              <w:spacing w:after="0" w:line="240" w:lineRule="auto"/>
              <w:contextualSpacing/>
              <w:jc w:val="center"/>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A modifica Hotărîrea </w:t>
            </w:r>
            <w:r w:rsidRPr="00843D8C">
              <w:rPr>
                <w:rFonts w:ascii="Times New Roman" w:hAnsi="Times New Roman"/>
                <w:color w:val="000000"/>
                <w:sz w:val="26"/>
                <w:szCs w:val="26"/>
                <w:lang w:val="ro-RO"/>
              </w:rPr>
              <w:lastRenderedPageBreak/>
              <w:t>Guvernului nr. 95 din 04.02.2008 cu privire la aprobarea Reglementarea tehnică „Compatibilitatea electromagnetică a echipamentelor”</w:t>
            </w:r>
          </w:p>
        </w:tc>
        <w:tc>
          <w:tcPr>
            <w:tcW w:w="3388" w:type="dxa"/>
            <w:vAlign w:val="center"/>
          </w:tcPr>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lastRenderedPageBreak/>
              <w:t>- Protejează consumatorii de produse neconforme;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lastRenderedPageBreak/>
              <w:t>- Stabilirea unor criterii clare și unice la punerea la dispoziție pe piață a echipamentelor electrice pentru toți agenții economici indiferent de țara de unde se exportă produsele;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Introducerea și punerea la dispoziție pe piața Moldovei şi exportul produselor autohtone competitive;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Conformarea cu cerinţele UE şi promovarea exportului fără bariere tehnice.</w:t>
            </w:r>
          </w:p>
        </w:tc>
        <w:tc>
          <w:tcPr>
            <w:tcW w:w="4076" w:type="dxa"/>
            <w:vAlign w:val="center"/>
          </w:tcPr>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lastRenderedPageBreak/>
              <w:t xml:space="preserve">- Termenul de transpunere se va majora; </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lastRenderedPageBreak/>
              <w:t>- Consumatorul nu va fi protejat de produse neconforme;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Criterii diferite pentru agenții economici la punerea la dispoziție pe piață a echipamentelor electrice;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 Exportul în UE a echipamentelor electrice va întimpina bariere tehnice; </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Este posibilă omiterea sau adăugarea unor prevederi, diferite de prevederile stabilite de Directiva care urmează a fi transpusă- Consumatorul nu va fi protejat de produse neconforme și, respectiv, neconformare la cerinţele  UE..</w:t>
            </w:r>
          </w:p>
        </w:tc>
      </w:tr>
      <w:tr w:rsidR="000140CA" w:rsidRPr="00775169" w:rsidTr="00920523">
        <w:tc>
          <w:tcPr>
            <w:tcW w:w="2107" w:type="dxa"/>
          </w:tcPr>
          <w:p w:rsidR="000140CA" w:rsidRPr="00843D8C" w:rsidRDefault="000140CA" w:rsidP="00535EA4">
            <w:pPr>
              <w:spacing w:after="0" w:line="240" w:lineRule="auto"/>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lastRenderedPageBreak/>
              <w:t xml:space="preserve">A elabora şi adopta proiectul noii Reglementări tehnice „Compatibilitatea electromagnetică” </w:t>
            </w:r>
          </w:p>
        </w:tc>
        <w:tc>
          <w:tcPr>
            <w:tcW w:w="3388" w:type="dxa"/>
            <w:vAlign w:val="center"/>
          </w:tcPr>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Protejează consumatorii de produse neconforme;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Introducerea și punerea la dispoziție pe piața Moldovei şi exportul produselor autohtone competitive;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Stabilirea unor criterii clare și unice la punerea la dispoziție pe piață a echipamentelor electrice pentru toți agenții economici indiferent de țara de unde se exportă produsele;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Conformarea cu cerinţele UE şi promovarea exportului fără bariere tehnice.</w:t>
            </w:r>
          </w:p>
        </w:tc>
        <w:tc>
          <w:tcPr>
            <w:tcW w:w="4076" w:type="dxa"/>
            <w:vAlign w:val="center"/>
          </w:tcPr>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Consumatorul nu va fi protejat de produse neconforme;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Criterii diferite pentru agenții economici la punerea la dispoziție pe piață a echipamentelor electrice;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Exportul în UE a echipamentelor electrice va întimpina bariere tehnice;</w:t>
            </w:r>
          </w:p>
          <w:p w:rsidR="000140CA" w:rsidRPr="00843D8C" w:rsidRDefault="000140CA" w:rsidP="00535EA4">
            <w:pPr>
              <w:spacing w:after="0" w:line="240" w:lineRule="auto"/>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 Neconformare la cerinţele  UE. </w:t>
            </w:r>
          </w:p>
        </w:tc>
      </w:tr>
    </w:tbl>
    <w:p w:rsidR="000140CA" w:rsidRPr="00843D8C" w:rsidRDefault="000140CA" w:rsidP="00DC320D">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AC5D8A">
      <w:pPr>
        <w:spacing w:line="240" w:lineRule="auto"/>
        <w:ind w:firstLine="709"/>
        <w:contextualSpacing/>
        <w:jc w:val="both"/>
        <w:rPr>
          <w:rFonts w:ascii="Times New Roman" w:hAnsi="Times New Roman"/>
          <w:b/>
          <w:color w:val="000000"/>
          <w:sz w:val="26"/>
          <w:szCs w:val="26"/>
          <w:lang w:val="ro-RO"/>
        </w:rPr>
      </w:pPr>
      <w:r w:rsidRPr="00843D8C">
        <w:rPr>
          <w:rFonts w:ascii="Times New Roman" w:hAnsi="Times New Roman"/>
          <w:b/>
          <w:color w:val="000000"/>
          <w:sz w:val="26"/>
          <w:szCs w:val="26"/>
          <w:lang w:val="ro-RO"/>
        </w:rPr>
        <w:t>STRATEGIA DE CONSULTANŢĂ.</w:t>
      </w:r>
    </w:p>
    <w:p w:rsidR="000140CA" w:rsidRPr="00843D8C" w:rsidRDefault="000140CA" w:rsidP="00AC5D8A">
      <w:pPr>
        <w:spacing w:line="240" w:lineRule="auto"/>
        <w:ind w:firstLine="709"/>
        <w:contextualSpacing/>
        <w:jc w:val="both"/>
        <w:rPr>
          <w:rFonts w:ascii="Times New Roman" w:hAnsi="Times New Roman"/>
          <w:b/>
          <w:color w:val="000000"/>
          <w:sz w:val="26"/>
          <w:szCs w:val="26"/>
          <w:lang w:val="ro-RO"/>
        </w:rPr>
      </w:pPr>
    </w:p>
    <w:p w:rsidR="000140CA" w:rsidRPr="00843D8C" w:rsidRDefault="000140CA" w:rsidP="00AC5D8A">
      <w:pPr>
        <w:spacing w:line="240" w:lineRule="auto"/>
        <w:ind w:firstLine="709"/>
        <w:contextualSpacing/>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Prezentul AIR a fost plasat pe pagina web a Ministerului Economiei în scopul consultării acestuia cu părțile interesate: </w:t>
      </w:r>
    </w:p>
    <w:p w:rsidR="000140CA" w:rsidRPr="00843D8C" w:rsidRDefault="000140CA" w:rsidP="00843D8C">
      <w:pPr>
        <w:numPr>
          <w:ilvl w:val="0"/>
          <w:numId w:val="14"/>
        </w:numPr>
        <w:tabs>
          <w:tab w:val="clear" w:pos="-360"/>
          <w:tab w:val="num" w:pos="360"/>
        </w:tabs>
        <w:spacing w:line="240" w:lineRule="auto"/>
        <w:ind w:left="0" w:firstLine="360"/>
        <w:contextualSpacing/>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producători, </w:t>
      </w:r>
    </w:p>
    <w:p w:rsidR="000140CA" w:rsidRPr="00843D8C" w:rsidRDefault="000140CA" w:rsidP="00843D8C">
      <w:pPr>
        <w:numPr>
          <w:ilvl w:val="0"/>
          <w:numId w:val="14"/>
        </w:numPr>
        <w:tabs>
          <w:tab w:val="clear" w:pos="-360"/>
          <w:tab w:val="num" w:pos="720"/>
        </w:tabs>
        <w:spacing w:line="240" w:lineRule="auto"/>
        <w:ind w:left="720"/>
        <w:contextualSpacing/>
        <w:jc w:val="both"/>
        <w:rPr>
          <w:rFonts w:ascii="Times New Roman" w:hAnsi="Times New Roman"/>
          <w:color w:val="993300"/>
          <w:sz w:val="26"/>
          <w:szCs w:val="26"/>
          <w:lang w:val="ro-RO"/>
        </w:rPr>
      </w:pPr>
      <w:r w:rsidRPr="00843D8C">
        <w:rPr>
          <w:rFonts w:ascii="Times New Roman" w:hAnsi="Times New Roman"/>
          <w:color w:val="993300"/>
          <w:sz w:val="26"/>
          <w:szCs w:val="26"/>
          <w:lang w:val="ro-RO"/>
        </w:rPr>
        <w:t>importatori,</w:t>
      </w:r>
    </w:p>
    <w:p w:rsidR="000140CA" w:rsidRPr="00843D8C" w:rsidRDefault="000140CA" w:rsidP="00843D8C">
      <w:pPr>
        <w:numPr>
          <w:ilvl w:val="0"/>
          <w:numId w:val="14"/>
        </w:numPr>
        <w:tabs>
          <w:tab w:val="clear" w:pos="-360"/>
          <w:tab w:val="num" w:pos="720"/>
        </w:tabs>
        <w:spacing w:line="240" w:lineRule="auto"/>
        <w:ind w:firstLine="720"/>
        <w:contextualSpacing/>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autorităţile publice centrale, </w:t>
      </w:r>
    </w:p>
    <w:p w:rsidR="000140CA" w:rsidRPr="00843D8C" w:rsidRDefault="000140CA" w:rsidP="00843D8C">
      <w:pPr>
        <w:numPr>
          <w:ilvl w:val="0"/>
          <w:numId w:val="14"/>
        </w:numPr>
        <w:tabs>
          <w:tab w:val="clear" w:pos="-360"/>
          <w:tab w:val="num" w:pos="720"/>
        </w:tabs>
        <w:spacing w:line="240" w:lineRule="auto"/>
        <w:ind w:firstLine="720"/>
        <w:contextualSpacing/>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instituții publice, </w:t>
      </w:r>
    </w:p>
    <w:p w:rsidR="000140CA" w:rsidRPr="00843D8C" w:rsidRDefault="000140CA" w:rsidP="00843D8C">
      <w:pPr>
        <w:numPr>
          <w:ilvl w:val="0"/>
          <w:numId w:val="14"/>
        </w:numPr>
        <w:tabs>
          <w:tab w:val="clear" w:pos="-360"/>
          <w:tab w:val="num" w:pos="720"/>
        </w:tabs>
        <w:spacing w:line="240" w:lineRule="auto"/>
        <w:ind w:firstLine="720"/>
        <w:contextualSpacing/>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OEC, </w:t>
      </w:r>
    </w:p>
    <w:p w:rsidR="000140CA" w:rsidRPr="00843D8C" w:rsidRDefault="000140CA" w:rsidP="00843D8C">
      <w:pPr>
        <w:numPr>
          <w:ilvl w:val="0"/>
          <w:numId w:val="14"/>
        </w:numPr>
        <w:tabs>
          <w:tab w:val="clear" w:pos="-360"/>
          <w:tab w:val="num" w:pos="720"/>
        </w:tabs>
        <w:spacing w:line="240" w:lineRule="auto"/>
        <w:ind w:firstLine="720"/>
        <w:contextualSpacing/>
        <w:jc w:val="both"/>
        <w:rPr>
          <w:rFonts w:ascii="Times New Roman" w:hAnsi="Times New Roman"/>
          <w:color w:val="993300"/>
          <w:sz w:val="26"/>
          <w:szCs w:val="26"/>
          <w:lang w:val="ro-RO"/>
        </w:rPr>
      </w:pPr>
      <w:r w:rsidRPr="00843D8C">
        <w:rPr>
          <w:rFonts w:ascii="Times New Roman" w:hAnsi="Times New Roman"/>
          <w:color w:val="993300"/>
          <w:sz w:val="26"/>
          <w:szCs w:val="26"/>
          <w:lang w:val="ro-RO"/>
        </w:rPr>
        <w:t xml:space="preserve">asociații în domeniu, </w:t>
      </w:r>
    </w:p>
    <w:p w:rsidR="000140CA" w:rsidRPr="00843D8C" w:rsidRDefault="000140CA" w:rsidP="00843D8C">
      <w:pPr>
        <w:numPr>
          <w:ilvl w:val="0"/>
          <w:numId w:val="14"/>
        </w:numPr>
        <w:tabs>
          <w:tab w:val="clear" w:pos="-360"/>
          <w:tab w:val="num" w:pos="0"/>
        </w:tabs>
        <w:spacing w:line="240" w:lineRule="auto"/>
        <w:ind w:left="0" w:firstLine="360"/>
        <w:contextualSpacing/>
        <w:jc w:val="both"/>
        <w:rPr>
          <w:rFonts w:ascii="Times New Roman" w:hAnsi="Times New Roman"/>
          <w:color w:val="993300"/>
          <w:sz w:val="26"/>
          <w:szCs w:val="26"/>
          <w:lang w:val="ro-RO"/>
        </w:rPr>
      </w:pPr>
      <w:r w:rsidRPr="00843D8C">
        <w:rPr>
          <w:rFonts w:ascii="Times New Roman" w:hAnsi="Times New Roman"/>
          <w:color w:val="993300"/>
          <w:sz w:val="26"/>
          <w:szCs w:val="26"/>
          <w:lang w:val="ro-RO"/>
        </w:rPr>
        <w:t>sindicate.</w:t>
      </w:r>
    </w:p>
    <w:p w:rsidR="000140CA" w:rsidRPr="00843D8C" w:rsidRDefault="000140CA" w:rsidP="00AC5D8A">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535EA4">
      <w:pPr>
        <w:spacing w:after="0" w:line="240" w:lineRule="auto"/>
        <w:ind w:firstLine="709"/>
        <w:jc w:val="both"/>
        <w:rPr>
          <w:rFonts w:ascii="Times New Roman" w:hAnsi="Times New Roman"/>
          <w:color w:val="000000"/>
          <w:sz w:val="26"/>
          <w:szCs w:val="26"/>
          <w:lang w:val="ro-RO"/>
        </w:rPr>
      </w:pPr>
      <w:r w:rsidRPr="00843D8C">
        <w:rPr>
          <w:rFonts w:ascii="Times New Roman" w:hAnsi="Times New Roman"/>
          <w:color w:val="000000"/>
          <w:sz w:val="26"/>
          <w:szCs w:val="26"/>
          <w:lang w:val="ro-RO"/>
        </w:rPr>
        <w:t xml:space="preserve">Pentru a cunoaşte situaţia existentă referitor la plasarea echipamentelor electrice, proiectul a fost transmis la: autoritățile publice centrale (Ministerul Dezvoltării Regionale și Construcțiilor, Ministerul Agriculturii și Industriei Alimentare, Ministerul Transporturilor și Infrastructurii Drumurilor, Ministerul Sănătății, Ministerul Tehnologiilor Informaționale și Comunicațiilor, Ministerul Afacerilor Interne, Ministerul </w:t>
      </w:r>
      <w:r w:rsidRPr="00843D8C">
        <w:rPr>
          <w:rFonts w:ascii="Times New Roman" w:hAnsi="Times New Roman"/>
          <w:color w:val="000000"/>
          <w:sz w:val="26"/>
          <w:szCs w:val="26"/>
          <w:lang w:val="ro-RO"/>
        </w:rPr>
        <w:lastRenderedPageBreak/>
        <w:t xml:space="preserve">Mediului, Ministerul Muncii, Protecției Sociale și Familiei), Centrul Național de Acreditare, Institutul Național de Metrologie, Institutul Național de Standardizare, Organismul de certificare și Laboratorul de încercări din cadrul Centrului de Metrologie Aplicată și Certificare, Organismul de certificare al </w:t>
      </w:r>
      <w:r w:rsidRPr="00843D8C">
        <w:rPr>
          <w:rFonts w:ascii="Times New Roman" w:hAnsi="Times New Roman"/>
          <w:bCs/>
          <w:color w:val="000000"/>
          <w:sz w:val="26"/>
          <w:szCs w:val="26"/>
          <w:lang w:val="ro-RO"/>
        </w:rPr>
        <w:t xml:space="preserve">Centrului Tehnic pentru Securitate Industrială şi Certificare, </w:t>
      </w:r>
      <w:r w:rsidRPr="00843D8C">
        <w:rPr>
          <w:rFonts w:ascii="Times New Roman" w:hAnsi="Times New Roman"/>
          <w:color w:val="000000"/>
          <w:sz w:val="26"/>
          <w:szCs w:val="26"/>
          <w:lang w:val="ro-RO"/>
        </w:rPr>
        <w:t>Organismul de certificare din cadrul</w:t>
      </w:r>
      <w:r w:rsidRPr="00843D8C">
        <w:rPr>
          <w:rFonts w:ascii="Times New Roman" w:hAnsi="Times New Roman"/>
          <w:bCs/>
          <w:color w:val="000000"/>
          <w:sz w:val="26"/>
          <w:szCs w:val="26"/>
          <w:lang w:val="ro-RO"/>
        </w:rPr>
        <w:t xml:space="preserve"> ÎCS „TRANS–STANDARD” SRL, </w:t>
      </w:r>
      <w:r w:rsidRPr="00843D8C">
        <w:rPr>
          <w:rFonts w:ascii="Times New Roman" w:hAnsi="Times New Roman"/>
          <w:color w:val="000000"/>
          <w:sz w:val="26"/>
          <w:szCs w:val="26"/>
          <w:lang w:val="ro-RO"/>
        </w:rPr>
        <w:t xml:space="preserve">Laboratorul de încercări al </w:t>
      </w:r>
      <w:r w:rsidRPr="00843D8C">
        <w:rPr>
          <w:rFonts w:ascii="Times New Roman" w:hAnsi="Times New Roman"/>
          <w:bCs/>
          <w:color w:val="000000"/>
          <w:sz w:val="26"/>
          <w:szCs w:val="26"/>
          <w:lang w:val="ro-RO"/>
        </w:rPr>
        <w:t>SRL „Certificare”,</w:t>
      </w:r>
      <w:r w:rsidRPr="00843D8C">
        <w:rPr>
          <w:rFonts w:ascii="Times New Roman" w:hAnsi="Times New Roman"/>
          <w:color w:val="000000"/>
          <w:sz w:val="26"/>
          <w:szCs w:val="26"/>
          <w:lang w:val="ro-RO"/>
        </w:rPr>
        <w:t xml:space="preserve"> Asociaţia Patronală în domeniul Conformităţii Produselor din Republica Moldova, Asociaţia Patronală Profesională în domeniul Metrologiei şi Calităţii Produselor, Agentia pentru Protectia Consumatorilor, importatori (ORANGE Moldova SA, Moldcell, VESTA SRL, IM Alina Electronic, SRL AUTOSCHOCK SV, SRL MALMAR GRUP, SRL TINA, SA AIEA) și producători (DJV-COM SRL, SRL EVADAX și AV- Macrocom)a echipamentelor electrice, </w:t>
      </w:r>
      <w:r w:rsidRPr="00843D8C">
        <w:rPr>
          <w:rFonts w:ascii="Times New Roman" w:hAnsi="Times New Roman"/>
          <w:bCs/>
          <w:color w:val="000000"/>
          <w:kern w:val="36"/>
          <w:sz w:val="26"/>
          <w:szCs w:val="26"/>
          <w:lang w:val="ro-RO"/>
        </w:rPr>
        <w:t>Confederația Națională a Sindicatelor din Moldova.</w:t>
      </w:r>
    </w:p>
    <w:p w:rsidR="000140CA" w:rsidRPr="00843D8C" w:rsidRDefault="000140CA" w:rsidP="00AC5D8A">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Pentru a consulta costurile privind efectuarea procedurilor de evaluare a conformităţii, au fost solicitate preturile de la OEC, care au dat dovadă de atitudine şi interes sporit pentru aşi expune punctul de vedere.</w:t>
      </w:r>
    </w:p>
    <w:p w:rsidR="000140CA" w:rsidRPr="00843D8C" w:rsidRDefault="000140CA" w:rsidP="00AC5D8A">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În același timp, se preconizează dezbaterile publice pe marginea AIR-ului şi proiectului actului nominalizat cu toate persoanele interesate, după care proiectul actului normativ va fi avizat şi supus expertizei juridice şi anticorupţie.</w:t>
      </w:r>
    </w:p>
    <w:p w:rsidR="000140CA" w:rsidRPr="00843D8C" w:rsidRDefault="000140CA" w:rsidP="00AC5D8A">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Comentariile, obiecţiile şi propunerile părţilor consultate vor fi analizate şi luate în consideraţie la îmbunătăţirea proiectului actului normativ şi analizei impactului de reglementare.</w:t>
      </w:r>
    </w:p>
    <w:p w:rsidR="000140CA" w:rsidRPr="00843D8C" w:rsidRDefault="000140CA" w:rsidP="00AC5D8A">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AC5D8A">
      <w:pPr>
        <w:spacing w:line="240" w:lineRule="auto"/>
        <w:ind w:firstLine="709"/>
        <w:contextualSpacing/>
        <w:jc w:val="both"/>
        <w:rPr>
          <w:rFonts w:ascii="Times New Roman" w:hAnsi="Times New Roman"/>
          <w:b/>
          <w:color w:val="000000"/>
          <w:sz w:val="26"/>
          <w:szCs w:val="26"/>
          <w:lang w:val="ro-RO"/>
        </w:rPr>
      </w:pPr>
      <w:r w:rsidRPr="00843D8C">
        <w:rPr>
          <w:rFonts w:ascii="Times New Roman" w:hAnsi="Times New Roman"/>
          <w:b/>
          <w:color w:val="000000"/>
          <w:sz w:val="26"/>
          <w:szCs w:val="26"/>
          <w:lang w:val="ro-RO"/>
        </w:rPr>
        <w:t>CONCLUZII ŞI RECOMANDĂRI.</w:t>
      </w:r>
    </w:p>
    <w:p w:rsidR="000140CA" w:rsidRPr="00843D8C" w:rsidRDefault="000140CA" w:rsidP="00AC5D8A">
      <w:pPr>
        <w:spacing w:line="240" w:lineRule="auto"/>
        <w:ind w:firstLine="709"/>
        <w:contextualSpacing/>
        <w:jc w:val="both"/>
        <w:rPr>
          <w:rFonts w:ascii="Times New Roman" w:hAnsi="Times New Roman"/>
          <w:color w:val="000000"/>
          <w:sz w:val="26"/>
          <w:szCs w:val="26"/>
          <w:lang w:val="ro-RO"/>
        </w:rPr>
      </w:pPr>
    </w:p>
    <w:p w:rsidR="000140CA" w:rsidRPr="00843D8C" w:rsidRDefault="000140CA" w:rsidP="00AC5D8A">
      <w:pPr>
        <w:spacing w:line="240" w:lineRule="auto"/>
        <w:ind w:firstLine="709"/>
        <w:contextualSpacing/>
        <w:jc w:val="both"/>
        <w:rPr>
          <w:rFonts w:ascii="Times New Roman" w:hAnsi="Times New Roman"/>
          <w:color w:val="000000"/>
          <w:sz w:val="26"/>
          <w:szCs w:val="26"/>
          <w:lang w:val="ro-RO"/>
        </w:rPr>
      </w:pPr>
      <w:r w:rsidRPr="00843D8C">
        <w:rPr>
          <w:rFonts w:ascii="Times New Roman" w:hAnsi="Times New Roman"/>
          <w:color w:val="000000"/>
          <w:sz w:val="26"/>
          <w:szCs w:val="26"/>
          <w:lang w:val="ro-RO"/>
        </w:rPr>
        <w:t>Urmare analizei comparative prezentate în prezentul AIR, autorii recomandă elaborarea unii noi reglementări tehnice „Compatibilitatea electromagnetică a echipamentelor”, care va întra în vigoare la 24 luni de la data aprobării acesteia. Consecutiv, Hotărîrea Guvernului nr. 95 din 04.02.2008 urmează a fi abrogată. În acelaşi timp, avînd în vedere că se va oferi o perioadă de tranziţie, toţi agenţii economici în domeniu vor dispune de timp pentru planificarea activităţii întreprinderilor sale în sensul prevederilor Directivei 2014/30/UE.</w:t>
      </w:r>
    </w:p>
    <w:sectPr w:rsidR="000140CA" w:rsidRPr="00843D8C" w:rsidSect="00A24D8A">
      <w:footerReference w:type="even" r:id="rId8"/>
      <w:footerReference w:type="default" r:id="rId9"/>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78" w:rsidRDefault="00E46578" w:rsidP="00286006">
      <w:pPr>
        <w:pStyle w:val="a3"/>
      </w:pPr>
      <w:r>
        <w:separator/>
      </w:r>
    </w:p>
  </w:endnote>
  <w:endnote w:type="continuationSeparator" w:id="0">
    <w:p w:rsidR="00E46578" w:rsidRDefault="00E46578" w:rsidP="0028600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CA" w:rsidRDefault="000140CA" w:rsidP="00033BF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40CA" w:rsidRDefault="000140CA" w:rsidP="00ED08F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CA" w:rsidRDefault="000140CA" w:rsidP="00033BF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75169">
      <w:rPr>
        <w:rStyle w:val="ab"/>
        <w:noProof/>
      </w:rPr>
      <w:t>1</w:t>
    </w:r>
    <w:r>
      <w:rPr>
        <w:rStyle w:val="ab"/>
      </w:rPr>
      <w:fldChar w:fldCharType="end"/>
    </w:r>
  </w:p>
  <w:p w:rsidR="000140CA" w:rsidRDefault="000140CA" w:rsidP="00ED08F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78" w:rsidRDefault="00E46578" w:rsidP="00286006">
      <w:pPr>
        <w:pStyle w:val="a3"/>
      </w:pPr>
      <w:r>
        <w:separator/>
      </w:r>
    </w:p>
  </w:footnote>
  <w:footnote w:type="continuationSeparator" w:id="0">
    <w:p w:rsidR="00E46578" w:rsidRDefault="00E46578" w:rsidP="00286006">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BA1C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978AF3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D90A14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DA2CFA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A9A86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904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B2C6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FADA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ACE90C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DD82D56"/>
    <w:lvl w:ilvl="0">
      <w:start w:val="1"/>
      <w:numFmt w:val="bullet"/>
      <w:lvlText w:val=""/>
      <w:lvlJc w:val="left"/>
      <w:pPr>
        <w:tabs>
          <w:tab w:val="num" w:pos="360"/>
        </w:tabs>
        <w:ind w:left="360" w:hanging="360"/>
      </w:pPr>
      <w:rPr>
        <w:rFonts w:ascii="Symbol" w:hAnsi="Symbol" w:hint="default"/>
      </w:rPr>
    </w:lvl>
  </w:abstractNum>
  <w:abstractNum w:abstractNumId="10">
    <w:nsid w:val="28E51971"/>
    <w:multiLevelType w:val="hybridMultilevel"/>
    <w:tmpl w:val="ED546A1A"/>
    <w:lvl w:ilvl="0" w:tplc="3B28EE20">
      <w:start w:val="2"/>
      <w:numFmt w:val="bullet"/>
      <w:lvlText w:val="-"/>
      <w:lvlJc w:val="left"/>
      <w:pPr>
        <w:tabs>
          <w:tab w:val="num" w:pos="-360"/>
        </w:tabs>
        <w:ind w:left="-360" w:hanging="360"/>
      </w:pPr>
      <w:rPr>
        <w:rFonts w:ascii="Verdana" w:eastAsia="Times New Roman" w:hAnsi="Verdana"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1">
    <w:nsid w:val="48A7733B"/>
    <w:multiLevelType w:val="hybridMultilevel"/>
    <w:tmpl w:val="45F2E1A8"/>
    <w:lvl w:ilvl="0" w:tplc="80DE4102">
      <w:start w:val="73"/>
      <w:numFmt w:val="bullet"/>
      <w:lvlText w:val="–"/>
      <w:lvlJc w:val="left"/>
      <w:pPr>
        <w:tabs>
          <w:tab w:val="num" w:pos="413"/>
        </w:tabs>
        <w:ind w:left="413" w:hanging="480"/>
      </w:pPr>
      <w:rPr>
        <w:rFonts w:ascii="Verdana" w:eastAsia="Times New Roman" w:hAnsi="Verdana" w:hint="default"/>
      </w:rPr>
    </w:lvl>
    <w:lvl w:ilvl="1" w:tplc="04190003" w:tentative="1">
      <w:start w:val="1"/>
      <w:numFmt w:val="bullet"/>
      <w:lvlText w:val="o"/>
      <w:lvlJc w:val="left"/>
      <w:pPr>
        <w:tabs>
          <w:tab w:val="num" w:pos="1013"/>
        </w:tabs>
        <w:ind w:left="1013" w:hanging="360"/>
      </w:pPr>
      <w:rPr>
        <w:rFonts w:ascii="Courier New" w:hAnsi="Courier New" w:hint="default"/>
      </w:rPr>
    </w:lvl>
    <w:lvl w:ilvl="2" w:tplc="04190005" w:tentative="1">
      <w:start w:val="1"/>
      <w:numFmt w:val="bullet"/>
      <w:lvlText w:val=""/>
      <w:lvlJc w:val="left"/>
      <w:pPr>
        <w:tabs>
          <w:tab w:val="num" w:pos="1733"/>
        </w:tabs>
        <w:ind w:left="1733" w:hanging="360"/>
      </w:pPr>
      <w:rPr>
        <w:rFonts w:ascii="Wingdings" w:hAnsi="Wingdings" w:hint="default"/>
      </w:rPr>
    </w:lvl>
    <w:lvl w:ilvl="3" w:tplc="04190001" w:tentative="1">
      <w:start w:val="1"/>
      <w:numFmt w:val="bullet"/>
      <w:lvlText w:val=""/>
      <w:lvlJc w:val="left"/>
      <w:pPr>
        <w:tabs>
          <w:tab w:val="num" w:pos="2453"/>
        </w:tabs>
        <w:ind w:left="2453" w:hanging="360"/>
      </w:pPr>
      <w:rPr>
        <w:rFonts w:ascii="Symbol" w:hAnsi="Symbol" w:hint="default"/>
      </w:rPr>
    </w:lvl>
    <w:lvl w:ilvl="4" w:tplc="04190003" w:tentative="1">
      <w:start w:val="1"/>
      <w:numFmt w:val="bullet"/>
      <w:lvlText w:val="o"/>
      <w:lvlJc w:val="left"/>
      <w:pPr>
        <w:tabs>
          <w:tab w:val="num" w:pos="3173"/>
        </w:tabs>
        <w:ind w:left="3173" w:hanging="360"/>
      </w:pPr>
      <w:rPr>
        <w:rFonts w:ascii="Courier New" w:hAnsi="Courier New" w:hint="default"/>
      </w:rPr>
    </w:lvl>
    <w:lvl w:ilvl="5" w:tplc="04190005" w:tentative="1">
      <w:start w:val="1"/>
      <w:numFmt w:val="bullet"/>
      <w:lvlText w:val=""/>
      <w:lvlJc w:val="left"/>
      <w:pPr>
        <w:tabs>
          <w:tab w:val="num" w:pos="3893"/>
        </w:tabs>
        <w:ind w:left="3893" w:hanging="360"/>
      </w:pPr>
      <w:rPr>
        <w:rFonts w:ascii="Wingdings" w:hAnsi="Wingdings" w:hint="default"/>
      </w:rPr>
    </w:lvl>
    <w:lvl w:ilvl="6" w:tplc="04190001" w:tentative="1">
      <w:start w:val="1"/>
      <w:numFmt w:val="bullet"/>
      <w:lvlText w:val=""/>
      <w:lvlJc w:val="left"/>
      <w:pPr>
        <w:tabs>
          <w:tab w:val="num" w:pos="4613"/>
        </w:tabs>
        <w:ind w:left="4613" w:hanging="360"/>
      </w:pPr>
      <w:rPr>
        <w:rFonts w:ascii="Symbol" w:hAnsi="Symbol" w:hint="default"/>
      </w:rPr>
    </w:lvl>
    <w:lvl w:ilvl="7" w:tplc="04190003" w:tentative="1">
      <w:start w:val="1"/>
      <w:numFmt w:val="bullet"/>
      <w:lvlText w:val="o"/>
      <w:lvlJc w:val="left"/>
      <w:pPr>
        <w:tabs>
          <w:tab w:val="num" w:pos="5333"/>
        </w:tabs>
        <w:ind w:left="5333" w:hanging="360"/>
      </w:pPr>
      <w:rPr>
        <w:rFonts w:ascii="Courier New" w:hAnsi="Courier New" w:hint="default"/>
      </w:rPr>
    </w:lvl>
    <w:lvl w:ilvl="8" w:tplc="04190005" w:tentative="1">
      <w:start w:val="1"/>
      <w:numFmt w:val="bullet"/>
      <w:lvlText w:val=""/>
      <w:lvlJc w:val="left"/>
      <w:pPr>
        <w:tabs>
          <w:tab w:val="num" w:pos="6053"/>
        </w:tabs>
        <w:ind w:left="6053" w:hanging="360"/>
      </w:pPr>
      <w:rPr>
        <w:rFonts w:ascii="Wingdings" w:hAnsi="Wingdings" w:hint="default"/>
      </w:rPr>
    </w:lvl>
  </w:abstractNum>
  <w:abstractNum w:abstractNumId="12">
    <w:nsid w:val="4B345491"/>
    <w:multiLevelType w:val="hybridMultilevel"/>
    <w:tmpl w:val="21342512"/>
    <w:lvl w:ilvl="0" w:tplc="CEBE017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6A8F4AAE"/>
    <w:multiLevelType w:val="hybridMultilevel"/>
    <w:tmpl w:val="84DC60A4"/>
    <w:lvl w:ilvl="0" w:tplc="B712DA3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00420DD"/>
    <w:multiLevelType w:val="hybridMultilevel"/>
    <w:tmpl w:val="52607E52"/>
    <w:lvl w:ilvl="0" w:tplc="A258B6EE">
      <w:start w:val="1"/>
      <w:numFmt w:val="bullet"/>
      <w:lvlText w:val=""/>
      <w:lvlJc w:val="left"/>
      <w:pPr>
        <w:tabs>
          <w:tab w:val="num" w:pos="1260"/>
        </w:tabs>
        <w:ind w:left="1260" w:hanging="360"/>
      </w:pPr>
      <w:rPr>
        <w:rFonts w:ascii="Symbol" w:hAnsi="Symbol" w:hint="default"/>
        <w:b/>
        <w:sz w:val="20"/>
      </w:rPr>
    </w:lvl>
    <w:lvl w:ilvl="1" w:tplc="054230E2">
      <w:start w:val="2"/>
      <w:numFmt w:val="lowerLetter"/>
      <w:lvlText w:val="%2)"/>
      <w:lvlJc w:val="left"/>
      <w:pPr>
        <w:tabs>
          <w:tab w:val="num" w:pos="1980"/>
        </w:tabs>
        <w:ind w:left="1980" w:hanging="360"/>
      </w:pPr>
      <w:rPr>
        <w:rFonts w:cs="Times New Roman" w:hint="default"/>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04"/>
    <w:rsid w:val="00005704"/>
    <w:rsid w:val="0000754E"/>
    <w:rsid w:val="000075AC"/>
    <w:rsid w:val="0001256C"/>
    <w:rsid w:val="000140CA"/>
    <w:rsid w:val="00021AAE"/>
    <w:rsid w:val="00033BF9"/>
    <w:rsid w:val="00036C6F"/>
    <w:rsid w:val="00066C0C"/>
    <w:rsid w:val="0009227B"/>
    <w:rsid w:val="000964B0"/>
    <w:rsid w:val="000965A8"/>
    <w:rsid w:val="000A1E99"/>
    <w:rsid w:val="000C0ACF"/>
    <w:rsid w:val="000D3A98"/>
    <w:rsid w:val="000D6933"/>
    <w:rsid w:val="000F76C0"/>
    <w:rsid w:val="00104B76"/>
    <w:rsid w:val="0010737F"/>
    <w:rsid w:val="001126D5"/>
    <w:rsid w:val="0011456E"/>
    <w:rsid w:val="00115DDB"/>
    <w:rsid w:val="0012307F"/>
    <w:rsid w:val="00131B65"/>
    <w:rsid w:val="00137F2B"/>
    <w:rsid w:val="00155014"/>
    <w:rsid w:val="00157F15"/>
    <w:rsid w:val="001600EF"/>
    <w:rsid w:val="001821B8"/>
    <w:rsid w:val="00182B91"/>
    <w:rsid w:val="00193B4A"/>
    <w:rsid w:val="001A7744"/>
    <w:rsid w:val="001C79B5"/>
    <w:rsid w:val="001D2413"/>
    <w:rsid w:val="001D3A3B"/>
    <w:rsid w:val="002008AF"/>
    <w:rsid w:val="00203E99"/>
    <w:rsid w:val="00220972"/>
    <w:rsid w:val="00226ACB"/>
    <w:rsid w:val="002373B2"/>
    <w:rsid w:val="00244B3C"/>
    <w:rsid w:val="002574BA"/>
    <w:rsid w:val="00286006"/>
    <w:rsid w:val="00292683"/>
    <w:rsid w:val="002C32D0"/>
    <w:rsid w:val="002C3F6E"/>
    <w:rsid w:val="002C509F"/>
    <w:rsid w:val="002C6F4A"/>
    <w:rsid w:val="002D691A"/>
    <w:rsid w:val="002F3119"/>
    <w:rsid w:val="00315EB5"/>
    <w:rsid w:val="0032066E"/>
    <w:rsid w:val="003526C1"/>
    <w:rsid w:val="0035517A"/>
    <w:rsid w:val="00374A0F"/>
    <w:rsid w:val="00380DC2"/>
    <w:rsid w:val="0038263F"/>
    <w:rsid w:val="00384911"/>
    <w:rsid w:val="003927FD"/>
    <w:rsid w:val="00394170"/>
    <w:rsid w:val="003D77F9"/>
    <w:rsid w:val="003D7CD5"/>
    <w:rsid w:val="003E0454"/>
    <w:rsid w:val="003E2C5B"/>
    <w:rsid w:val="00403EED"/>
    <w:rsid w:val="00426876"/>
    <w:rsid w:val="00436E5F"/>
    <w:rsid w:val="00445B1E"/>
    <w:rsid w:val="00467A09"/>
    <w:rsid w:val="00476EF6"/>
    <w:rsid w:val="00495A20"/>
    <w:rsid w:val="004969C0"/>
    <w:rsid w:val="004C033F"/>
    <w:rsid w:val="004C2DDE"/>
    <w:rsid w:val="004F6C04"/>
    <w:rsid w:val="00530399"/>
    <w:rsid w:val="00535EA4"/>
    <w:rsid w:val="00536E18"/>
    <w:rsid w:val="0054403E"/>
    <w:rsid w:val="00561D72"/>
    <w:rsid w:val="005837AF"/>
    <w:rsid w:val="00585CD1"/>
    <w:rsid w:val="00592B55"/>
    <w:rsid w:val="005D06C7"/>
    <w:rsid w:val="005F2A15"/>
    <w:rsid w:val="005F3806"/>
    <w:rsid w:val="006012E6"/>
    <w:rsid w:val="00605C0E"/>
    <w:rsid w:val="00615836"/>
    <w:rsid w:val="00625DFC"/>
    <w:rsid w:val="00626CD9"/>
    <w:rsid w:val="006350E8"/>
    <w:rsid w:val="00635B1B"/>
    <w:rsid w:val="006447D5"/>
    <w:rsid w:val="00644B53"/>
    <w:rsid w:val="00645846"/>
    <w:rsid w:val="00651AB1"/>
    <w:rsid w:val="0065522D"/>
    <w:rsid w:val="006766CF"/>
    <w:rsid w:val="006833BB"/>
    <w:rsid w:val="006B09FC"/>
    <w:rsid w:val="006C1711"/>
    <w:rsid w:val="006C3B53"/>
    <w:rsid w:val="006C67EA"/>
    <w:rsid w:val="006D2BC0"/>
    <w:rsid w:val="006D5593"/>
    <w:rsid w:val="006F2295"/>
    <w:rsid w:val="00703120"/>
    <w:rsid w:val="00705C35"/>
    <w:rsid w:val="007115F9"/>
    <w:rsid w:val="007202EE"/>
    <w:rsid w:val="00722CDA"/>
    <w:rsid w:val="007303A1"/>
    <w:rsid w:val="00734679"/>
    <w:rsid w:val="007515C4"/>
    <w:rsid w:val="007673A0"/>
    <w:rsid w:val="007703A4"/>
    <w:rsid w:val="00772496"/>
    <w:rsid w:val="00775169"/>
    <w:rsid w:val="00776A1F"/>
    <w:rsid w:val="00783A6C"/>
    <w:rsid w:val="00785EB2"/>
    <w:rsid w:val="007C6D42"/>
    <w:rsid w:val="00802854"/>
    <w:rsid w:val="00812F41"/>
    <w:rsid w:val="0081342F"/>
    <w:rsid w:val="00830E17"/>
    <w:rsid w:val="008348C5"/>
    <w:rsid w:val="00835D66"/>
    <w:rsid w:val="00843D8C"/>
    <w:rsid w:val="0084632B"/>
    <w:rsid w:val="008645F8"/>
    <w:rsid w:val="00882FE8"/>
    <w:rsid w:val="008B56F7"/>
    <w:rsid w:val="008B6FF7"/>
    <w:rsid w:val="008D50E7"/>
    <w:rsid w:val="008D6340"/>
    <w:rsid w:val="008D6748"/>
    <w:rsid w:val="008E3DE9"/>
    <w:rsid w:val="008F740C"/>
    <w:rsid w:val="00920523"/>
    <w:rsid w:val="0093116D"/>
    <w:rsid w:val="009330D3"/>
    <w:rsid w:val="009365DF"/>
    <w:rsid w:val="00945C40"/>
    <w:rsid w:val="00956CE2"/>
    <w:rsid w:val="00965963"/>
    <w:rsid w:val="009841EA"/>
    <w:rsid w:val="0099012B"/>
    <w:rsid w:val="009927D9"/>
    <w:rsid w:val="00994400"/>
    <w:rsid w:val="00996C93"/>
    <w:rsid w:val="00997470"/>
    <w:rsid w:val="009A07CE"/>
    <w:rsid w:val="009C7F65"/>
    <w:rsid w:val="009D6F84"/>
    <w:rsid w:val="009E7DF1"/>
    <w:rsid w:val="009F3899"/>
    <w:rsid w:val="00A04CBE"/>
    <w:rsid w:val="00A06B79"/>
    <w:rsid w:val="00A07777"/>
    <w:rsid w:val="00A1016C"/>
    <w:rsid w:val="00A10878"/>
    <w:rsid w:val="00A152A3"/>
    <w:rsid w:val="00A172DB"/>
    <w:rsid w:val="00A2071E"/>
    <w:rsid w:val="00A24772"/>
    <w:rsid w:val="00A24D8A"/>
    <w:rsid w:val="00A268D1"/>
    <w:rsid w:val="00A27870"/>
    <w:rsid w:val="00A412DB"/>
    <w:rsid w:val="00A60B26"/>
    <w:rsid w:val="00A80551"/>
    <w:rsid w:val="00A91791"/>
    <w:rsid w:val="00AB3113"/>
    <w:rsid w:val="00AC4128"/>
    <w:rsid w:val="00AC50C5"/>
    <w:rsid w:val="00AC5D8A"/>
    <w:rsid w:val="00AE1F6E"/>
    <w:rsid w:val="00AE3190"/>
    <w:rsid w:val="00AF58F1"/>
    <w:rsid w:val="00B10DEF"/>
    <w:rsid w:val="00B315EE"/>
    <w:rsid w:val="00B3289A"/>
    <w:rsid w:val="00B37213"/>
    <w:rsid w:val="00B60420"/>
    <w:rsid w:val="00B61A6D"/>
    <w:rsid w:val="00B8011C"/>
    <w:rsid w:val="00B9778B"/>
    <w:rsid w:val="00BA027D"/>
    <w:rsid w:val="00BC7A01"/>
    <w:rsid w:val="00BF257B"/>
    <w:rsid w:val="00BF3F02"/>
    <w:rsid w:val="00BF7A70"/>
    <w:rsid w:val="00C0006B"/>
    <w:rsid w:val="00C047CC"/>
    <w:rsid w:val="00C07024"/>
    <w:rsid w:val="00C144CA"/>
    <w:rsid w:val="00C20451"/>
    <w:rsid w:val="00C25285"/>
    <w:rsid w:val="00C53907"/>
    <w:rsid w:val="00C5745B"/>
    <w:rsid w:val="00C840DC"/>
    <w:rsid w:val="00C913C2"/>
    <w:rsid w:val="00CA6C26"/>
    <w:rsid w:val="00CC08F9"/>
    <w:rsid w:val="00CC25D4"/>
    <w:rsid w:val="00CD4C00"/>
    <w:rsid w:val="00CF683D"/>
    <w:rsid w:val="00CF729F"/>
    <w:rsid w:val="00D12872"/>
    <w:rsid w:val="00D13693"/>
    <w:rsid w:val="00D1416D"/>
    <w:rsid w:val="00D25185"/>
    <w:rsid w:val="00D57308"/>
    <w:rsid w:val="00D60295"/>
    <w:rsid w:val="00D66AAB"/>
    <w:rsid w:val="00D8601F"/>
    <w:rsid w:val="00DB5B9E"/>
    <w:rsid w:val="00DC320D"/>
    <w:rsid w:val="00E04DE7"/>
    <w:rsid w:val="00E062A5"/>
    <w:rsid w:val="00E261C1"/>
    <w:rsid w:val="00E33C76"/>
    <w:rsid w:val="00E344AB"/>
    <w:rsid w:val="00E37C0F"/>
    <w:rsid w:val="00E41808"/>
    <w:rsid w:val="00E4297E"/>
    <w:rsid w:val="00E46578"/>
    <w:rsid w:val="00E52609"/>
    <w:rsid w:val="00E53E6D"/>
    <w:rsid w:val="00E63A47"/>
    <w:rsid w:val="00E922A7"/>
    <w:rsid w:val="00E92725"/>
    <w:rsid w:val="00EB13D8"/>
    <w:rsid w:val="00EB1B7A"/>
    <w:rsid w:val="00ED08F2"/>
    <w:rsid w:val="00ED559C"/>
    <w:rsid w:val="00EF0C56"/>
    <w:rsid w:val="00EF14C9"/>
    <w:rsid w:val="00F03821"/>
    <w:rsid w:val="00F110E3"/>
    <w:rsid w:val="00F11E07"/>
    <w:rsid w:val="00F14106"/>
    <w:rsid w:val="00F24595"/>
    <w:rsid w:val="00F356B8"/>
    <w:rsid w:val="00F45BDA"/>
    <w:rsid w:val="00F51135"/>
    <w:rsid w:val="00F63E2B"/>
    <w:rsid w:val="00F77423"/>
    <w:rsid w:val="00F947A8"/>
    <w:rsid w:val="00F964C6"/>
    <w:rsid w:val="00FB6B7F"/>
    <w:rsid w:val="00FC29E2"/>
    <w:rsid w:val="00FC2BE0"/>
    <w:rsid w:val="00FC67A8"/>
    <w:rsid w:val="00FE618B"/>
    <w:rsid w:val="00FF3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F6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C0006B"/>
    <w:pPr>
      <w:spacing w:after="0" w:line="240" w:lineRule="auto"/>
      <w:ind w:firstLine="567"/>
      <w:jc w:val="both"/>
    </w:pPr>
    <w:rPr>
      <w:rFonts w:ascii="Times New Roman" w:eastAsia="Times New Roman" w:hAnsi="Times New Roman"/>
      <w:sz w:val="24"/>
      <w:szCs w:val="24"/>
      <w:lang w:eastAsia="ru-RU"/>
    </w:rPr>
  </w:style>
  <w:style w:type="paragraph" w:styleId="a4">
    <w:name w:val="List Paragraph"/>
    <w:basedOn w:val="a"/>
    <w:uiPriority w:val="99"/>
    <w:qFormat/>
    <w:rsid w:val="004C2DDE"/>
    <w:pPr>
      <w:ind w:left="720"/>
      <w:contextualSpacing/>
    </w:pPr>
  </w:style>
  <w:style w:type="table" w:styleId="a5">
    <w:name w:val="Table Grid"/>
    <w:basedOn w:val="a1"/>
    <w:uiPriority w:val="99"/>
    <w:rsid w:val="00E062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D860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D8601F"/>
    <w:rPr>
      <w:rFonts w:ascii="Tahoma" w:hAnsi="Tahoma" w:cs="Tahoma"/>
      <w:sz w:val="16"/>
      <w:szCs w:val="16"/>
    </w:rPr>
  </w:style>
  <w:style w:type="paragraph" w:customStyle="1" w:styleId="Default">
    <w:name w:val="Default"/>
    <w:uiPriority w:val="99"/>
    <w:rsid w:val="00476EF6"/>
    <w:pPr>
      <w:autoSpaceDE w:val="0"/>
      <w:autoSpaceDN w:val="0"/>
      <w:adjustRightInd w:val="0"/>
    </w:pPr>
    <w:rPr>
      <w:rFonts w:ascii="EUAlbertina" w:hAnsi="EUAlbertina" w:cs="EUAlbertina"/>
      <w:color w:val="000000"/>
      <w:sz w:val="24"/>
      <w:szCs w:val="24"/>
    </w:rPr>
  </w:style>
  <w:style w:type="paragraph" w:customStyle="1" w:styleId="tt">
    <w:name w:val="tt"/>
    <w:basedOn w:val="a"/>
    <w:uiPriority w:val="99"/>
    <w:rsid w:val="00476EF6"/>
    <w:pPr>
      <w:spacing w:after="0" w:line="240" w:lineRule="auto"/>
      <w:jc w:val="center"/>
    </w:pPr>
    <w:rPr>
      <w:rFonts w:ascii="Times New Roman" w:hAnsi="Times New Roman"/>
      <w:b/>
      <w:bCs/>
      <w:sz w:val="24"/>
      <w:szCs w:val="24"/>
      <w:lang w:eastAsia="ru-RU"/>
    </w:rPr>
  </w:style>
  <w:style w:type="paragraph" w:customStyle="1" w:styleId="cn">
    <w:name w:val="cn"/>
    <w:basedOn w:val="a"/>
    <w:uiPriority w:val="99"/>
    <w:rsid w:val="00476EF6"/>
    <w:pPr>
      <w:spacing w:after="0" w:line="240" w:lineRule="auto"/>
      <w:jc w:val="center"/>
    </w:pPr>
    <w:rPr>
      <w:rFonts w:ascii="Times New Roman" w:hAnsi="Times New Roman"/>
      <w:sz w:val="24"/>
      <w:szCs w:val="24"/>
      <w:lang w:eastAsia="ru-RU"/>
    </w:rPr>
  </w:style>
  <w:style w:type="paragraph" w:styleId="a8">
    <w:name w:val="No Spacing"/>
    <w:uiPriority w:val="99"/>
    <w:qFormat/>
    <w:rsid w:val="00C07024"/>
    <w:rPr>
      <w:rFonts w:ascii="Times New Roman" w:eastAsia="Times New Roman" w:hAnsi="Times New Roman"/>
      <w:sz w:val="24"/>
      <w:szCs w:val="24"/>
    </w:rPr>
  </w:style>
  <w:style w:type="paragraph" w:customStyle="1" w:styleId="CM1">
    <w:name w:val="CM1"/>
    <w:basedOn w:val="a"/>
    <w:next w:val="a"/>
    <w:uiPriority w:val="99"/>
    <w:rsid w:val="00C07024"/>
    <w:pPr>
      <w:autoSpaceDE w:val="0"/>
      <w:autoSpaceDN w:val="0"/>
      <w:adjustRightInd w:val="0"/>
      <w:spacing w:after="0" w:line="240" w:lineRule="auto"/>
    </w:pPr>
    <w:rPr>
      <w:rFonts w:ascii="EUAlbertina" w:hAnsi="EUAlbertina"/>
      <w:sz w:val="24"/>
      <w:szCs w:val="24"/>
      <w:lang w:eastAsia="ru-RU"/>
    </w:rPr>
  </w:style>
  <w:style w:type="paragraph" w:styleId="a9">
    <w:name w:val="footer"/>
    <w:basedOn w:val="a"/>
    <w:link w:val="aa"/>
    <w:uiPriority w:val="99"/>
    <w:rsid w:val="00ED08F2"/>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lang w:eastAsia="en-US"/>
    </w:rPr>
  </w:style>
  <w:style w:type="character" w:styleId="ab">
    <w:name w:val="page number"/>
    <w:basedOn w:val="a0"/>
    <w:uiPriority w:val="99"/>
    <w:rsid w:val="00ED08F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F6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C0006B"/>
    <w:pPr>
      <w:spacing w:after="0" w:line="240" w:lineRule="auto"/>
      <w:ind w:firstLine="567"/>
      <w:jc w:val="both"/>
    </w:pPr>
    <w:rPr>
      <w:rFonts w:ascii="Times New Roman" w:eastAsia="Times New Roman" w:hAnsi="Times New Roman"/>
      <w:sz w:val="24"/>
      <w:szCs w:val="24"/>
      <w:lang w:eastAsia="ru-RU"/>
    </w:rPr>
  </w:style>
  <w:style w:type="paragraph" w:styleId="a4">
    <w:name w:val="List Paragraph"/>
    <w:basedOn w:val="a"/>
    <w:uiPriority w:val="99"/>
    <w:qFormat/>
    <w:rsid w:val="004C2DDE"/>
    <w:pPr>
      <w:ind w:left="720"/>
      <w:contextualSpacing/>
    </w:pPr>
  </w:style>
  <w:style w:type="table" w:styleId="a5">
    <w:name w:val="Table Grid"/>
    <w:basedOn w:val="a1"/>
    <w:uiPriority w:val="99"/>
    <w:rsid w:val="00E062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D860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D8601F"/>
    <w:rPr>
      <w:rFonts w:ascii="Tahoma" w:hAnsi="Tahoma" w:cs="Tahoma"/>
      <w:sz w:val="16"/>
      <w:szCs w:val="16"/>
    </w:rPr>
  </w:style>
  <w:style w:type="paragraph" w:customStyle="1" w:styleId="Default">
    <w:name w:val="Default"/>
    <w:uiPriority w:val="99"/>
    <w:rsid w:val="00476EF6"/>
    <w:pPr>
      <w:autoSpaceDE w:val="0"/>
      <w:autoSpaceDN w:val="0"/>
      <w:adjustRightInd w:val="0"/>
    </w:pPr>
    <w:rPr>
      <w:rFonts w:ascii="EUAlbertina" w:hAnsi="EUAlbertina" w:cs="EUAlbertina"/>
      <w:color w:val="000000"/>
      <w:sz w:val="24"/>
      <w:szCs w:val="24"/>
    </w:rPr>
  </w:style>
  <w:style w:type="paragraph" w:customStyle="1" w:styleId="tt">
    <w:name w:val="tt"/>
    <w:basedOn w:val="a"/>
    <w:uiPriority w:val="99"/>
    <w:rsid w:val="00476EF6"/>
    <w:pPr>
      <w:spacing w:after="0" w:line="240" w:lineRule="auto"/>
      <w:jc w:val="center"/>
    </w:pPr>
    <w:rPr>
      <w:rFonts w:ascii="Times New Roman" w:hAnsi="Times New Roman"/>
      <w:b/>
      <w:bCs/>
      <w:sz w:val="24"/>
      <w:szCs w:val="24"/>
      <w:lang w:eastAsia="ru-RU"/>
    </w:rPr>
  </w:style>
  <w:style w:type="paragraph" w:customStyle="1" w:styleId="cn">
    <w:name w:val="cn"/>
    <w:basedOn w:val="a"/>
    <w:uiPriority w:val="99"/>
    <w:rsid w:val="00476EF6"/>
    <w:pPr>
      <w:spacing w:after="0" w:line="240" w:lineRule="auto"/>
      <w:jc w:val="center"/>
    </w:pPr>
    <w:rPr>
      <w:rFonts w:ascii="Times New Roman" w:hAnsi="Times New Roman"/>
      <w:sz w:val="24"/>
      <w:szCs w:val="24"/>
      <w:lang w:eastAsia="ru-RU"/>
    </w:rPr>
  </w:style>
  <w:style w:type="paragraph" w:styleId="a8">
    <w:name w:val="No Spacing"/>
    <w:uiPriority w:val="99"/>
    <w:qFormat/>
    <w:rsid w:val="00C07024"/>
    <w:rPr>
      <w:rFonts w:ascii="Times New Roman" w:eastAsia="Times New Roman" w:hAnsi="Times New Roman"/>
      <w:sz w:val="24"/>
      <w:szCs w:val="24"/>
    </w:rPr>
  </w:style>
  <w:style w:type="paragraph" w:customStyle="1" w:styleId="CM1">
    <w:name w:val="CM1"/>
    <w:basedOn w:val="a"/>
    <w:next w:val="a"/>
    <w:uiPriority w:val="99"/>
    <w:rsid w:val="00C07024"/>
    <w:pPr>
      <w:autoSpaceDE w:val="0"/>
      <w:autoSpaceDN w:val="0"/>
      <w:adjustRightInd w:val="0"/>
      <w:spacing w:after="0" w:line="240" w:lineRule="auto"/>
    </w:pPr>
    <w:rPr>
      <w:rFonts w:ascii="EUAlbertina" w:hAnsi="EUAlbertina"/>
      <w:sz w:val="24"/>
      <w:szCs w:val="24"/>
      <w:lang w:eastAsia="ru-RU"/>
    </w:rPr>
  </w:style>
  <w:style w:type="paragraph" w:styleId="a9">
    <w:name w:val="footer"/>
    <w:basedOn w:val="a"/>
    <w:link w:val="aa"/>
    <w:uiPriority w:val="99"/>
    <w:rsid w:val="00ED08F2"/>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lang w:eastAsia="en-US"/>
    </w:rPr>
  </w:style>
  <w:style w:type="character" w:styleId="ab">
    <w:name w:val="page number"/>
    <w:basedOn w:val="a0"/>
    <w:uiPriority w:val="99"/>
    <w:rsid w:val="00ED08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693970">
      <w:marLeft w:val="0"/>
      <w:marRight w:val="0"/>
      <w:marTop w:val="0"/>
      <w:marBottom w:val="0"/>
      <w:divBdr>
        <w:top w:val="none" w:sz="0" w:space="0" w:color="auto"/>
        <w:left w:val="none" w:sz="0" w:space="0" w:color="auto"/>
        <w:bottom w:val="none" w:sz="0" w:space="0" w:color="auto"/>
        <w:right w:val="none" w:sz="0" w:space="0" w:color="auto"/>
      </w:divBdr>
    </w:div>
    <w:div w:id="1178693971">
      <w:marLeft w:val="0"/>
      <w:marRight w:val="0"/>
      <w:marTop w:val="0"/>
      <w:marBottom w:val="0"/>
      <w:divBdr>
        <w:top w:val="none" w:sz="0" w:space="0" w:color="auto"/>
        <w:left w:val="none" w:sz="0" w:space="0" w:color="auto"/>
        <w:bottom w:val="none" w:sz="0" w:space="0" w:color="auto"/>
        <w:right w:val="none" w:sz="0" w:space="0" w:color="auto"/>
      </w:divBdr>
    </w:div>
    <w:div w:id="1178693972">
      <w:marLeft w:val="0"/>
      <w:marRight w:val="0"/>
      <w:marTop w:val="0"/>
      <w:marBottom w:val="0"/>
      <w:divBdr>
        <w:top w:val="none" w:sz="0" w:space="0" w:color="auto"/>
        <w:left w:val="none" w:sz="0" w:space="0" w:color="auto"/>
        <w:bottom w:val="none" w:sz="0" w:space="0" w:color="auto"/>
        <w:right w:val="none" w:sz="0" w:space="0" w:color="auto"/>
      </w:divBdr>
    </w:div>
    <w:div w:id="1178693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4813</Words>
  <Characters>27437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TITLUL: Analiza preliminară a impactului de reglementare efectuată pentru proiectul Hotărîrii Guvernului pentru aprobarea Reglementării tehnice „Compatibilitatea electromagnetică a echipamentelor”</vt:lpstr>
    </vt:vector>
  </TitlesOfParts>
  <Company>SPecialiST RePack</Company>
  <LinksUpToDate>false</LinksUpToDate>
  <CharactersWithSpaces>32186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TITLUL: Analiza preliminară a impactului de reglementare efectuată pentru proiectul Hotărîrii Guvernului pentru aprobarea Reglementării tehnice „Compatibilitatea electromagnetică a echipamentelor”</dc:title>
  <dc:subject/>
  <dc:creator>Admin</dc:creator>
  <cp:keywords/>
  <dc:description/>
  <cp:lastModifiedBy>Admin</cp:lastModifiedBy>
  <cp:revision>2</cp:revision>
  <cp:lastPrinted>2015-03-31T11:09:00Z</cp:lastPrinted>
  <dcterms:created xsi:type="dcterms:W3CDTF">2015-09-10T13:43:00Z</dcterms:created>
  <dcterms:modified xsi:type="dcterms:W3CDTF">2015-09-10T13:43:00Z</dcterms:modified>
</cp:coreProperties>
</file>