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72" w:rsidRDefault="00713472" w:rsidP="00713472">
      <w:pPr>
        <w:tabs>
          <w:tab w:val="left" w:pos="5103"/>
          <w:tab w:val="left" w:pos="10348"/>
        </w:tabs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2707640</wp:posOffset>
            </wp:positionH>
            <wp:positionV relativeFrom="paragraph">
              <wp:posOffset>140970</wp:posOffset>
            </wp:positionV>
            <wp:extent cx="561975" cy="609600"/>
            <wp:effectExtent l="19050" t="0" r="9525" b="0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472" w:rsidRDefault="00713472" w:rsidP="00713472">
      <w:pPr>
        <w:pStyle w:val="4"/>
        <w:tabs>
          <w:tab w:val="clear" w:pos="8222"/>
          <w:tab w:val="left" w:pos="10348"/>
        </w:tabs>
        <w:ind w:right="-284"/>
        <w:rPr>
          <w:sz w:val="22"/>
          <w:szCs w:val="24"/>
        </w:rPr>
      </w:pPr>
      <w:r>
        <w:t xml:space="preserve">     MINISTERUL</w:t>
      </w:r>
      <w:r w:rsidRPr="00713472">
        <w:t xml:space="preserve"> </w:t>
      </w:r>
      <w:r>
        <w:rPr>
          <w:bCs/>
        </w:rPr>
        <w:t>FINANŢELOR</w:t>
      </w:r>
      <w:r>
        <w:tab/>
        <w:t xml:space="preserve">           МИНИСТЕРСТВ</w:t>
      </w:r>
      <w:r w:rsidRPr="00713472">
        <w:t>О ФИНАНСОВ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ФИНАНСОВ</w:t>
      </w:r>
    </w:p>
    <w:p w:rsidR="00713472" w:rsidRDefault="00713472" w:rsidP="00713472">
      <w:pPr>
        <w:rPr>
          <w:b/>
          <w:bCs/>
          <w:sz w:val="22"/>
          <w:lang w:val="ro-RO"/>
        </w:rPr>
      </w:pPr>
      <w:r>
        <w:rPr>
          <w:b/>
          <w:bCs/>
          <w:sz w:val="22"/>
          <w:lang w:val="ro-RO"/>
        </w:rPr>
        <w:t xml:space="preserve">    </w:t>
      </w:r>
      <w:r>
        <w:rPr>
          <w:b/>
          <w:bCs/>
          <w:sz w:val="22"/>
          <w:lang w:val="ro-RO"/>
        </w:rPr>
        <w:tab/>
      </w:r>
      <w:r>
        <w:rPr>
          <w:b/>
          <w:bCs/>
          <w:sz w:val="22"/>
          <w:lang w:val="ro-RO"/>
        </w:rPr>
        <w:tab/>
      </w:r>
      <w:r>
        <w:rPr>
          <w:b/>
          <w:bCs/>
          <w:sz w:val="22"/>
          <w:lang w:val="ro-RO"/>
        </w:rPr>
        <w:tab/>
      </w:r>
    </w:p>
    <w:p w:rsidR="00713472" w:rsidRDefault="00713472" w:rsidP="00713472">
      <w:pPr>
        <w:pStyle w:val="4"/>
        <w:rPr>
          <w:sz w:val="22"/>
        </w:rPr>
      </w:pPr>
      <w:r>
        <w:rPr>
          <w:sz w:val="22"/>
        </w:rPr>
        <w:t xml:space="preserve">         AL REPUBLICII MOLDOVA                                               РЕСПУБЛИКИ МОЛДОВA</w:t>
      </w:r>
    </w:p>
    <w:p w:rsidR="00713472" w:rsidRDefault="00713472" w:rsidP="00713472">
      <w:pPr>
        <w:rPr>
          <w:lang w:val="ro-RO"/>
        </w:rPr>
      </w:pPr>
    </w:p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F536BA" w:rsidRPr="0009382E" w:rsidRDefault="00F536BA" w:rsidP="00713472">
      <w:pPr>
        <w:jc w:val="center"/>
        <w:rPr>
          <w:sz w:val="22"/>
          <w:lang w:val="en-US"/>
        </w:rPr>
      </w:pPr>
    </w:p>
    <w:p w:rsidR="00713472" w:rsidRDefault="00736040" w:rsidP="00713472">
      <w:pPr>
        <w:rPr>
          <w:sz w:val="28"/>
          <w:lang w:val="ro-RO"/>
        </w:rPr>
      </w:pPr>
      <w:r>
        <w:rPr>
          <w:b/>
          <w:bCs/>
          <w:sz w:val="28"/>
          <w:lang w:val="ro-RO"/>
        </w:rPr>
        <w:t xml:space="preserve">   </w:t>
      </w:r>
      <w:r w:rsidR="00713472">
        <w:rPr>
          <w:b/>
          <w:bCs/>
          <w:sz w:val="28"/>
          <w:lang w:val="ro-RO"/>
        </w:rPr>
        <w:t>__</w:t>
      </w:r>
      <w:r w:rsidR="009871A4">
        <w:rPr>
          <w:b/>
          <w:bCs/>
          <w:sz w:val="28"/>
          <w:lang w:val="ro-RO"/>
        </w:rPr>
        <w:t xml:space="preserve">   </w:t>
      </w:r>
      <w:r w:rsidR="00713472">
        <w:rPr>
          <w:b/>
          <w:bCs/>
          <w:sz w:val="28"/>
          <w:lang w:val="ro-RO"/>
        </w:rPr>
        <w:t>_______</w:t>
      </w:r>
      <w:r w:rsidR="00713472">
        <w:rPr>
          <w:sz w:val="28"/>
          <w:lang w:val="ro-RO"/>
        </w:rPr>
        <w:t>__</w:t>
      </w:r>
      <w:r w:rsidR="009871A4">
        <w:rPr>
          <w:sz w:val="28"/>
          <w:lang w:val="ro-RO"/>
        </w:rPr>
        <w:t xml:space="preserve">   </w:t>
      </w:r>
      <w:r w:rsidR="009569BB" w:rsidRPr="009569BB">
        <w:rPr>
          <w:sz w:val="22"/>
          <w:szCs w:val="22"/>
          <w:lang w:val="ro-RO"/>
        </w:rPr>
        <w:t>2015</w:t>
      </w:r>
      <w:r w:rsidR="009871A4" w:rsidRPr="009569BB">
        <w:rPr>
          <w:sz w:val="22"/>
          <w:szCs w:val="22"/>
          <w:lang w:val="ro-RO"/>
        </w:rPr>
        <w:t xml:space="preserve"> </w:t>
      </w:r>
      <w:r w:rsidR="00713472" w:rsidRPr="009569BB"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 xml:space="preserve">   </w:t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713472">
        <w:rPr>
          <w:sz w:val="22"/>
          <w:lang w:val="ro-RO"/>
        </w:rPr>
        <w:tab/>
      </w:r>
      <w:r w:rsidR="009569BB">
        <w:rPr>
          <w:sz w:val="22"/>
          <w:lang w:val="ro-RO"/>
        </w:rPr>
        <w:t xml:space="preserve">                       </w:t>
      </w:r>
      <w:r>
        <w:rPr>
          <w:sz w:val="22"/>
          <w:lang w:val="ro-RO"/>
        </w:rPr>
        <w:t xml:space="preserve">                                           </w:t>
      </w:r>
      <w:r w:rsidR="009569BB">
        <w:rPr>
          <w:sz w:val="22"/>
          <w:lang w:val="ro-RO"/>
        </w:rPr>
        <w:t xml:space="preserve">  n</w:t>
      </w:r>
      <w:r w:rsidR="00713472">
        <w:rPr>
          <w:sz w:val="22"/>
          <w:lang w:val="ro-RO"/>
        </w:rPr>
        <w:t>r.</w:t>
      </w:r>
      <w:r w:rsidR="00713472">
        <w:rPr>
          <w:sz w:val="28"/>
          <w:lang w:val="ro-RO"/>
        </w:rPr>
        <w:t>___</w:t>
      </w:r>
    </w:p>
    <w:p w:rsidR="005610A5" w:rsidRDefault="005610A5" w:rsidP="005610A5">
      <w:pPr>
        <w:ind w:firstLine="720"/>
        <w:jc w:val="both"/>
        <w:rPr>
          <w:lang w:val="ro-RO"/>
        </w:rPr>
      </w:pPr>
    </w:p>
    <w:p w:rsidR="00F842F2" w:rsidRDefault="00F842F2" w:rsidP="006341BB">
      <w:pPr>
        <w:rPr>
          <w:b/>
          <w:bCs/>
          <w:sz w:val="28"/>
          <w:szCs w:val="28"/>
          <w:lang w:val="en-US"/>
        </w:rPr>
      </w:pPr>
    </w:p>
    <w:p w:rsidR="001146B2" w:rsidRDefault="006341BB" w:rsidP="006341BB">
      <w:pPr>
        <w:rPr>
          <w:b/>
          <w:bCs/>
          <w:sz w:val="28"/>
          <w:szCs w:val="28"/>
          <w:lang w:val="en-US"/>
        </w:rPr>
      </w:pPr>
      <w:r w:rsidRPr="00276DBE">
        <w:rPr>
          <w:b/>
          <w:bCs/>
          <w:sz w:val="28"/>
          <w:szCs w:val="28"/>
          <w:lang w:val="en-US"/>
        </w:rPr>
        <w:t>Cu privire la modific</w:t>
      </w:r>
      <w:r w:rsidR="00276DBE" w:rsidRPr="00276DBE">
        <w:rPr>
          <w:b/>
          <w:bCs/>
          <w:sz w:val="28"/>
          <w:szCs w:val="28"/>
          <w:lang w:val="en-US"/>
        </w:rPr>
        <w:t>area</w:t>
      </w:r>
      <w:r w:rsidRPr="00276DBE">
        <w:rPr>
          <w:b/>
          <w:bCs/>
          <w:sz w:val="28"/>
          <w:szCs w:val="28"/>
          <w:lang w:val="en-US"/>
        </w:rPr>
        <w:t xml:space="preserve"> </w:t>
      </w:r>
      <w:r w:rsidR="00276DBE" w:rsidRPr="00276DBE">
        <w:rPr>
          <w:b/>
          <w:bCs/>
          <w:sz w:val="28"/>
          <w:szCs w:val="28"/>
          <w:lang w:val="en-US"/>
        </w:rPr>
        <w:t xml:space="preserve">Anexei nr.1 </w:t>
      </w:r>
    </w:p>
    <w:p w:rsidR="006341BB" w:rsidRPr="00276DBE" w:rsidRDefault="00276DBE" w:rsidP="006341BB">
      <w:pPr>
        <w:rPr>
          <w:sz w:val="28"/>
          <w:szCs w:val="28"/>
          <w:lang w:val="en-US"/>
        </w:rPr>
      </w:pPr>
      <w:r w:rsidRPr="00276DBE">
        <w:rPr>
          <w:b/>
          <w:bCs/>
          <w:sz w:val="28"/>
          <w:szCs w:val="28"/>
          <w:lang w:val="en-US"/>
        </w:rPr>
        <w:t xml:space="preserve">la </w:t>
      </w:r>
      <w:r w:rsidR="006341BB" w:rsidRPr="00276DBE">
        <w:rPr>
          <w:b/>
          <w:bCs/>
          <w:sz w:val="28"/>
          <w:szCs w:val="28"/>
          <w:lang w:val="en-US"/>
        </w:rPr>
        <w:t xml:space="preserve">Ordinul nr. </w:t>
      </w:r>
      <w:r w:rsidRPr="00276DBE">
        <w:rPr>
          <w:b/>
          <w:bCs/>
          <w:sz w:val="28"/>
          <w:szCs w:val="28"/>
          <w:lang w:val="en-US"/>
        </w:rPr>
        <w:t>61</w:t>
      </w:r>
      <w:r w:rsidR="006341BB" w:rsidRPr="00276DBE">
        <w:rPr>
          <w:b/>
          <w:bCs/>
          <w:sz w:val="28"/>
          <w:szCs w:val="28"/>
          <w:lang w:val="en-US"/>
        </w:rPr>
        <w:t xml:space="preserve"> din </w:t>
      </w:r>
      <w:r w:rsidRPr="00276DBE">
        <w:rPr>
          <w:b/>
          <w:bCs/>
          <w:sz w:val="28"/>
          <w:szCs w:val="28"/>
          <w:lang w:val="en-US"/>
        </w:rPr>
        <w:t>4</w:t>
      </w:r>
      <w:r w:rsidR="006341BB" w:rsidRPr="00276DBE">
        <w:rPr>
          <w:b/>
          <w:bCs/>
          <w:sz w:val="28"/>
          <w:szCs w:val="28"/>
          <w:lang w:val="en-US"/>
        </w:rPr>
        <w:t xml:space="preserve"> iu</w:t>
      </w:r>
      <w:r w:rsidRPr="00276DBE">
        <w:rPr>
          <w:b/>
          <w:bCs/>
          <w:sz w:val="28"/>
          <w:szCs w:val="28"/>
          <w:lang w:val="en-US"/>
        </w:rPr>
        <w:t>n</w:t>
      </w:r>
      <w:r w:rsidR="006341BB" w:rsidRPr="00276DBE">
        <w:rPr>
          <w:b/>
          <w:bCs/>
          <w:sz w:val="28"/>
          <w:szCs w:val="28"/>
          <w:lang w:val="en-US"/>
        </w:rPr>
        <w:t>ie 201</w:t>
      </w:r>
      <w:r w:rsidRPr="00276DBE">
        <w:rPr>
          <w:b/>
          <w:bCs/>
          <w:sz w:val="28"/>
          <w:szCs w:val="28"/>
          <w:lang w:val="en-US"/>
        </w:rPr>
        <w:t>2</w:t>
      </w:r>
    </w:p>
    <w:p w:rsidR="006341BB" w:rsidRDefault="006341BB" w:rsidP="006341BB">
      <w:pPr>
        <w:jc w:val="right"/>
        <w:rPr>
          <w:sz w:val="28"/>
          <w:szCs w:val="28"/>
          <w:lang w:val="en-US"/>
        </w:rPr>
      </w:pPr>
    </w:p>
    <w:p w:rsidR="00F842F2" w:rsidRPr="006341BB" w:rsidRDefault="00F842F2" w:rsidP="006341BB">
      <w:pPr>
        <w:jc w:val="right"/>
        <w:rPr>
          <w:sz w:val="28"/>
          <w:szCs w:val="28"/>
          <w:lang w:val="en-US"/>
        </w:rPr>
      </w:pPr>
    </w:p>
    <w:p w:rsidR="006341BB" w:rsidRPr="00FA5D96" w:rsidRDefault="006341BB" w:rsidP="006341BB">
      <w:pPr>
        <w:pStyle w:val="a6"/>
        <w:rPr>
          <w:sz w:val="28"/>
          <w:szCs w:val="28"/>
          <w:lang w:val="ro-RO"/>
        </w:rPr>
      </w:pPr>
      <w:r w:rsidRPr="00FA5D96">
        <w:rPr>
          <w:sz w:val="28"/>
          <w:szCs w:val="28"/>
          <w:lang w:val="ro-RO"/>
        </w:rPr>
        <w:t xml:space="preserve">Întru executarea prevederilor art. 27 alin.(3) lit. a) al Legii nr.61-XVI din 16 martie 2007 privind activitatea de audit (republicată în Monitorul Oficial al Republicii Moldova, 2012, nr.72-75, art.230), cu modificările şi completările ulterioare, </w:t>
      </w:r>
    </w:p>
    <w:p w:rsidR="00DB2303" w:rsidRDefault="00DB2303" w:rsidP="006341BB">
      <w:pPr>
        <w:spacing w:line="360" w:lineRule="auto"/>
        <w:ind w:firstLine="567"/>
        <w:jc w:val="center"/>
        <w:rPr>
          <w:b/>
          <w:bCs/>
          <w:sz w:val="28"/>
          <w:szCs w:val="28"/>
          <w:lang w:val="ro-MO"/>
        </w:rPr>
      </w:pPr>
    </w:p>
    <w:p w:rsidR="006341BB" w:rsidRDefault="006341BB" w:rsidP="006341BB">
      <w:pPr>
        <w:spacing w:line="360" w:lineRule="auto"/>
        <w:ind w:firstLine="567"/>
        <w:jc w:val="center"/>
        <w:rPr>
          <w:b/>
          <w:bCs/>
          <w:sz w:val="28"/>
          <w:szCs w:val="28"/>
          <w:lang w:val="ro-MO"/>
        </w:rPr>
      </w:pPr>
      <w:r w:rsidRPr="003817E3">
        <w:rPr>
          <w:b/>
          <w:bCs/>
          <w:sz w:val="28"/>
          <w:szCs w:val="28"/>
          <w:lang w:val="ro-MO"/>
        </w:rPr>
        <w:t>O R D O N</w:t>
      </w:r>
      <w:r>
        <w:rPr>
          <w:b/>
          <w:bCs/>
          <w:sz w:val="28"/>
          <w:szCs w:val="28"/>
          <w:lang w:val="ro-MO"/>
        </w:rPr>
        <w:t>:</w:t>
      </w:r>
    </w:p>
    <w:p w:rsidR="00DB2303" w:rsidRPr="003817E3" w:rsidRDefault="00DB2303" w:rsidP="006341BB">
      <w:pPr>
        <w:spacing w:line="360" w:lineRule="auto"/>
        <w:ind w:firstLine="567"/>
        <w:jc w:val="center"/>
        <w:rPr>
          <w:b/>
          <w:bCs/>
          <w:sz w:val="28"/>
          <w:szCs w:val="28"/>
          <w:lang w:val="ro-MO"/>
        </w:rPr>
      </w:pPr>
    </w:p>
    <w:p w:rsidR="001146B2" w:rsidRDefault="001146B2" w:rsidP="00DB2303">
      <w:pPr>
        <w:pStyle w:val="a6"/>
        <w:numPr>
          <w:ilvl w:val="0"/>
          <w:numId w:val="11"/>
        </w:numPr>
        <w:ind w:left="0" w:firstLine="492"/>
        <w:rPr>
          <w:rFonts w:eastAsia="SimSun"/>
          <w:bCs/>
          <w:sz w:val="28"/>
          <w:szCs w:val="28"/>
          <w:lang w:val="ro-MO" w:eastAsia="zh-CN"/>
        </w:rPr>
      </w:pPr>
      <w:r>
        <w:rPr>
          <w:rFonts w:eastAsia="SimSun"/>
          <w:bCs/>
          <w:sz w:val="28"/>
          <w:szCs w:val="28"/>
          <w:lang w:val="ro-MO" w:eastAsia="zh-CN"/>
        </w:rPr>
        <w:t>Anexa nr.1 la Ordinul Ministrului Finanțelor nr. 61 din 4 iunie 2012 cu privire la aprobarea unor acte normative în domeniul activității de audit (Monitorul Oficial al Republicii Moldova, 2012, nr. 120-125, art. 697), se modifică după cum urmează:</w:t>
      </w:r>
    </w:p>
    <w:p w:rsidR="001146B2" w:rsidRDefault="001146B2" w:rsidP="001146B2">
      <w:pPr>
        <w:pStyle w:val="a6"/>
        <w:numPr>
          <w:ilvl w:val="0"/>
          <w:numId w:val="9"/>
        </w:numPr>
        <w:rPr>
          <w:rFonts w:eastAsia="SimSun"/>
          <w:bCs/>
          <w:sz w:val="28"/>
          <w:szCs w:val="28"/>
          <w:lang w:val="ro-MO" w:eastAsia="zh-CN"/>
        </w:rPr>
      </w:pPr>
      <w:r>
        <w:rPr>
          <w:rFonts w:eastAsia="SimSun"/>
          <w:bCs/>
          <w:sz w:val="28"/>
          <w:szCs w:val="28"/>
          <w:lang w:val="ro-MO" w:eastAsia="zh-CN"/>
        </w:rPr>
        <w:t>la rubrica 15, cuvintele „încheiate și” se exclud;</w:t>
      </w:r>
    </w:p>
    <w:p w:rsidR="0024363D" w:rsidRDefault="001146B2" w:rsidP="0024363D">
      <w:pPr>
        <w:pStyle w:val="a6"/>
        <w:numPr>
          <w:ilvl w:val="0"/>
          <w:numId w:val="9"/>
        </w:numPr>
        <w:rPr>
          <w:rFonts w:eastAsia="SimSun"/>
          <w:bCs/>
          <w:sz w:val="28"/>
          <w:szCs w:val="28"/>
          <w:lang w:val="ro-MO" w:eastAsia="zh-CN"/>
        </w:rPr>
      </w:pPr>
      <w:r>
        <w:rPr>
          <w:rFonts w:eastAsia="SimSun"/>
          <w:bCs/>
          <w:sz w:val="28"/>
          <w:szCs w:val="28"/>
          <w:lang w:val="ro-MO" w:eastAsia="zh-CN"/>
        </w:rPr>
        <w:t>rubrica 21 va avea următorul cuprins:</w:t>
      </w:r>
    </w:p>
    <w:p w:rsidR="0024363D" w:rsidRPr="0024363D" w:rsidRDefault="00677F9A" w:rsidP="0024363D">
      <w:pPr>
        <w:pStyle w:val="a6"/>
        <w:ind w:firstLine="0"/>
        <w:rPr>
          <w:rFonts w:eastAsia="SimSun"/>
          <w:bCs/>
          <w:sz w:val="28"/>
          <w:szCs w:val="28"/>
          <w:lang w:val="ro-MO" w:eastAsia="zh-CN"/>
        </w:rPr>
      </w:pPr>
      <w:r>
        <w:rPr>
          <w:rFonts w:eastAsia="SimSun"/>
          <w:bCs/>
          <w:sz w:val="28"/>
          <w:szCs w:val="28"/>
          <w:lang w:val="ro-MO" w:eastAsia="zh-CN"/>
        </w:rPr>
        <w:t xml:space="preserve">  </w:t>
      </w:r>
      <w:r w:rsidR="00E661F3">
        <w:rPr>
          <w:rFonts w:eastAsia="SimSun"/>
          <w:bCs/>
          <w:sz w:val="28"/>
          <w:szCs w:val="28"/>
          <w:lang w:val="ro-MO" w:eastAsia="zh-CN"/>
        </w:rPr>
        <w:t xml:space="preserve">    </w:t>
      </w:r>
      <w:r>
        <w:rPr>
          <w:rFonts w:eastAsia="SimSun"/>
          <w:bCs/>
          <w:sz w:val="28"/>
          <w:szCs w:val="28"/>
          <w:lang w:val="ro-MO" w:eastAsia="zh-CN"/>
        </w:rPr>
        <w:t xml:space="preserve"> </w:t>
      </w:r>
      <w:r w:rsidR="0024363D">
        <w:rPr>
          <w:rFonts w:eastAsia="SimSun"/>
          <w:bCs/>
          <w:sz w:val="28"/>
          <w:szCs w:val="28"/>
          <w:lang w:val="ro-MO" w:eastAsia="zh-CN"/>
        </w:rPr>
        <w:t>”</w:t>
      </w:r>
    </w:p>
    <w:tbl>
      <w:tblPr>
        <w:tblStyle w:val="a5"/>
        <w:tblW w:w="0" w:type="auto"/>
        <w:tblInd w:w="675" w:type="dxa"/>
        <w:tblLook w:val="04A0"/>
      </w:tblPr>
      <w:tblGrid>
        <w:gridCol w:w="566"/>
        <w:gridCol w:w="7685"/>
        <w:gridCol w:w="992"/>
      </w:tblGrid>
      <w:tr w:rsidR="006B7B60" w:rsidRPr="006F0208" w:rsidTr="00E661F3">
        <w:tc>
          <w:tcPr>
            <w:tcW w:w="395" w:type="dxa"/>
            <w:vMerge w:val="restart"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  <w:r>
              <w:rPr>
                <w:rFonts w:eastAsia="SimSun"/>
                <w:bCs/>
                <w:sz w:val="28"/>
                <w:szCs w:val="28"/>
                <w:lang w:val="ro-MO" w:eastAsia="zh-CN"/>
              </w:rPr>
              <w:t>21.</w:t>
            </w:r>
          </w:p>
        </w:tc>
        <w:tc>
          <w:tcPr>
            <w:tcW w:w="7685" w:type="dxa"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  <w:r>
              <w:rPr>
                <w:rFonts w:eastAsia="SimSun"/>
                <w:bCs/>
                <w:sz w:val="28"/>
                <w:szCs w:val="28"/>
                <w:lang w:val="ro-MO" w:eastAsia="zh-CN"/>
              </w:rPr>
              <w:t>Venitul din vînzări al perioadei de gestiune, total:</w:t>
            </w:r>
          </w:p>
        </w:tc>
        <w:tc>
          <w:tcPr>
            <w:tcW w:w="992" w:type="dxa"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</w:tr>
      <w:tr w:rsidR="006B7B60" w:rsidRPr="006F0208" w:rsidTr="00E661F3">
        <w:tc>
          <w:tcPr>
            <w:tcW w:w="395" w:type="dxa"/>
            <w:vMerge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  <w:tc>
          <w:tcPr>
            <w:tcW w:w="7685" w:type="dxa"/>
          </w:tcPr>
          <w:p w:rsidR="006B7B60" w:rsidRPr="00857472" w:rsidRDefault="006B7B60" w:rsidP="0085747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Cs/>
                <w:sz w:val="28"/>
                <w:szCs w:val="28"/>
                <w:lang w:val="ro-MO" w:eastAsia="zh-CN"/>
              </w:rPr>
              <w:t>inclusiv din activitatea de audit,</w:t>
            </w:r>
            <w:r w:rsidR="00857472">
              <w:rPr>
                <w:rFonts w:eastAsia="SimSun"/>
                <w:bCs/>
                <w:sz w:val="28"/>
                <w:szCs w:val="28"/>
                <w:lang w:val="ro-MO" w:eastAsia="zh-CN"/>
              </w:rPr>
              <w:t xml:space="preserve"> din care</w:t>
            </w:r>
            <w:r w:rsidR="00857472">
              <w:rPr>
                <w:rFonts w:eastAsia="SimSun"/>
                <w:bCs/>
                <w:sz w:val="28"/>
                <w:szCs w:val="28"/>
                <w:lang w:val="ro-RO" w:eastAsia="zh-CN"/>
              </w:rPr>
              <w:t>:</w:t>
            </w:r>
          </w:p>
        </w:tc>
        <w:tc>
          <w:tcPr>
            <w:tcW w:w="992" w:type="dxa"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</w:tr>
      <w:tr w:rsidR="006B7B60" w:rsidRPr="006F0208" w:rsidTr="00E661F3">
        <w:tc>
          <w:tcPr>
            <w:tcW w:w="395" w:type="dxa"/>
            <w:vMerge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  <w:tc>
          <w:tcPr>
            <w:tcW w:w="7685" w:type="dxa"/>
          </w:tcPr>
          <w:p w:rsidR="006B7B60" w:rsidRDefault="006B7B60" w:rsidP="0085747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  <w:r>
              <w:rPr>
                <w:rFonts w:eastAsia="SimSun"/>
                <w:bCs/>
                <w:sz w:val="28"/>
                <w:szCs w:val="28"/>
                <w:lang w:val="ro-MO" w:eastAsia="zh-CN"/>
              </w:rPr>
              <w:t xml:space="preserve">auditul obligatoriu al situațiilor financiare anuale,inclusiv al celor consolidate la: </w:t>
            </w:r>
          </w:p>
        </w:tc>
        <w:tc>
          <w:tcPr>
            <w:tcW w:w="992" w:type="dxa"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</w:tr>
      <w:tr w:rsidR="006B7B60" w:rsidTr="00E661F3">
        <w:tc>
          <w:tcPr>
            <w:tcW w:w="395" w:type="dxa"/>
            <w:vMerge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  <w:tc>
          <w:tcPr>
            <w:tcW w:w="7685" w:type="dxa"/>
          </w:tcPr>
          <w:p w:rsidR="006B7B60" w:rsidRDefault="006B7B60" w:rsidP="006B7B60">
            <w:pPr>
              <w:pStyle w:val="a6"/>
              <w:numPr>
                <w:ilvl w:val="0"/>
                <w:numId w:val="10"/>
              </w:numPr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  <w:r>
              <w:rPr>
                <w:rFonts w:eastAsia="SimSun"/>
                <w:bCs/>
                <w:sz w:val="28"/>
                <w:szCs w:val="28"/>
                <w:lang w:val="ro-MO" w:eastAsia="zh-CN"/>
              </w:rPr>
              <w:t>entități de interes public</w:t>
            </w:r>
          </w:p>
        </w:tc>
        <w:tc>
          <w:tcPr>
            <w:tcW w:w="992" w:type="dxa"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</w:tr>
      <w:tr w:rsidR="006B7B60" w:rsidRPr="006F0208" w:rsidTr="00E661F3">
        <w:tc>
          <w:tcPr>
            <w:tcW w:w="395" w:type="dxa"/>
            <w:vMerge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  <w:tc>
          <w:tcPr>
            <w:tcW w:w="7685" w:type="dxa"/>
          </w:tcPr>
          <w:p w:rsidR="006B7B60" w:rsidRDefault="006B7B60" w:rsidP="006B7B60">
            <w:pPr>
              <w:pStyle w:val="a6"/>
              <w:numPr>
                <w:ilvl w:val="0"/>
                <w:numId w:val="10"/>
              </w:numPr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  <w:r>
              <w:rPr>
                <w:rFonts w:eastAsia="SimSun"/>
                <w:bCs/>
                <w:sz w:val="28"/>
                <w:szCs w:val="28"/>
                <w:lang w:val="ro-MO" w:eastAsia="zh-CN"/>
              </w:rPr>
              <w:t xml:space="preserve">alte entități conform prevederilor legislației în vigoare </w:t>
            </w:r>
          </w:p>
        </w:tc>
        <w:tc>
          <w:tcPr>
            <w:tcW w:w="992" w:type="dxa"/>
          </w:tcPr>
          <w:p w:rsidR="006B7B60" w:rsidRDefault="006B7B60" w:rsidP="001146B2">
            <w:pPr>
              <w:pStyle w:val="a6"/>
              <w:ind w:firstLine="0"/>
              <w:rPr>
                <w:rFonts w:eastAsia="SimSun"/>
                <w:bCs/>
                <w:sz w:val="28"/>
                <w:szCs w:val="28"/>
                <w:lang w:val="ro-MO" w:eastAsia="zh-CN"/>
              </w:rPr>
            </w:pPr>
          </w:p>
        </w:tc>
      </w:tr>
    </w:tbl>
    <w:p w:rsidR="001146B2" w:rsidRDefault="0024363D" w:rsidP="0024363D">
      <w:pPr>
        <w:pStyle w:val="a6"/>
        <w:ind w:left="504" w:firstLine="0"/>
        <w:rPr>
          <w:rFonts w:eastAsia="SimSun"/>
          <w:bCs/>
          <w:sz w:val="28"/>
          <w:szCs w:val="28"/>
          <w:lang w:val="ro-MO" w:eastAsia="zh-CN"/>
        </w:rPr>
      </w:pPr>
      <w:r>
        <w:rPr>
          <w:rFonts w:eastAsia="SimSun"/>
          <w:bCs/>
          <w:sz w:val="28"/>
          <w:szCs w:val="28"/>
          <w:lang w:val="ro-MO" w:eastAsia="zh-CN"/>
        </w:rPr>
        <w:t xml:space="preserve">                                                                                       </w:t>
      </w:r>
      <w:r w:rsidR="00677F9A">
        <w:rPr>
          <w:rFonts w:eastAsia="SimSun"/>
          <w:bCs/>
          <w:sz w:val="28"/>
          <w:szCs w:val="28"/>
          <w:lang w:val="ro-MO" w:eastAsia="zh-CN"/>
        </w:rPr>
        <w:t xml:space="preserve">                               </w:t>
      </w:r>
      <w:r w:rsidR="00E661F3">
        <w:rPr>
          <w:rFonts w:eastAsia="SimSun"/>
          <w:bCs/>
          <w:sz w:val="28"/>
          <w:szCs w:val="28"/>
          <w:lang w:val="ro-MO" w:eastAsia="zh-CN"/>
        </w:rPr>
        <w:t xml:space="preserve">            </w:t>
      </w:r>
      <w:r>
        <w:rPr>
          <w:rFonts w:eastAsia="SimSun"/>
          <w:bCs/>
          <w:sz w:val="28"/>
          <w:szCs w:val="28"/>
          <w:lang w:val="ro-MO" w:eastAsia="zh-CN"/>
        </w:rPr>
        <w:t>”</w:t>
      </w:r>
    </w:p>
    <w:p w:rsidR="006341BB" w:rsidRPr="00AA72B8" w:rsidRDefault="00DB2303" w:rsidP="00DB2303">
      <w:pPr>
        <w:pStyle w:val="a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6341BB">
        <w:rPr>
          <w:sz w:val="28"/>
          <w:szCs w:val="28"/>
          <w:lang w:val="ro-RO"/>
        </w:rPr>
        <w:t>Prezentul ordin intră în vigoare începînd cu 1 ianuarie 201</w:t>
      </w:r>
      <w:r w:rsidR="00B57EFD">
        <w:rPr>
          <w:sz w:val="28"/>
          <w:szCs w:val="28"/>
          <w:lang w:val="ro-RO"/>
        </w:rPr>
        <w:t>6</w:t>
      </w:r>
      <w:r w:rsidR="006341BB">
        <w:rPr>
          <w:sz w:val="28"/>
          <w:szCs w:val="28"/>
          <w:lang w:val="ro-RO"/>
        </w:rPr>
        <w:t>.</w:t>
      </w:r>
    </w:p>
    <w:p w:rsidR="00F07DBF" w:rsidRDefault="00F07DBF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260BE8" w:rsidRDefault="00260BE8" w:rsidP="00260BE8">
      <w:pPr>
        <w:ind w:left="360"/>
        <w:jc w:val="center"/>
        <w:rPr>
          <w:b/>
          <w:sz w:val="27"/>
          <w:szCs w:val="27"/>
          <w:lang w:val="ro-RO"/>
        </w:rPr>
      </w:pPr>
      <w:r w:rsidRPr="0080037E">
        <w:rPr>
          <w:b/>
          <w:sz w:val="27"/>
          <w:szCs w:val="27"/>
          <w:lang w:val="ro-RO"/>
        </w:rPr>
        <w:t xml:space="preserve">MINISTRU                </w:t>
      </w:r>
      <w:r w:rsidR="00ED7CAF" w:rsidRPr="0080037E">
        <w:rPr>
          <w:b/>
          <w:sz w:val="27"/>
          <w:szCs w:val="27"/>
          <w:lang w:val="ro-RO"/>
        </w:rPr>
        <w:t xml:space="preserve">                </w:t>
      </w:r>
      <w:r w:rsidRPr="0080037E">
        <w:rPr>
          <w:b/>
          <w:sz w:val="27"/>
          <w:szCs w:val="27"/>
          <w:lang w:val="ro-RO"/>
        </w:rPr>
        <w:t xml:space="preserve">  </w:t>
      </w:r>
      <w:r w:rsidR="003D1104">
        <w:rPr>
          <w:b/>
          <w:sz w:val="27"/>
          <w:szCs w:val="27"/>
          <w:lang w:val="ro-RO"/>
        </w:rPr>
        <w:t>Anatol   ARAPU</w:t>
      </w:r>
    </w:p>
    <w:p w:rsidR="00DB2303" w:rsidRDefault="00DB2303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p w:rsidR="00F842F2" w:rsidRPr="0080037E" w:rsidRDefault="00F842F2" w:rsidP="00260BE8">
      <w:pPr>
        <w:ind w:left="360"/>
        <w:jc w:val="center"/>
        <w:rPr>
          <w:b/>
          <w:sz w:val="27"/>
          <w:szCs w:val="27"/>
          <w:lang w:val="ro-RO"/>
        </w:rPr>
      </w:pPr>
    </w:p>
    <w:sectPr w:rsidR="00F842F2" w:rsidRPr="0080037E" w:rsidSect="00736040">
      <w:pgSz w:w="11906" w:h="16838"/>
      <w:pgMar w:top="284" w:right="709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32095117"/>
    <w:multiLevelType w:val="hybridMultilevel"/>
    <w:tmpl w:val="EF0E8EF4"/>
    <w:lvl w:ilvl="0" w:tplc="840423D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4A67EE2"/>
    <w:multiLevelType w:val="hybridMultilevel"/>
    <w:tmpl w:val="6C64D866"/>
    <w:lvl w:ilvl="0" w:tplc="2EEA3ED2">
      <w:start w:val="1"/>
      <w:numFmt w:val="decimal"/>
      <w:lvlText w:val="%1."/>
      <w:lvlJc w:val="left"/>
      <w:pPr>
        <w:ind w:left="1062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943B1"/>
    <w:multiLevelType w:val="hybridMultilevel"/>
    <w:tmpl w:val="B13020B0"/>
    <w:lvl w:ilvl="0" w:tplc="A046222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5D5330"/>
    <w:multiLevelType w:val="hybridMultilevel"/>
    <w:tmpl w:val="046E42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42D7C"/>
    <w:multiLevelType w:val="hybridMultilevel"/>
    <w:tmpl w:val="B7665106"/>
    <w:lvl w:ilvl="0" w:tplc="467A22A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33DC9"/>
    <w:multiLevelType w:val="multilevel"/>
    <w:tmpl w:val="BEEA90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472"/>
    <w:rsid w:val="00092C23"/>
    <w:rsid w:val="0009382E"/>
    <w:rsid w:val="000C29F9"/>
    <w:rsid w:val="000C5D17"/>
    <w:rsid w:val="000C7629"/>
    <w:rsid w:val="000D1FBD"/>
    <w:rsid w:val="000D6718"/>
    <w:rsid w:val="001146B2"/>
    <w:rsid w:val="00125B29"/>
    <w:rsid w:val="00145454"/>
    <w:rsid w:val="0019383C"/>
    <w:rsid w:val="001C3AD5"/>
    <w:rsid w:val="001E0B50"/>
    <w:rsid w:val="00204861"/>
    <w:rsid w:val="002300A1"/>
    <w:rsid w:val="00233AFB"/>
    <w:rsid w:val="0024088F"/>
    <w:rsid w:val="0024363D"/>
    <w:rsid w:val="00254FEB"/>
    <w:rsid w:val="00260BE8"/>
    <w:rsid w:val="00276DBE"/>
    <w:rsid w:val="00294A40"/>
    <w:rsid w:val="002A6337"/>
    <w:rsid w:val="002E6142"/>
    <w:rsid w:val="0031390B"/>
    <w:rsid w:val="003235CD"/>
    <w:rsid w:val="00327A30"/>
    <w:rsid w:val="00333770"/>
    <w:rsid w:val="003412E6"/>
    <w:rsid w:val="003B2712"/>
    <w:rsid w:val="003B758F"/>
    <w:rsid w:val="003D1104"/>
    <w:rsid w:val="003D66FD"/>
    <w:rsid w:val="003E1E5D"/>
    <w:rsid w:val="003E5CCC"/>
    <w:rsid w:val="00407902"/>
    <w:rsid w:val="00417A58"/>
    <w:rsid w:val="00446CB5"/>
    <w:rsid w:val="00454D2C"/>
    <w:rsid w:val="00456E5D"/>
    <w:rsid w:val="0046108E"/>
    <w:rsid w:val="00481609"/>
    <w:rsid w:val="004C1908"/>
    <w:rsid w:val="004D3C37"/>
    <w:rsid w:val="004D6675"/>
    <w:rsid w:val="00505006"/>
    <w:rsid w:val="005119F8"/>
    <w:rsid w:val="00515829"/>
    <w:rsid w:val="00530E97"/>
    <w:rsid w:val="00533925"/>
    <w:rsid w:val="00544B25"/>
    <w:rsid w:val="005610A5"/>
    <w:rsid w:val="00573F16"/>
    <w:rsid w:val="005B39F5"/>
    <w:rsid w:val="005C25E5"/>
    <w:rsid w:val="005C2DE6"/>
    <w:rsid w:val="005E72D8"/>
    <w:rsid w:val="005F650D"/>
    <w:rsid w:val="005F7EAA"/>
    <w:rsid w:val="00602165"/>
    <w:rsid w:val="00603532"/>
    <w:rsid w:val="00603AFA"/>
    <w:rsid w:val="006341BB"/>
    <w:rsid w:val="0064438D"/>
    <w:rsid w:val="006545D9"/>
    <w:rsid w:val="00677F9A"/>
    <w:rsid w:val="0069729E"/>
    <w:rsid w:val="00697F75"/>
    <w:rsid w:val="006A6A35"/>
    <w:rsid w:val="006B1708"/>
    <w:rsid w:val="006B7B60"/>
    <w:rsid w:val="006E7758"/>
    <w:rsid w:val="006F0208"/>
    <w:rsid w:val="00713472"/>
    <w:rsid w:val="00716D6C"/>
    <w:rsid w:val="00724F95"/>
    <w:rsid w:val="00736040"/>
    <w:rsid w:val="007362F4"/>
    <w:rsid w:val="00770883"/>
    <w:rsid w:val="00783F47"/>
    <w:rsid w:val="007E5D8C"/>
    <w:rsid w:val="007F78AE"/>
    <w:rsid w:val="0080037E"/>
    <w:rsid w:val="00857472"/>
    <w:rsid w:val="008715C8"/>
    <w:rsid w:val="008A726D"/>
    <w:rsid w:val="009569BB"/>
    <w:rsid w:val="009871A4"/>
    <w:rsid w:val="009F1D5B"/>
    <w:rsid w:val="009F7AA2"/>
    <w:rsid w:val="00A52B34"/>
    <w:rsid w:val="00A560D0"/>
    <w:rsid w:val="00A613F2"/>
    <w:rsid w:val="00A733DE"/>
    <w:rsid w:val="00A93A87"/>
    <w:rsid w:val="00A93A9A"/>
    <w:rsid w:val="00A96D12"/>
    <w:rsid w:val="00AB764D"/>
    <w:rsid w:val="00AC195F"/>
    <w:rsid w:val="00B35ED7"/>
    <w:rsid w:val="00B36606"/>
    <w:rsid w:val="00B57EFD"/>
    <w:rsid w:val="00BD656F"/>
    <w:rsid w:val="00BF5B35"/>
    <w:rsid w:val="00BF671F"/>
    <w:rsid w:val="00C05761"/>
    <w:rsid w:val="00C21726"/>
    <w:rsid w:val="00C2552A"/>
    <w:rsid w:val="00C512F2"/>
    <w:rsid w:val="00C57393"/>
    <w:rsid w:val="00C61BA9"/>
    <w:rsid w:val="00C77477"/>
    <w:rsid w:val="00C9332F"/>
    <w:rsid w:val="00CB20AE"/>
    <w:rsid w:val="00D23595"/>
    <w:rsid w:val="00D24095"/>
    <w:rsid w:val="00D54A54"/>
    <w:rsid w:val="00D63334"/>
    <w:rsid w:val="00DB2303"/>
    <w:rsid w:val="00E65114"/>
    <w:rsid w:val="00E661F3"/>
    <w:rsid w:val="00E824CA"/>
    <w:rsid w:val="00ED7CAF"/>
    <w:rsid w:val="00F04593"/>
    <w:rsid w:val="00F07DBF"/>
    <w:rsid w:val="00F1144A"/>
    <w:rsid w:val="00F37529"/>
    <w:rsid w:val="00F52DB0"/>
    <w:rsid w:val="00F536BA"/>
    <w:rsid w:val="00F53C81"/>
    <w:rsid w:val="00F54371"/>
    <w:rsid w:val="00F5773B"/>
    <w:rsid w:val="00F842F2"/>
    <w:rsid w:val="00FB2AB0"/>
    <w:rsid w:val="00FC636F"/>
    <w:rsid w:val="00FE177F"/>
    <w:rsid w:val="00FE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">
    <w:name w:val="tt"/>
    <w:basedOn w:val="a"/>
    <w:rsid w:val="0031390B"/>
    <w:pPr>
      <w:jc w:val="center"/>
    </w:pPr>
    <w:rPr>
      <w:b/>
      <w:bCs/>
    </w:rPr>
  </w:style>
  <w:style w:type="paragraph" w:styleId="a6">
    <w:name w:val="Normal (Web)"/>
    <w:basedOn w:val="a"/>
    <w:rsid w:val="006341BB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46A4-7952-4014-B106-23886716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cemertansi</cp:lastModifiedBy>
  <cp:revision>70</cp:revision>
  <cp:lastPrinted>2015-09-01T10:49:00Z</cp:lastPrinted>
  <dcterms:created xsi:type="dcterms:W3CDTF">2014-07-03T14:29:00Z</dcterms:created>
  <dcterms:modified xsi:type="dcterms:W3CDTF">2015-10-21T12:47:00Z</dcterms:modified>
</cp:coreProperties>
</file>