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91" w:rsidRPr="002E7B44" w:rsidRDefault="00F91D91" w:rsidP="002E7B44">
      <w:pPr>
        <w:autoSpaceDE w:val="0"/>
        <w:autoSpaceDN w:val="0"/>
        <w:adjustRightInd w:val="0"/>
        <w:spacing w:line="276" w:lineRule="auto"/>
        <w:jc w:val="center"/>
        <w:rPr>
          <w:rFonts w:ascii="Times New Roman" w:hAnsi="Times New Roman"/>
          <w:b/>
          <w:bCs/>
          <w:sz w:val="28"/>
          <w:szCs w:val="28"/>
        </w:rPr>
      </w:pPr>
      <w:r w:rsidRPr="002E7B44">
        <w:rPr>
          <w:rFonts w:ascii="Times New Roman" w:hAnsi="Times New Roman"/>
          <w:b/>
          <w:bCs/>
          <w:sz w:val="28"/>
          <w:szCs w:val="28"/>
        </w:rPr>
        <w:t xml:space="preserve">Notă informativă </w:t>
      </w:r>
    </w:p>
    <w:p w:rsidR="00F91D91" w:rsidRPr="002E7B44" w:rsidRDefault="00F91D91" w:rsidP="002E7B44">
      <w:pPr>
        <w:spacing w:line="276" w:lineRule="auto"/>
        <w:jc w:val="center"/>
        <w:rPr>
          <w:rFonts w:ascii="Times New Roman" w:eastAsia="Times New Roman" w:hAnsi="Times New Roman"/>
          <w:b/>
          <w:bCs/>
          <w:color w:val="000000"/>
          <w:sz w:val="28"/>
          <w:szCs w:val="28"/>
        </w:rPr>
      </w:pPr>
      <w:r w:rsidRPr="002E7B44">
        <w:rPr>
          <w:rFonts w:ascii="Times New Roman" w:hAnsi="Times New Roman"/>
          <w:b/>
          <w:sz w:val="28"/>
          <w:szCs w:val="28"/>
        </w:rPr>
        <w:t xml:space="preserve">la proiectul Ordinului Ministerului Sănătăţii </w:t>
      </w:r>
      <w:r w:rsidRPr="002E7B44">
        <w:rPr>
          <w:rFonts w:ascii="Times New Roman" w:eastAsia="Times New Roman" w:hAnsi="Times New Roman"/>
          <w:b/>
          <w:bCs/>
          <w:color w:val="000000"/>
          <w:sz w:val="28"/>
          <w:szCs w:val="28"/>
        </w:rPr>
        <w:t xml:space="preserve">cu privire la modificarea şi completarea anexelor nr.1, nr.2 şi nr.3 la Ordinul Ministerului Sănătăţii nr.739 din 23.07.2012 “Cu privire la reglementarea autorizării </w:t>
      </w:r>
    </w:p>
    <w:p w:rsidR="00F91D91" w:rsidRPr="002E7B44" w:rsidRDefault="00F91D91" w:rsidP="002E7B44">
      <w:pPr>
        <w:spacing w:line="276" w:lineRule="auto"/>
        <w:jc w:val="center"/>
        <w:rPr>
          <w:rFonts w:ascii="Times New Roman" w:eastAsia="Times New Roman" w:hAnsi="Times New Roman"/>
          <w:b/>
          <w:bCs/>
          <w:color w:val="000000"/>
          <w:sz w:val="28"/>
          <w:szCs w:val="28"/>
        </w:rPr>
      </w:pPr>
      <w:r w:rsidRPr="002E7B44">
        <w:rPr>
          <w:rFonts w:ascii="Times New Roman" w:eastAsia="Times New Roman" w:hAnsi="Times New Roman"/>
          <w:b/>
          <w:bCs/>
          <w:color w:val="000000"/>
          <w:sz w:val="28"/>
          <w:szCs w:val="28"/>
        </w:rPr>
        <w:t>produselor medicamentoase de uz uman şi introducerea</w:t>
      </w:r>
    </w:p>
    <w:p w:rsidR="00F91D91" w:rsidRPr="002E7B44" w:rsidRDefault="00F91D91" w:rsidP="002E7B44">
      <w:pPr>
        <w:pStyle w:val="cn"/>
        <w:spacing w:before="0" w:beforeAutospacing="0" w:after="0" w:afterAutospacing="0" w:line="276" w:lineRule="auto"/>
        <w:jc w:val="center"/>
        <w:rPr>
          <w:b/>
          <w:sz w:val="28"/>
          <w:szCs w:val="28"/>
          <w:lang w:val="ro-RO"/>
        </w:rPr>
      </w:pPr>
      <w:r w:rsidRPr="002E7B44">
        <w:rPr>
          <w:b/>
          <w:bCs/>
          <w:color w:val="000000"/>
          <w:sz w:val="28"/>
          <w:szCs w:val="28"/>
          <w:lang w:val="ro-RO"/>
        </w:rPr>
        <w:t xml:space="preserve">modificărilor </w:t>
      </w:r>
      <w:proofErr w:type="spellStart"/>
      <w:r w:rsidRPr="002E7B44">
        <w:rPr>
          <w:b/>
          <w:bCs/>
          <w:color w:val="000000"/>
          <w:sz w:val="28"/>
          <w:szCs w:val="28"/>
          <w:lang w:val="ro-RO"/>
        </w:rPr>
        <w:t>postautorizare</w:t>
      </w:r>
      <w:proofErr w:type="spellEnd"/>
      <w:r w:rsidRPr="002E7B44">
        <w:rPr>
          <w:b/>
          <w:bCs/>
          <w:color w:val="000000"/>
          <w:sz w:val="28"/>
          <w:szCs w:val="28"/>
          <w:lang w:val="ro-RO"/>
        </w:rPr>
        <w:t>”</w:t>
      </w:r>
      <w:bookmarkStart w:id="0" w:name="_GoBack"/>
      <w:bookmarkEnd w:id="0"/>
    </w:p>
    <w:p w:rsidR="00F91D91" w:rsidRPr="002E7B44" w:rsidRDefault="00F91D91" w:rsidP="002E7B44">
      <w:pPr>
        <w:pStyle w:val="aa"/>
        <w:spacing w:line="276" w:lineRule="auto"/>
        <w:ind w:firstLine="708"/>
        <w:rPr>
          <w:sz w:val="28"/>
          <w:szCs w:val="28"/>
          <w:lang w:val="ro-RO"/>
        </w:rPr>
      </w:pPr>
    </w:p>
    <w:p w:rsidR="00F91D91" w:rsidRPr="002E7B44" w:rsidRDefault="00F91D91" w:rsidP="002E7B44">
      <w:pPr>
        <w:pStyle w:val="aa"/>
        <w:spacing w:line="276" w:lineRule="auto"/>
        <w:ind w:firstLine="708"/>
        <w:rPr>
          <w:sz w:val="28"/>
          <w:szCs w:val="28"/>
          <w:lang w:val="ro-RO"/>
        </w:rPr>
      </w:pPr>
      <w:r w:rsidRPr="002E7B44">
        <w:rPr>
          <w:sz w:val="28"/>
          <w:szCs w:val="28"/>
          <w:lang w:val="ro-RO"/>
        </w:rPr>
        <w:t xml:space="preserve">Elaborarea proiectului de ordin este determinată de necesitatea optimizării şi perfecţionării cadrului normativ privind autorizarea medicamentelor de uz uman prin prisma exigenţelor europene şi reieşind din rigorile prevederilor actelor legislative de specialitate (Legea nr.1456-XII din 25.05.1993 cu privire la activitatea farmaceutică, </w:t>
      </w:r>
      <w:hyperlink r:id="rId7" w:history="1">
        <w:r w:rsidRPr="002E7B44">
          <w:rPr>
            <w:rStyle w:val="a7"/>
            <w:color w:val="auto"/>
            <w:sz w:val="28"/>
            <w:szCs w:val="28"/>
            <w:u w:val="none"/>
            <w:lang w:val="ro-RO"/>
          </w:rPr>
          <w:t>Legea nr.1409-XIII din 17.12.1997</w:t>
        </w:r>
      </w:hyperlink>
      <w:r w:rsidRPr="002E7B44">
        <w:rPr>
          <w:sz w:val="28"/>
          <w:szCs w:val="28"/>
          <w:lang w:val="ro-RO"/>
        </w:rPr>
        <w:t xml:space="preserve"> cu privire la medicamente). În acest sens, se va stabili un mecanism mai bine determinat în vederea autorizării medicamentelor de uz uman.  </w:t>
      </w:r>
    </w:p>
    <w:p w:rsidR="00F91D91" w:rsidRPr="002E7B44" w:rsidRDefault="00F91D91" w:rsidP="002E7B44">
      <w:pPr>
        <w:pStyle w:val="aa"/>
        <w:spacing w:line="276" w:lineRule="auto"/>
        <w:ind w:firstLine="708"/>
        <w:rPr>
          <w:sz w:val="28"/>
          <w:szCs w:val="28"/>
          <w:lang w:val="ro-RO"/>
        </w:rPr>
      </w:pPr>
      <w:r w:rsidRPr="002E7B44">
        <w:rPr>
          <w:sz w:val="28"/>
          <w:szCs w:val="28"/>
          <w:lang w:val="ro-RO"/>
        </w:rPr>
        <w:t>Astfel:</w:t>
      </w:r>
    </w:p>
    <w:p w:rsidR="00F91D91" w:rsidRPr="002E7B44" w:rsidRDefault="00F91D91" w:rsidP="002E7B44">
      <w:pPr>
        <w:pStyle w:val="aa"/>
        <w:numPr>
          <w:ilvl w:val="0"/>
          <w:numId w:val="9"/>
        </w:numPr>
        <w:tabs>
          <w:tab w:val="left" w:pos="567"/>
        </w:tabs>
        <w:spacing w:line="276" w:lineRule="auto"/>
        <w:ind w:left="0" w:firstLine="0"/>
        <w:rPr>
          <w:sz w:val="28"/>
          <w:szCs w:val="28"/>
          <w:lang w:val="ro-RO"/>
        </w:rPr>
      </w:pPr>
      <w:r w:rsidRPr="002E7B44">
        <w:rPr>
          <w:color w:val="000000"/>
          <w:sz w:val="28"/>
          <w:szCs w:val="28"/>
          <w:lang w:val="ro-RO"/>
        </w:rPr>
        <w:t>Sintagmele „sau păr</w:t>
      </w:r>
      <w:r w:rsidR="00B026BE">
        <w:rPr>
          <w:color w:val="000000"/>
          <w:sz w:val="28"/>
          <w:szCs w:val="28"/>
          <w:lang w:val="ro-RO"/>
        </w:rPr>
        <w:t>ţ</w:t>
      </w:r>
      <w:r w:rsidRPr="002E7B44">
        <w:rPr>
          <w:color w:val="000000"/>
          <w:sz w:val="28"/>
          <w:szCs w:val="28"/>
          <w:lang w:val="ro-RO"/>
        </w:rPr>
        <w:t xml:space="preserve">ile 1-2 a dosarului în format </w:t>
      </w:r>
      <w:proofErr w:type="spellStart"/>
      <w:r w:rsidRPr="002E7B44">
        <w:rPr>
          <w:color w:val="000000"/>
          <w:sz w:val="28"/>
          <w:szCs w:val="28"/>
          <w:lang w:val="ro-RO"/>
        </w:rPr>
        <w:t>non-DTC</w:t>
      </w:r>
      <w:proofErr w:type="spellEnd"/>
      <w:r w:rsidRPr="002E7B44">
        <w:rPr>
          <w:color w:val="000000"/>
          <w:sz w:val="28"/>
          <w:szCs w:val="28"/>
          <w:lang w:val="ro-RO"/>
        </w:rPr>
        <w:t xml:space="preserve">/CTD”, „sau părţile 3-4 </w:t>
      </w:r>
      <w:proofErr w:type="spellStart"/>
      <w:r w:rsidRPr="002E7B44">
        <w:rPr>
          <w:color w:val="000000"/>
          <w:sz w:val="28"/>
          <w:szCs w:val="28"/>
          <w:lang w:val="ro-RO"/>
        </w:rPr>
        <w:t>non-DTC</w:t>
      </w:r>
      <w:proofErr w:type="spellEnd"/>
      <w:r w:rsidRPr="002E7B44">
        <w:rPr>
          <w:color w:val="000000"/>
          <w:sz w:val="28"/>
          <w:szCs w:val="28"/>
          <w:lang w:val="ro-RO"/>
        </w:rPr>
        <w:t>/CTD”, „</w:t>
      </w:r>
      <w:r w:rsidR="00B026BE">
        <w:rPr>
          <w:color w:val="000000"/>
          <w:sz w:val="28"/>
          <w:szCs w:val="28"/>
          <w:lang w:val="ro-RO"/>
        </w:rPr>
        <w:t>ş</w:t>
      </w:r>
      <w:r w:rsidRPr="002E7B44">
        <w:rPr>
          <w:color w:val="000000"/>
          <w:sz w:val="28"/>
          <w:szCs w:val="28"/>
          <w:lang w:val="ro-RO"/>
        </w:rPr>
        <w:t>i păr</w:t>
      </w:r>
      <w:r w:rsidR="00B026BE">
        <w:rPr>
          <w:color w:val="000000"/>
          <w:sz w:val="28"/>
          <w:szCs w:val="28"/>
          <w:lang w:val="ro-RO"/>
        </w:rPr>
        <w:t>ţ</w:t>
      </w:r>
      <w:r w:rsidRPr="002E7B44">
        <w:rPr>
          <w:color w:val="000000"/>
          <w:sz w:val="28"/>
          <w:szCs w:val="28"/>
          <w:lang w:val="ro-RO"/>
        </w:rPr>
        <w:t xml:space="preserve">ile 1-4 format </w:t>
      </w:r>
      <w:proofErr w:type="spellStart"/>
      <w:r w:rsidRPr="002E7B44">
        <w:rPr>
          <w:color w:val="000000"/>
          <w:sz w:val="28"/>
          <w:szCs w:val="28"/>
          <w:lang w:val="ro-RO"/>
        </w:rPr>
        <w:t>non-DTC</w:t>
      </w:r>
      <w:proofErr w:type="spellEnd"/>
      <w:r w:rsidRPr="002E7B44">
        <w:rPr>
          <w:color w:val="000000"/>
          <w:sz w:val="28"/>
          <w:szCs w:val="28"/>
          <w:lang w:val="ro-RO"/>
        </w:rPr>
        <w:t>/</w:t>
      </w:r>
      <w:proofErr w:type="spellStart"/>
      <w:r w:rsidRPr="002E7B44">
        <w:rPr>
          <w:color w:val="000000"/>
          <w:sz w:val="28"/>
          <w:szCs w:val="28"/>
          <w:lang w:val="ro-RO"/>
        </w:rPr>
        <w:t>non-CTD</w:t>
      </w:r>
      <w:proofErr w:type="spellEnd"/>
      <w:r w:rsidRPr="002E7B44">
        <w:rPr>
          <w:color w:val="000000"/>
          <w:sz w:val="28"/>
          <w:szCs w:val="28"/>
          <w:lang w:val="ro-RO"/>
        </w:rPr>
        <w:t xml:space="preserve">”, „sau 2-3 formatul </w:t>
      </w:r>
      <w:proofErr w:type="spellStart"/>
      <w:r w:rsidRPr="002E7B44">
        <w:rPr>
          <w:color w:val="000000"/>
          <w:sz w:val="28"/>
          <w:szCs w:val="28"/>
          <w:lang w:val="ro-RO"/>
        </w:rPr>
        <w:t>non-DTC</w:t>
      </w:r>
      <w:proofErr w:type="spellEnd"/>
      <w:r w:rsidRPr="002E7B44">
        <w:rPr>
          <w:color w:val="000000"/>
          <w:sz w:val="28"/>
          <w:szCs w:val="28"/>
          <w:lang w:val="ro-RO"/>
        </w:rPr>
        <w:t>/CTD”, „sau păr</w:t>
      </w:r>
      <w:r w:rsidR="00B026BE">
        <w:rPr>
          <w:color w:val="000000"/>
          <w:sz w:val="28"/>
          <w:szCs w:val="28"/>
          <w:lang w:val="ro-RO"/>
        </w:rPr>
        <w:t>ţ</w:t>
      </w:r>
      <w:r w:rsidRPr="002E7B44">
        <w:rPr>
          <w:color w:val="000000"/>
          <w:sz w:val="28"/>
          <w:szCs w:val="28"/>
          <w:lang w:val="ro-RO"/>
        </w:rPr>
        <w:t xml:space="preserve">ile 1-2 </w:t>
      </w:r>
      <w:proofErr w:type="spellStart"/>
      <w:r w:rsidRPr="002E7B44">
        <w:rPr>
          <w:color w:val="000000"/>
          <w:sz w:val="28"/>
          <w:szCs w:val="28"/>
          <w:lang w:val="ro-RO"/>
        </w:rPr>
        <w:t>non-DTC</w:t>
      </w:r>
      <w:proofErr w:type="spellEnd"/>
      <w:r w:rsidRPr="002E7B44">
        <w:rPr>
          <w:color w:val="000000"/>
          <w:sz w:val="28"/>
          <w:szCs w:val="28"/>
          <w:lang w:val="ro-RO"/>
        </w:rPr>
        <w:t>/CTD”, „sau păr</w:t>
      </w:r>
      <w:r w:rsidR="00B026BE">
        <w:rPr>
          <w:color w:val="000000"/>
          <w:sz w:val="28"/>
          <w:szCs w:val="28"/>
          <w:lang w:val="ro-RO"/>
        </w:rPr>
        <w:t>ţ</w:t>
      </w:r>
      <w:r w:rsidRPr="002E7B44">
        <w:rPr>
          <w:color w:val="000000"/>
          <w:sz w:val="28"/>
          <w:szCs w:val="28"/>
          <w:lang w:val="ro-RO"/>
        </w:rPr>
        <w:t xml:space="preserve">ile 1-2 formatul </w:t>
      </w:r>
      <w:proofErr w:type="spellStart"/>
      <w:r w:rsidRPr="002E7B44">
        <w:rPr>
          <w:color w:val="000000"/>
          <w:sz w:val="28"/>
          <w:szCs w:val="28"/>
          <w:lang w:val="ro-RO"/>
        </w:rPr>
        <w:t>non-DTC</w:t>
      </w:r>
      <w:proofErr w:type="spellEnd"/>
      <w:r w:rsidRPr="002E7B44">
        <w:rPr>
          <w:color w:val="000000"/>
          <w:sz w:val="28"/>
          <w:szCs w:val="28"/>
          <w:lang w:val="ro-RO"/>
        </w:rPr>
        <w:t>/CTD”</w:t>
      </w:r>
      <w:r w:rsidRPr="002E7B44">
        <w:rPr>
          <w:sz w:val="28"/>
          <w:szCs w:val="28"/>
          <w:lang w:val="ro-RO"/>
        </w:rPr>
        <w:t xml:space="preserve"> se vor exclude reieşind din faptul depă</w:t>
      </w:r>
      <w:r w:rsidR="00B026BE">
        <w:rPr>
          <w:sz w:val="28"/>
          <w:szCs w:val="28"/>
          <w:lang w:val="ro-RO"/>
        </w:rPr>
        <w:t>ş</w:t>
      </w:r>
      <w:r w:rsidRPr="002E7B44">
        <w:rPr>
          <w:sz w:val="28"/>
          <w:szCs w:val="28"/>
          <w:lang w:val="ro-RO"/>
        </w:rPr>
        <w:t xml:space="preserve">irii termenului limită permis de a prezenta dosarele  în format </w:t>
      </w:r>
      <w:proofErr w:type="spellStart"/>
      <w:r w:rsidRPr="002E7B44">
        <w:rPr>
          <w:sz w:val="28"/>
          <w:szCs w:val="28"/>
          <w:lang w:val="ro-RO"/>
        </w:rPr>
        <w:t>non-DTC</w:t>
      </w:r>
      <w:proofErr w:type="spellEnd"/>
      <w:r w:rsidRPr="002E7B44">
        <w:rPr>
          <w:sz w:val="28"/>
          <w:szCs w:val="28"/>
          <w:lang w:val="ro-RO"/>
        </w:rPr>
        <w:t>/</w:t>
      </w:r>
      <w:proofErr w:type="spellStart"/>
      <w:r w:rsidRPr="002E7B44">
        <w:rPr>
          <w:sz w:val="28"/>
          <w:szCs w:val="28"/>
          <w:lang w:val="ro-RO"/>
        </w:rPr>
        <w:t>non-CTD</w:t>
      </w:r>
      <w:proofErr w:type="spellEnd"/>
      <w:r w:rsidRPr="002E7B44">
        <w:rPr>
          <w:sz w:val="28"/>
          <w:szCs w:val="28"/>
          <w:lang w:val="ro-RO"/>
        </w:rPr>
        <w:t>.</w:t>
      </w:r>
    </w:p>
    <w:p w:rsidR="00F91D91" w:rsidRPr="002E7B44" w:rsidRDefault="00F91D91" w:rsidP="002E7B44">
      <w:pPr>
        <w:pStyle w:val="aa"/>
        <w:numPr>
          <w:ilvl w:val="0"/>
          <w:numId w:val="9"/>
        </w:numPr>
        <w:tabs>
          <w:tab w:val="left" w:pos="567"/>
        </w:tabs>
        <w:spacing w:line="276" w:lineRule="auto"/>
        <w:ind w:left="0" w:firstLine="0"/>
        <w:rPr>
          <w:sz w:val="28"/>
          <w:szCs w:val="28"/>
          <w:lang w:val="ro-RO"/>
        </w:rPr>
      </w:pPr>
      <w:r w:rsidRPr="002E7B44">
        <w:rPr>
          <w:sz w:val="28"/>
          <w:szCs w:val="28"/>
          <w:lang w:val="ro-RO"/>
        </w:rPr>
        <w:t xml:space="preserve">Modificarea anexei nr.1 la ordin prin excluderea unor prevederi, precum şi completarea anexei cu norme suplimentare ar fi oportune </w:t>
      </w:r>
      <w:proofErr w:type="spellStart"/>
      <w:r w:rsidRPr="002E7B44">
        <w:rPr>
          <w:sz w:val="28"/>
          <w:szCs w:val="28"/>
          <w:lang w:val="ro-RO"/>
        </w:rPr>
        <w:t>luînd</w:t>
      </w:r>
      <w:proofErr w:type="spellEnd"/>
      <w:r w:rsidRPr="002E7B44">
        <w:rPr>
          <w:sz w:val="28"/>
          <w:szCs w:val="28"/>
          <w:lang w:val="ro-RO"/>
        </w:rPr>
        <w:t xml:space="preserve"> în consideraţie corespunderea acestor modificări şi completări cu practica utilizată la ora actuală. Totodată,  modificarea punctului 66 este propusă cu scopul asigurării perioadei de gra</w:t>
      </w:r>
      <w:r w:rsidR="00B026BE">
        <w:rPr>
          <w:sz w:val="28"/>
          <w:szCs w:val="28"/>
          <w:lang w:val="ro-RO"/>
        </w:rPr>
        <w:t>ţ</w:t>
      </w:r>
      <w:r w:rsidRPr="002E7B44">
        <w:rPr>
          <w:sz w:val="28"/>
          <w:szCs w:val="28"/>
          <w:lang w:val="ro-RO"/>
        </w:rPr>
        <w:t>iei pentru importul seriilor fabricate. Modificarea anexei nr.2 la Regulamentul cu privire la autorizarea medicamentelor este motivată prin necorespunderea unor prevederi ale conţinutului acestuia cerinţelor Directivei Europene 2001/83/CE.</w:t>
      </w:r>
    </w:p>
    <w:p w:rsidR="00F91D91" w:rsidRPr="002E7B44" w:rsidRDefault="00F91D91" w:rsidP="002E7B44">
      <w:pPr>
        <w:pStyle w:val="aa"/>
        <w:numPr>
          <w:ilvl w:val="0"/>
          <w:numId w:val="9"/>
        </w:numPr>
        <w:tabs>
          <w:tab w:val="left" w:pos="567"/>
        </w:tabs>
        <w:spacing w:line="276" w:lineRule="auto"/>
        <w:ind w:left="0" w:firstLine="0"/>
        <w:rPr>
          <w:sz w:val="28"/>
          <w:szCs w:val="28"/>
          <w:lang w:val="ro-RO"/>
        </w:rPr>
      </w:pPr>
      <w:r w:rsidRPr="002E7B44">
        <w:rPr>
          <w:sz w:val="28"/>
          <w:szCs w:val="28"/>
          <w:lang w:val="ro-RO"/>
        </w:rPr>
        <w:t xml:space="preserve">Modificările şi completările care </w:t>
      </w:r>
      <w:proofErr w:type="spellStart"/>
      <w:r w:rsidRPr="002E7B44">
        <w:rPr>
          <w:sz w:val="28"/>
          <w:szCs w:val="28"/>
          <w:lang w:val="ro-RO"/>
        </w:rPr>
        <w:t>sînt</w:t>
      </w:r>
      <w:proofErr w:type="spellEnd"/>
      <w:r w:rsidRPr="002E7B44">
        <w:rPr>
          <w:sz w:val="28"/>
          <w:szCs w:val="28"/>
          <w:lang w:val="ro-RO"/>
        </w:rPr>
        <w:t xml:space="preserve"> propuse la anexa nr.2 a ordinului, la fel, </w:t>
      </w:r>
      <w:proofErr w:type="spellStart"/>
      <w:r w:rsidRPr="002E7B44">
        <w:rPr>
          <w:sz w:val="28"/>
          <w:szCs w:val="28"/>
          <w:lang w:val="ro-RO"/>
        </w:rPr>
        <w:t>sînt</w:t>
      </w:r>
      <w:proofErr w:type="spellEnd"/>
      <w:r w:rsidRPr="002E7B44">
        <w:rPr>
          <w:sz w:val="28"/>
          <w:szCs w:val="28"/>
          <w:lang w:val="ro-RO"/>
        </w:rPr>
        <w:t xml:space="preserve"> operate în vederea actualizării şi ajustării procedurii </w:t>
      </w:r>
      <w:r w:rsidRPr="002E7B44">
        <w:rPr>
          <w:color w:val="000000"/>
          <w:sz w:val="28"/>
          <w:szCs w:val="28"/>
          <w:lang w:val="ro-RO"/>
        </w:rPr>
        <w:t xml:space="preserve">cu privire la gestionarea variaţiilor </w:t>
      </w:r>
      <w:proofErr w:type="spellStart"/>
      <w:r w:rsidRPr="002E7B44">
        <w:rPr>
          <w:color w:val="000000"/>
          <w:sz w:val="28"/>
          <w:szCs w:val="28"/>
          <w:lang w:val="ro-RO"/>
        </w:rPr>
        <w:t>postautorizare</w:t>
      </w:r>
      <w:proofErr w:type="spellEnd"/>
      <w:r w:rsidRPr="002E7B44">
        <w:rPr>
          <w:color w:val="000000"/>
          <w:sz w:val="28"/>
          <w:szCs w:val="28"/>
          <w:lang w:val="ro-RO"/>
        </w:rPr>
        <w:t xml:space="preserve"> la </w:t>
      </w:r>
      <w:r w:rsidRPr="002E7B44">
        <w:rPr>
          <w:sz w:val="28"/>
          <w:szCs w:val="28"/>
          <w:lang w:val="ro-RO"/>
        </w:rPr>
        <w:t>prevederile Directivei Europene 2001/83/CE.</w:t>
      </w:r>
    </w:p>
    <w:p w:rsidR="00F91D91" w:rsidRPr="002E7B44" w:rsidRDefault="00F91D91" w:rsidP="002E7B44">
      <w:pPr>
        <w:pStyle w:val="aa"/>
        <w:numPr>
          <w:ilvl w:val="0"/>
          <w:numId w:val="9"/>
        </w:numPr>
        <w:tabs>
          <w:tab w:val="left" w:pos="567"/>
        </w:tabs>
        <w:spacing w:line="276" w:lineRule="auto"/>
        <w:ind w:left="0" w:firstLine="0"/>
        <w:rPr>
          <w:sz w:val="28"/>
          <w:szCs w:val="28"/>
          <w:lang w:val="ro-RO"/>
        </w:rPr>
      </w:pPr>
      <w:r w:rsidRPr="002E7B44">
        <w:rPr>
          <w:sz w:val="28"/>
          <w:szCs w:val="28"/>
          <w:lang w:val="ro-RO"/>
        </w:rPr>
        <w:t xml:space="preserve">La anexa nr.3, modificările şi completările respective </w:t>
      </w:r>
      <w:proofErr w:type="spellStart"/>
      <w:r w:rsidRPr="002E7B44">
        <w:rPr>
          <w:sz w:val="28"/>
          <w:szCs w:val="28"/>
          <w:lang w:val="ro-RO"/>
        </w:rPr>
        <w:t>sînt</w:t>
      </w:r>
      <w:proofErr w:type="spellEnd"/>
      <w:r w:rsidRPr="002E7B44">
        <w:rPr>
          <w:sz w:val="28"/>
          <w:szCs w:val="28"/>
          <w:lang w:val="ro-RO"/>
        </w:rPr>
        <w:t xml:space="preserve"> propuse pentru: ajustarea punctului 12 la cerin</w:t>
      </w:r>
      <w:r w:rsidR="00B026BE">
        <w:rPr>
          <w:sz w:val="28"/>
          <w:szCs w:val="28"/>
          <w:lang w:val="ro-RO"/>
        </w:rPr>
        <w:t>ţ</w:t>
      </w:r>
      <w:r w:rsidRPr="002E7B44">
        <w:rPr>
          <w:sz w:val="28"/>
          <w:szCs w:val="28"/>
          <w:lang w:val="ro-RO"/>
        </w:rPr>
        <w:t>ele Directivei Europene 2001/83/CE, excluderea unor informa</w:t>
      </w:r>
      <w:r w:rsidR="00B026BE">
        <w:rPr>
          <w:sz w:val="28"/>
          <w:szCs w:val="28"/>
          <w:lang w:val="ro-RO"/>
        </w:rPr>
        <w:t>ţ</w:t>
      </w:r>
      <w:r w:rsidRPr="002E7B44">
        <w:rPr>
          <w:sz w:val="28"/>
          <w:szCs w:val="28"/>
          <w:lang w:val="ro-RO"/>
        </w:rPr>
        <w:t>ii a punctului 15 în vederea asigurării accesului pacien</w:t>
      </w:r>
      <w:r w:rsidR="00B026BE">
        <w:rPr>
          <w:sz w:val="28"/>
          <w:szCs w:val="28"/>
          <w:lang w:val="ro-RO"/>
        </w:rPr>
        <w:t>ţ</w:t>
      </w:r>
      <w:r w:rsidRPr="002E7B44">
        <w:rPr>
          <w:sz w:val="28"/>
          <w:szCs w:val="28"/>
          <w:lang w:val="ro-RO"/>
        </w:rPr>
        <w:t>ilor la medicamente.</w:t>
      </w:r>
    </w:p>
    <w:p w:rsidR="005A3F80" w:rsidRPr="002E7B44" w:rsidRDefault="005A3F80" w:rsidP="002E7B44">
      <w:pPr>
        <w:rPr>
          <w:rFonts w:ascii="Times New Roman" w:hAnsi="Times New Roman"/>
          <w:sz w:val="28"/>
          <w:szCs w:val="28"/>
        </w:rPr>
      </w:pPr>
    </w:p>
    <w:sectPr w:rsidR="005A3F80" w:rsidRPr="002E7B44" w:rsidSect="0084306F">
      <w:headerReference w:type="even" r:id="rId8"/>
      <w:headerReference w:type="default" r:id="rId9"/>
      <w:footerReference w:type="even" r:id="rId10"/>
      <w:footerReference w:type="default" r:id="rId11"/>
      <w:headerReference w:type="first" r:id="rId12"/>
      <w:footerReference w:type="first" r:id="rId13"/>
      <w:pgSz w:w="11907" w:h="16839" w:code="9"/>
      <w:pgMar w:top="1134" w:right="850" w:bottom="1134" w:left="1701" w:header="709" w:footer="680"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21" w:rsidRDefault="00405621" w:rsidP="00F91D91">
      <w:r>
        <w:separator/>
      </w:r>
    </w:p>
  </w:endnote>
  <w:endnote w:type="continuationSeparator" w:id="0">
    <w:p w:rsidR="00405621" w:rsidRDefault="00405621" w:rsidP="00F91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Myriad Pro SemiExt">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2D653A">
    <w:pPr>
      <w:pStyle w:val="Subsolstnga"/>
    </w:pPr>
    <w:r>
      <w:rPr>
        <w:color w:val="C0504D"/>
      </w:rPr>
      <w:sym w:font="Wingdings 3" w:char="F07D"/>
    </w:r>
    <w:r>
      <w:t xml:space="preserve"> Pagină </w:t>
    </w:r>
    <w:r w:rsidR="00EE7835">
      <w:fldChar w:fldCharType="begin"/>
    </w:r>
    <w:r>
      <w:instrText xml:space="preserve"> PAGE  \* Arabic  \* MERGEFORMAT </w:instrText>
    </w:r>
    <w:r w:rsidR="00EE7835">
      <w:fldChar w:fldCharType="separate"/>
    </w:r>
    <w:r>
      <w:rPr>
        <w:noProof/>
      </w:rPr>
      <w:t>2</w:t>
    </w:r>
    <w:r w:rsidR="00EE7835">
      <w:fldChar w:fldCharType="end"/>
    </w:r>
  </w:p>
  <w:p w:rsidR="0084306F" w:rsidRDefault="00405621" w:rsidP="008430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2D653A" w:rsidP="0084306F">
    <w:pPr>
      <w:pStyle w:val="Subsoldreapta"/>
    </w:pPr>
    <w:r>
      <w:rPr>
        <w:color w:val="C0504D"/>
      </w:rPr>
      <w:sym w:font="Wingdings 3" w:char="F07D"/>
    </w:r>
    <w:r>
      <w:t xml:space="preserve"> Pagină </w:t>
    </w:r>
    <w:r w:rsidR="00EE7835">
      <w:fldChar w:fldCharType="begin"/>
    </w:r>
    <w:r>
      <w:instrText xml:space="preserve"> PAGE  \* Arabic  \* MERGEFORMAT </w:instrText>
    </w:r>
    <w:r w:rsidR="00EE7835">
      <w:fldChar w:fldCharType="separate"/>
    </w:r>
    <w:r w:rsidR="002E7B44">
      <w:rPr>
        <w:noProof/>
      </w:rPr>
      <w:t>2</w:t>
    </w:r>
    <w:r w:rsidR="00EE7835">
      <w:fldChar w:fldCharType="end"/>
    </w:r>
  </w:p>
  <w:p w:rsidR="0084306F" w:rsidRDefault="00405621" w:rsidP="0084306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4A0"/>
    </w:tblPr>
    <w:tblGrid>
      <w:gridCol w:w="257"/>
      <w:gridCol w:w="9329"/>
    </w:tblGrid>
    <w:tr w:rsidR="0084306F" w:rsidRPr="001158E2" w:rsidTr="0084306F">
      <w:tc>
        <w:tcPr>
          <w:tcW w:w="134" w:type="pct"/>
          <w:tcBorders>
            <w:right w:val="single" w:sz="12" w:space="0" w:color="7F7F7F"/>
          </w:tcBorders>
        </w:tcPr>
        <w:p w:rsidR="0084306F" w:rsidRPr="001158E2" w:rsidRDefault="00405621">
          <w:pPr>
            <w:pStyle w:val="a3"/>
            <w:jc w:val="right"/>
            <w:rPr>
              <w:color w:val="4F81BD"/>
            </w:rPr>
          </w:pPr>
        </w:p>
      </w:tc>
      <w:tc>
        <w:tcPr>
          <w:tcW w:w="4866" w:type="pct"/>
          <w:tcBorders>
            <w:left w:val="single" w:sz="12" w:space="0" w:color="7F7F7F"/>
          </w:tcBorders>
        </w:tcPr>
        <w:p w:rsidR="0084306F" w:rsidRPr="001158E2" w:rsidRDefault="00405621" w:rsidP="0084306F">
          <w:pPr>
            <w:rPr>
              <w:color w:val="4F81BD"/>
            </w:rPr>
          </w:pPr>
        </w:p>
      </w:tc>
    </w:tr>
  </w:tbl>
  <w:p w:rsidR="008E66AB" w:rsidRDefault="00405621" w:rsidP="008E66AB">
    <w:pPr>
      <w:pStyle w:val="a3"/>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21" w:rsidRDefault="00405621" w:rsidP="00F91D91">
      <w:r>
        <w:separator/>
      </w:r>
    </w:p>
  </w:footnote>
  <w:footnote w:type="continuationSeparator" w:id="0">
    <w:p w:rsidR="00405621" w:rsidRDefault="00405621" w:rsidP="00F91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EE7835">
    <w:pPr>
      <w:pStyle w:val="Antetstnga"/>
      <w:jc w:val="right"/>
    </w:pPr>
    <w:r w:rsidRPr="00EE7835">
      <w:rPr>
        <w:noProof/>
        <w:color w:val="C0504D"/>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6530" o:spid="_x0000_s2049" type="#_x0000_t75" style="position:absolute;left:0;text-align:left;margin-left:0;margin-top:0;width:467.75pt;height:462.4pt;z-index:-251658240;mso-position-horizontal:center;mso-position-horizontal-relative:margin;mso-position-vertical:center;mso-position-vertical-relative:margin" o:allowincell="f">
          <v:imagedata r:id="rId1" o:title="SIGLA" gain="19661f" blacklevel="22938f"/>
          <w10:wrap anchorx="margin" anchory="margin"/>
        </v:shape>
      </w:pict>
    </w:r>
    <w:r w:rsidR="002D653A">
      <w:rPr>
        <w:color w:val="C0504D"/>
      </w:rPr>
      <w:sym w:font="Wingdings 3" w:char="F07D"/>
    </w:r>
    <w:r w:rsidR="002D653A">
      <w:t xml:space="preserve"> </w:t>
    </w:r>
    <w:proofErr w:type="spellStart"/>
    <w:r w:rsidR="002D653A">
      <w:rPr>
        <w:color w:val="808080"/>
      </w:rPr>
      <w:t>CtrlSoft</w:t>
    </w:r>
    <w:proofErr w:type="spellEnd"/>
  </w:p>
  <w:p w:rsidR="0084306F" w:rsidRDefault="0040562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405621" w:rsidP="00F91D91">
    <w:pPr>
      <w:pStyle w:val="Antetdreapta"/>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6F" w:rsidRDefault="00405621" w:rsidP="0084306F">
    <w:pPr>
      <w:pStyle w:val="a5"/>
      <w:spacing w:after="0" w:line="120" w:lineRule="auto"/>
      <w:jc w:val="right"/>
    </w:pPr>
  </w:p>
  <w:p w:rsidR="0084306F" w:rsidRDefault="00405621" w:rsidP="0084306F">
    <w:pPr>
      <w:pStyle w:val="a5"/>
      <w:spacing w:after="0" w:line="120" w:lineRule="auto"/>
      <w:jc w:val="right"/>
    </w:pPr>
  </w:p>
  <w:p w:rsidR="0084306F" w:rsidRDefault="00EE7835" w:rsidP="0084306F">
    <w:pPr>
      <w:pStyle w:val="a5"/>
      <w:spacing w:after="0" w:line="120" w:lineRule="auto"/>
      <w:jc w:val="right"/>
    </w:pPr>
    <w:r w:rsidRPr="00EE7835">
      <w:rPr>
        <w:rFonts w:cs="Constantia"/>
        <w:noProof/>
        <w:lang w:val="ru-RU" w:eastAsia="ru-RU"/>
      </w:rPr>
      <w:pict>
        <v:shapetype id="_x0000_t202" coordsize="21600,21600" o:spt="202" path="m,l,21600r21600,l21600,xe">
          <v:stroke joinstyle="miter"/>
          <v:path gradientshapeok="t" o:connecttype="rect"/>
        </v:shapetype>
        <v:shape id="Поле 2" o:spid="_x0000_s2050" type="#_x0000_t202" style="position:absolute;left:0;text-align:left;margin-left:346.05pt;margin-top:2.1pt;width:121.75pt;height:38.2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NzwAIAALk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" filled="f" stroked="f">
          <v:textbox style="mso-fit-shape-to-text:t">
            <w:txbxContent>
              <w:p w:rsidR="0084306F" w:rsidRPr="001158E2" w:rsidRDefault="002D653A">
                <w:pPr>
                  <w:rPr>
                    <w:rFonts w:ascii="Myriad Pro SemiExt" w:hAnsi="Myriad Pro SemiExt"/>
                    <w:color w:val="FFFFFF"/>
                    <w:sz w:val="18"/>
                    <w:szCs w:val="18"/>
                  </w:rPr>
                </w:pPr>
                <w:r w:rsidRPr="001158E2">
                  <w:rPr>
                    <w:rFonts w:ascii="Myriad Pro SemiExt" w:hAnsi="Myriad Pro SemiExt"/>
                    <w:color w:val="FFFFFF"/>
                    <w:sz w:val="18"/>
                    <w:szCs w:val="18"/>
                  </w:rPr>
                  <w:t>MINISTERUL SĂNĂTĂŢII</w:t>
                </w:r>
              </w:p>
              <w:p w:rsidR="0084306F" w:rsidRPr="001158E2" w:rsidRDefault="002D653A">
                <w:pPr>
                  <w:rPr>
                    <w:rFonts w:ascii="Myriad Pro SemiExt" w:hAnsi="Myriad Pro SemiExt"/>
                    <w:color w:val="FFFFFF"/>
                    <w:sz w:val="18"/>
                    <w:szCs w:val="18"/>
                  </w:rPr>
                </w:pPr>
                <w:r w:rsidRPr="001158E2">
                  <w:rPr>
                    <w:rFonts w:ascii="Myriad Pro SemiExt" w:hAnsi="Myriad Pro SemiExt"/>
                    <w:color w:val="FFFFFF"/>
                    <w:sz w:val="18"/>
                    <w:szCs w:val="18"/>
                  </w:rPr>
                  <w:t>AL REPUBLICII MOLDOVA</w:t>
                </w:r>
              </w:p>
            </w:txbxContent>
          </v:textbox>
        </v:shape>
      </w:pict>
    </w:r>
  </w:p>
  <w:p w:rsidR="0084306F" w:rsidRDefault="00405621" w:rsidP="0084306F">
    <w:pPr>
      <w:pStyle w:val="a5"/>
      <w:spacing w:after="0" w:line="120" w:lineRule="auto"/>
      <w:jc w:val="right"/>
    </w:pPr>
  </w:p>
  <w:p w:rsidR="0084306F" w:rsidRPr="00AF7609" w:rsidRDefault="002D653A" w:rsidP="0084306F">
    <w:pPr>
      <w:pStyle w:val="a5"/>
      <w:spacing w:after="0" w:line="120" w:lineRule="auto"/>
      <w:jc w:val="right"/>
      <w:rPr>
        <w:rFonts w:cs="Constantia"/>
      </w:rPr>
    </w:pPr>
    <w:r w:rsidRPr="00975070">
      <w:rPr>
        <w:rFonts w:cs="Constanti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FDA"/>
    <w:multiLevelType w:val="hybridMultilevel"/>
    <w:tmpl w:val="33E2B24C"/>
    <w:lvl w:ilvl="0" w:tplc="45C86A3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E95EEB"/>
    <w:multiLevelType w:val="hybridMultilevel"/>
    <w:tmpl w:val="56C09794"/>
    <w:lvl w:ilvl="0" w:tplc="7764B658">
      <w:start w:val="1"/>
      <w:numFmt w:val="lowerLetter"/>
      <w:lvlText w:val="%1)"/>
      <w:lvlJc w:val="left"/>
      <w:pPr>
        <w:ind w:left="1080" w:hanging="360"/>
      </w:pPr>
      <w:rPr>
        <w:rFonts w:ascii="Verdana" w:eastAsiaTheme="minorHAnsi" w:hAnsi="Verdana"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7DB35C4"/>
    <w:multiLevelType w:val="hybridMultilevel"/>
    <w:tmpl w:val="52840EF4"/>
    <w:lvl w:ilvl="0" w:tplc="77B26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7C41F8"/>
    <w:multiLevelType w:val="hybridMultilevel"/>
    <w:tmpl w:val="0142B6F4"/>
    <w:lvl w:ilvl="0" w:tplc="B746801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A47EC7"/>
    <w:multiLevelType w:val="hybridMultilevel"/>
    <w:tmpl w:val="8626EDF8"/>
    <w:lvl w:ilvl="0" w:tplc="897E1D12">
      <w:start w:val="1"/>
      <w:numFmt w:val="lowerLetter"/>
      <w:lvlText w:val="%1)"/>
      <w:lvlJc w:val="left"/>
      <w:pPr>
        <w:ind w:left="1080" w:hanging="360"/>
      </w:pPr>
      <w:rPr>
        <w:rFonts w:eastAsiaTheme="minorHAnsi" w:cs="TimesNew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8D1F84"/>
    <w:multiLevelType w:val="hybridMultilevel"/>
    <w:tmpl w:val="0C625580"/>
    <w:lvl w:ilvl="0" w:tplc="9348AF9E">
      <w:start w:val="1"/>
      <w:numFmt w:val="lowerLetter"/>
      <w:lvlText w:val="%1)"/>
      <w:lvlJc w:val="left"/>
      <w:pPr>
        <w:ind w:left="1080" w:hanging="360"/>
      </w:pPr>
      <w:rPr>
        <w:rFonts w:ascii="Verdana" w:eastAsiaTheme="minorHAnsi" w:hAnsi="Verdana"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9B2A75"/>
    <w:multiLevelType w:val="hybridMultilevel"/>
    <w:tmpl w:val="93ACB8AC"/>
    <w:lvl w:ilvl="0" w:tplc="4EC66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E83C39"/>
    <w:multiLevelType w:val="hybridMultilevel"/>
    <w:tmpl w:val="A3BA99EA"/>
    <w:lvl w:ilvl="0" w:tplc="492A5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74A1DCD"/>
    <w:multiLevelType w:val="hybridMultilevel"/>
    <w:tmpl w:val="07C6B32E"/>
    <w:lvl w:ilvl="0" w:tplc="85CAFE7C">
      <w:start w:val="5"/>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F4747"/>
    <w:rsid w:val="00002932"/>
    <w:rsid w:val="00006A11"/>
    <w:rsid w:val="00012DB1"/>
    <w:rsid w:val="000174BF"/>
    <w:rsid w:val="00030077"/>
    <w:rsid w:val="00045D08"/>
    <w:rsid w:val="00050A48"/>
    <w:rsid w:val="000602B8"/>
    <w:rsid w:val="00061F4E"/>
    <w:rsid w:val="00062D05"/>
    <w:rsid w:val="00063EE4"/>
    <w:rsid w:val="00066F36"/>
    <w:rsid w:val="000678DD"/>
    <w:rsid w:val="00083A97"/>
    <w:rsid w:val="00085BEA"/>
    <w:rsid w:val="0008615B"/>
    <w:rsid w:val="000A081C"/>
    <w:rsid w:val="000A14D1"/>
    <w:rsid w:val="000A4C9A"/>
    <w:rsid w:val="000B2AAE"/>
    <w:rsid w:val="000B7B83"/>
    <w:rsid w:val="000D02E7"/>
    <w:rsid w:val="000D1085"/>
    <w:rsid w:val="000E528A"/>
    <w:rsid w:val="000E7942"/>
    <w:rsid w:val="000F3A8A"/>
    <w:rsid w:val="00105B51"/>
    <w:rsid w:val="00110C59"/>
    <w:rsid w:val="0011146D"/>
    <w:rsid w:val="00115669"/>
    <w:rsid w:val="0012744D"/>
    <w:rsid w:val="001406BD"/>
    <w:rsid w:val="0014251D"/>
    <w:rsid w:val="00146928"/>
    <w:rsid w:val="00151967"/>
    <w:rsid w:val="00161542"/>
    <w:rsid w:val="00161AA5"/>
    <w:rsid w:val="00164CBF"/>
    <w:rsid w:val="0016730B"/>
    <w:rsid w:val="001805F5"/>
    <w:rsid w:val="00181250"/>
    <w:rsid w:val="00181BB3"/>
    <w:rsid w:val="00183091"/>
    <w:rsid w:val="0018342E"/>
    <w:rsid w:val="00185604"/>
    <w:rsid w:val="0018561C"/>
    <w:rsid w:val="00186E7E"/>
    <w:rsid w:val="00186EF3"/>
    <w:rsid w:val="00187991"/>
    <w:rsid w:val="00194C9C"/>
    <w:rsid w:val="001B7034"/>
    <w:rsid w:val="001B71FA"/>
    <w:rsid w:val="001C5B6A"/>
    <w:rsid w:val="001D3C3E"/>
    <w:rsid w:val="001E0839"/>
    <w:rsid w:val="001E0F2E"/>
    <w:rsid w:val="001E38B6"/>
    <w:rsid w:val="001F2CCB"/>
    <w:rsid w:val="001F7EB4"/>
    <w:rsid w:val="002018B0"/>
    <w:rsid w:val="00207423"/>
    <w:rsid w:val="00210578"/>
    <w:rsid w:val="00221898"/>
    <w:rsid w:val="00230D84"/>
    <w:rsid w:val="00231656"/>
    <w:rsid w:val="002332D4"/>
    <w:rsid w:val="002334EC"/>
    <w:rsid w:val="00244A4A"/>
    <w:rsid w:val="00247229"/>
    <w:rsid w:val="00250CD4"/>
    <w:rsid w:val="00262FDF"/>
    <w:rsid w:val="0026415A"/>
    <w:rsid w:val="00264DFF"/>
    <w:rsid w:val="002720B6"/>
    <w:rsid w:val="00274BAB"/>
    <w:rsid w:val="002805B6"/>
    <w:rsid w:val="00290A63"/>
    <w:rsid w:val="00292451"/>
    <w:rsid w:val="00295358"/>
    <w:rsid w:val="002959B8"/>
    <w:rsid w:val="002A57BD"/>
    <w:rsid w:val="002B119E"/>
    <w:rsid w:val="002B21DA"/>
    <w:rsid w:val="002C16B6"/>
    <w:rsid w:val="002C7F39"/>
    <w:rsid w:val="002D32D8"/>
    <w:rsid w:val="002D653A"/>
    <w:rsid w:val="002E3684"/>
    <w:rsid w:val="002E7B44"/>
    <w:rsid w:val="002F151C"/>
    <w:rsid w:val="002F3ACC"/>
    <w:rsid w:val="002F6078"/>
    <w:rsid w:val="002F653B"/>
    <w:rsid w:val="002F7D57"/>
    <w:rsid w:val="00300386"/>
    <w:rsid w:val="00302683"/>
    <w:rsid w:val="00302CB8"/>
    <w:rsid w:val="00311169"/>
    <w:rsid w:val="0031219D"/>
    <w:rsid w:val="0031470F"/>
    <w:rsid w:val="003151CD"/>
    <w:rsid w:val="00325A7F"/>
    <w:rsid w:val="003311CC"/>
    <w:rsid w:val="003373CB"/>
    <w:rsid w:val="00337555"/>
    <w:rsid w:val="00340319"/>
    <w:rsid w:val="00343543"/>
    <w:rsid w:val="00344899"/>
    <w:rsid w:val="00354F2E"/>
    <w:rsid w:val="003563FC"/>
    <w:rsid w:val="0036493C"/>
    <w:rsid w:val="00365272"/>
    <w:rsid w:val="00366580"/>
    <w:rsid w:val="0036772C"/>
    <w:rsid w:val="003679D8"/>
    <w:rsid w:val="00371E0A"/>
    <w:rsid w:val="003751A7"/>
    <w:rsid w:val="00380682"/>
    <w:rsid w:val="0038102B"/>
    <w:rsid w:val="00381FDF"/>
    <w:rsid w:val="00386A8A"/>
    <w:rsid w:val="0039112C"/>
    <w:rsid w:val="00391D3D"/>
    <w:rsid w:val="0039220B"/>
    <w:rsid w:val="00397209"/>
    <w:rsid w:val="003B3B7F"/>
    <w:rsid w:val="003C6519"/>
    <w:rsid w:val="003C6F42"/>
    <w:rsid w:val="003C7B37"/>
    <w:rsid w:val="003D334A"/>
    <w:rsid w:val="003E278A"/>
    <w:rsid w:val="003E5DF9"/>
    <w:rsid w:val="003E6D7A"/>
    <w:rsid w:val="003F1317"/>
    <w:rsid w:val="003F2791"/>
    <w:rsid w:val="003F6EDE"/>
    <w:rsid w:val="00405621"/>
    <w:rsid w:val="00405938"/>
    <w:rsid w:val="004108ED"/>
    <w:rsid w:val="004119C0"/>
    <w:rsid w:val="0041592F"/>
    <w:rsid w:val="00416AE2"/>
    <w:rsid w:val="004203C3"/>
    <w:rsid w:val="00426B91"/>
    <w:rsid w:val="00442C37"/>
    <w:rsid w:val="00444FCF"/>
    <w:rsid w:val="00451F01"/>
    <w:rsid w:val="00455FC2"/>
    <w:rsid w:val="004712BD"/>
    <w:rsid w:val="004849FA"/>
    <w:rsid w:val="00485FE4"/>
    <w:rsid w:val="00495595"/>
    <w:rsid w:val="004A2197"/>
    <w:rsid w:val="004A63C0"/>
    <w:rsid w:val="004B5954"/>
    <w:rsid w:val="004D1231"/>
    <w:rsid w:val="004D2471"/>
    <w:rsid w:val="004E00C8"/>
    <w:rsid w:val="004E3A59"/>
    <w:rsid w:val="004E4B0E"/>
    <w:rsid w:val="004F03BD"/>
    <w:rsid w:val="004F38B3"/>
    <w:rsid w:val="004F4747"/>
    <w:rsid w:val="004F511F"/>
    <w:rsid w:val="0050707B"/>
    <w:rsid w:val="00510044"/>
    <w:rsid w:val="005205B6"/>
    <w:rsid w:val="00526110"/>
    <w:rsid w:val="00545AD8"/>
    <w:rsid w:val="005461E5"/>
    <w:rsid w:val="00551D51"/>
    <w:rsid w:val="0055210A"/>
    <w:rsid w:val="00552971"/>
    <w:rsid w:val="00556EDA"/>
    <w:rsid w:val="00557E2C"/>
    <w:rsid w:val="005623BF"/>
    <w:rsid w:val="00565F02"/>
    <w:rsid w:val="00573CC2"/>
    <w:rsid w:val="00576579"/>
    <w:rsid w:val="00577637"/>
    <w:rsid w:val="005804DC"/>
    <w:rsid w:val="005809DC"/>
    <w:rsid w:val="00583166"/>
    <w:rsid w:val="005945F7"/>
    <w:rsid w:val="00595029"/>
    <w:rsid w:val="005971CF"/>
    <w:rsid w:val="005A3458"/>
    <w:rsid w:val="005A3F80"/>
    <w:rsid w:val="005A4F17"/>
    <w:rsid w:val="005A68EA"/>
    <w:rsid w:val="005B0955"/>
    <w:rsid w:val="005B0DD3"/>
    <w:rsid w:val="005B3A08"/>
    <w:rsid w:val="005B483D"/>
    <w:rsid w:val="005B4F5D"/>
    <w:rsid w:val="005C0295"/>
    <w:rsid w:val="005C2DFC"/>
    <w:rsid w:val="005C2E06"/>
    <w:rsid w:val="005C7C04"/>
    <w:rsid w:val="005C7C59"/>
    <w:rsid w:val="005D204A"/>
    <w:rsid w:val="005D3087"/>
    <w:rsid w:val="005D3CB1"/>
    <w:rsid w:val="005E084E"/>
    <w:rsid w:val="005E27BD"/>
    <w:rsid w:val="005E2F5B"/>
    <w:rsid w:val="005E6347"/>
    <w:rsid w:val="005E6EEE"/>
    <w:rsid w:val="005F67BC"/>
    <w:rsid w:val="00600359"/>
    <w:rsid w:val="0061055A"/>
    <w:rsid w:val="0061242F"/>
    <w:rsid w:val="00613124"/>
    <w:rsid w:val="0061450F"/>
    <w:rsid w:val="006338BE"/>
    <w:rsid w:val="00633DD7"/>
    <w:rsid w:val="00633E2D"/>
    <w:rsid w:val="0063714B"/>
    <w:rsid w:val="00637F69"/>
    <w:rsid w:val="006415D8"/>
    <w:rsid w:val="00645289"/>
    <w:rsid w:val="00645F44"/>
    <w:rsid w:val="006467FD"/>
    <w:rsid w:val="006600D9"/>
    <w:rsid w:val="006605EA"/>
    <w:rsid w:val="00665ABE"/>
    <w:rsid w:val="0067650A"/>
    <w:rsid w:val="006802E3"/>
    <w:rsid w:val="00687853"/>
    <w:rsid w:val="006A1ACE"/>
    <w:rsid w:val="006A1BBF"/>
    <w:rsid w:val="006A5257"/>
    <w:rsid w:val="006B1042"/>
    <w:rsid w:val="006C3718"/>
    <w:rsid w:val="006C4F63"/>
    <w:rsid w:val="006C57F7"/>
    <w:rsid w:val="006C634F"/>
    <w:rsid w:val="006E1AB1"/>
    <w:rsid w:val="006E3BE5"/>
    <w:rsid w:val="006E5FAE"/>
    <w:rsid w:val="006E7D1D"/>
    <w:rsid w:val="006F0BC7"/>
    <w:rsid w:val="006F0D9B"/>
    <w:rsid w:val="006F5918"/>
    <w:rsid w:val="006F61AC"/>
    <w:rsid w:val="007202F9"/>
    <w:rsid w:val="007252E0"/>
    <w:rsid w:val="0073024B"/>
    <w:rsid w:val="007314EB"/>
    <w:rsid w:val="007446D8"/>
    <w:rsid w:val="00745441"/>
    <w:rsid w:val="00762A69"/>
    <w:rsid w:val="00770E5D"/>
    <w:rsid w:val="0077305E"/>
    <w:rsid w:val="007733C2"/>
    <w:rsid w:val="007769DB"/>
    <w:rsid w:val="00787B30"/>
    <w:rsid w:val="00792423"/>
    <w:rsid w:val="007951FC"/>
    <w:rsid w:val="00796E5A"/>
    <w:rsid w:val="007A0304"/>
    <w:rsid w:val="007A07C8"/>
    <w:rsid w:val="007A7A61"/>
    <w:rsid w:val="007A7CE7"/>
    <w:rsid w:val="007B41C5"/>
    <w:rsid w:val="007B4D13"/>
    <w:rsid w:val="007B5FF6"/>
    <w:rsid w:val="007C4DFE"/>
    <w:rsid w:val="007C583C"/>
    <w:rsid w:val="007D1276"/>
    <w:rsid w:val="007D1A93"/>
    <w:rsid w:val="007E0A27"/>
    <w:rsid w:val="007E3DB9"/>
    <w:rsid w:val="007F34D8"/>
    <w:rsid w:val="007F3913"/>
    <w:rsid w:val="007F6643"/>
    <w:rsid w:val="008034CB"/>
    <w:rsid w:val="00806F45"/>
    <w:rsid w:val="008133C4"/>
    <w:rsid w:val="0082053D"/>
    <w:rsid w:val="00821805"/>
    <w:rsid w:val="0084053B"/>
    <w:rsid w:val="00842481"/>
    <w:rsid w:val="00846635"/>
    <w:rsid w:val="00847DB9"/>
    <w:rsid w:val="0085206A"/>
    <w:rsid w:val="008541D3"/>
    <w:rsid w:val="00855AF8"/>
    <w:rsid w:val="00863D1A"/>
    <w:rsid w:val="00880626"/>
    <w:rsid w:val="0088696D"/>
    <w:rsid w:val="00887D4F"/>
    <w:rsid w:val="00892E6A"/>
    <w:rsid w:val="00897D95"/>
    <w:rsid w:val="008B1B25"/>
    <w:rsid w:val="008B4C29"/>
    <w:rsid w:val="008C165B"/>
    <w:rsid w:val="008C2056"/>
    <w:rsid w:val="008E6338"/>
    <w:rsid w:val="008E7390"/>
    <w:rsid w:val="008E7607"/>
    <w:rsid w:val="008F188C"/>
    <w:rsid w:val="008F5129"/>
    <w:rsid w:val="008F70E2"/>
    <w:rsid w:val="008F7E54"/>
    <w:rsid w:val="00906367"/>
    <w:rsid w:val="00915D7D"/>
    <w:rsid w:val="009234A8"/>
    <w:rsid w:val="00924DFB"/>
    <w:rsid w:val="0092531B"/>
    <w:rsid w:val="00925CF1"/>
    <w:rsid w:val="009303A9"/>
    <w:rsid w:val="00934CFC"/>
    <w:rsid w:val="009368D6"/>
    <w:rsid w:val="00937352"/>
    <w:rsid w:val="0094179A"/>
    <w:rsid w:val="009422EE"/>
    <w:rsid w:val="0094521D"/>
    <w:rsid w:val="00946DE7"/>
    <w:rsid w:val="00955B36"/>
    <w:rsid w:val="00967648"/>
    <w:rsid w:val="00967843"/>
    <w:rsid w:val="009753DE"/>
    <w:rsid w:val="00976570"/>
    <w:rsid w:val="00977DAC"/>
    <w:rsid w:val="00980EF8"/>
    <w:rsid w:val="00997972"/>
    <w:rsid w:val="009A5508"/>
    <w:rsid w:val="009A68A1"/>
    <w:rsid w:val="009B7DA8"/>
    <w:rsid w:val="009C274C"/>
    <w:rsid w:val="009D15BD"/>
    <w:rsid w:val="009D38A0"/>
    <w:rsid w:val="009E03ED"/>
    <w:rsid w:val="00A00ED4"/>
    <w:rsid w:val="00A02F22"/>
    <w:rsid w:val="00A04578"/>
    <w:rsid w:val="00A06AB0"/>
    <w:rsid w:val="00A07371"/>
    <w:rsid w:val="00A1005D"/>
    <w:rsid w:val="00A153A6"/>
    <w:rsid w:val="00A20B90"/>
    <w:rsid w:val="00A20FC6"/>
    <w:rsid w:val="00A216BD"/>
    <w:rsid w:val="00A31960"/>
    <w:rsid w:val="00A3409A"/>
    <w:rsid w:val="00A34A76"/>
    <w:rsid w:val="00A41617"/>
    <w:rsid w:val="00A41876"/>
    <w:rsid w:val="00A45A84"/>
    <w:rsid w:val="00A45C7E"/>
    <w:rsid w:val="00A662F6"/>
    <w:rsid w:val="00A73570"/>
    <w:rsid w:val="00A93B55"/>
    <w:rsid w:val="00A93BEC"/>
    <w:rsid w:val="00AA3338"/>
    <w:rsid w:val="00AA3F20"/>
    <w:rsid w:val="00AB00A3"/>
    <w:rsid w:val="00AB0DF5"/>
    <w:rsid w:val="00AB28EB"/>
    <w:rsid w:val="00AB4FE1"/>
    <w:rsid w:val="00AC0BBA"/>
    <w:rsid w:val="00AC520C"/>
    <w:rsid w:val="00AC6715"/>
    <w:rsid w:val="00AD142E"/>
    <w:rsid w:val="00AD44D8"/>
    <w:rsid w:val="00AE0744"/>
    <w:rsid w:val="00AE1397"/>
    <w:rsid w:val="00AE4447"/>
    <w:rsid w:val="00AF0F80"/>
    <w:rsid w:val="00B0164D"/>
    <w:rsid w:val="00B026BE"/>
    <w:rsid w:val="00B06C4F"/>
    <w:rsid w:val="00B07E68"/>
    <w:rsid w:val="00B110CB"/>
    <w:rsid w:val="00B24C01"/>
    <w:rsid w:val="00B2752E"/>
    <w:rsid w:val="00B303CD"/>
    <w:rsid w:val="00B32295"/>
    <w:rsid w:val="00B421F2"/>
    <w:rsid w:val="00B4220D"/>
    <w:rsid w:val="00B43E83"/>
    <w:rsid w:val="00B536B7"/>
    <w:rsid w:val="00B573A7"/>
    <w:rsid w:val="00B60C96"/>
    <w:rsid w:val="00B62E6A"/>
    <w:rsid w:val="00B64DE4"/>
    <w:rsid w:val="00B66134"/>
    <w:rsid w:val="00B66FD1"/>
    <w:rsid w:val="00B70042"/>
    <w:rsid w:val="00B7327F"/>
    <w:rsid w:val="00B75B7A"/>
    <w:rsid w:val="00B80474"/>
    <w:rsid w:val="00B913D1"/>
    <w:rsid w:val="00B92468"/>
    <w:rsid w:val="00B961C3"/>
    <w:rsid w:val="00BA0C94"/>
    <w:rsid w:val="00BA2F67"/>
    <w:rsid w:val="00BB38D0"/>
    <w:rsid w:val="00BB46DE"/>
    <w:rsid w:val="00BB47C6"/>
    <w:rsid w:val="00BB4A13"/>
    <w:rsid w:val="00BC3584"/>
    <w:rsid w:val="00BC57D6"/>
    <w:rsid w:val="00BC62D7"/>
    <w:rsid w:val="00BD39E9"/>
    <w:rsid w:val="00BD73F8"/>
    <w:rsid w:val="00BE30B9"/>
    <w:rsid w:val="00BF0740"/>
    <w:rsid w:val="00BF0CB7"/>
    <w:rsid w:val="00BF471B"/>
    <w:rsid w:val="00C04BB4"/>
    <w:rsid w:val="00C06790"/>
    <w:rsid w:val="00C07BFF"/>
    <w:rsid w:val="00C1616F"/>
    <w:rsid w:val="00C25DAE"/>
    <w:rsid w:val="00C25F45"/>
    <w:rsid w:val="00C321EE"/>
    <w:rsid w:val="00C36CE8"/>
    <w:rsid w:val="00C479DB"/>
    <w:rsid w:val="00C52024"/>
    <w:rsid w:val="00C5510C"/>
    <w:rsid w:val="00C62E3B"/>
    <w:rsid w:val="00C77FE5"/>
    <w:rsid w:val="00C81E8C"/>
    <w:rsid w:val="00C84D85"/>
    <w:rsid w:val="00C915EC"/>
    <w:rsid w:val="00C91654"/>
    <w:rsid w:val="00C974AA"/>
    <w:rsid w:val="00CA113C"/>
    <w:rsid w:val="00CA2F91"/>
    <w:rsid w:val="00CA6079"/>
    <w:rsid w:val="00CB3231"/>
    <w:rsid w:val="00CC409E"/>
    <w:rsid w:val="00CC7504"/>
    <w:rsid w:val="00CD03A9"/>
    <w:rsid w:val="00CE0B44"/>
    <w:rsid w:val="00CE1496"/>
    <w:rsid w:val="00CE36ED"/>
    <w:rsid w:val="00CE47F6"/>
    <w:rsid w:val="00CF297E"/>
    <w:rsid w:val="00CF5659"/>
    <w:rsid w:val="00D0648B"/>
    <w:rsid w:val="00D104BF"/>
    <w:rsid w:val="00D11128"/>
    <w:rsid w:val="00D13233"/>
    <w:rsid w:val="00D13F62"/>
    <w:rsid w:val="00D170CA"/>
    <w:rsid w:val="00D42D55"/>
    <w:rsid w:val="00D5102B"/>
    <w:rsid w:val="00D548CE"/>
    <w:rsid w:val="00D55819"/>
    <w:rsid w:val="00D6214A"/>
    <w:rsid w:val="00D7647C"/>
    <w:rsid w:val="00D77C8F"/>
    <w:rsid w:val="00D80D70"/>
    <w:rsid w:val="00D86D5F"/>
    <w:rsid w:val="00D9242E"/>
    <w:rsid w:val="00D92E7B"/>
    <w:rsid w:val="00D93332"/>
    <w:rsid w:val="00D95AF8"/>
    <w:rsid w:val="00DA1AA3"/>
    <w:rsid w:val="00DA52D7"/>
    <w:rsid w:val="00DA7F0C"/>
    <w:rsid w:val="00DB6437"/>
    <w:rsid w:val="00DC0CCB"/>
    <w:rsid w:val="00DC4302"/>
    <w:rsid w:val="00DC44A8"/>
    <w:rsid w:val="00DD195D"/>
    <w:rsid w:val="00DD3D22"/>
    <w:rsid w:val="00DD5463"/>
    <w:rsid w:val="00DE0492"/>
    <w:rsid w:val="00DE36BA"/>
    <w:rsid w:val="00DE482D"/>
    <w:rsid w:val="00DF17BE"/>
    <w:rsid w:val="00DF7C90"/>
    <w:rsid w:val="00E0435F"/>
    <w:rsid w:val="00E2090F"/>
    <w:rsid w:val="00E2603F"/>
    <w:rsid w:val="00E36BAE"/>
    <w:rsid w:val="00E42E35"/>
    <w:rsid w:val="00E438BD"/>
    <w:rsid w:val="00E44AAD"/>
    <w:rsid w:val="00E46604"/>
    <w:rsid w:val="00E46A63"/>
    <w:rsid w:val="00E56CD0"/>
    <w:rsid w:val="00E614E3"/>
    <w:rsid w:val="00E61F76"/>
    <w:rsid w:val="00E62328"/>
    <w:rsid w:val="00E75E57"/>
    <w:rsid w:val="00E76CDC"/>
    <w:rsid w:val="00E779C4"/>
    <w:rsid w:val="00E81F56"/>
    <w:rsid w:val="00E83660"/>
    <w:rsid w:val="00E85263"/>
    <w:rsid w:val="00E85453"/>
    <w:rsid w:val="00EA7B91"/>
    <w:rsid w:val="00EC152B"/>
    <w:rsid w:val="00EC16CE"/>
    <w:rsid w:val="00EC34FE"/>
    <w:rsid w:val="00EC4E30"/>
    <w:rsid w:val="00ED140D"/>
    <w:rsid w:val="00ED41DE"/>
    <w:rsid w:val="00EE5BE2"/>
    <w:rsid w:val="00EE7835"/>
    <w:rsid w:val="00EF50C7"/>
    <w:rsid w:val="00F00D9D"/>
    <w:rsid w:val="00F01A9E"/>
    <w:rsid w:val="00F02927"/>
    <w:rsid w:val="00F05FA5"/>
    <w:rsid w:val="00F1134B"/>
    <w:rsid w:val="00F21DC2"/>
    <w:rsid w:val="00F22CAA"/>
    <w:rsid w:val="00F311E6"/>
    <w:rsid w:val="00F54288"/>
    <w:rsid w:val="00F54FCD"/>
    <w:rsid w:val="00F55A69"/>
    <w:rsid w:val="00F61740"/>
    <w:rsid w:val="00F67213"/>
    <w:rsid w:val="00F715A4"/>
    <w:rsid w:val="00F74BE0"/>
    <w:rsid w:val="00F815AA"/>
    <w:rsid w:val="00F82195"/>
    <w:rsid w:val="00F83D56"/>
    <w:rsid w:val="00F87ACA"/>
    <w:rsid w:val="00F91D91"/>
    <w:rsid w:val="00F9698B"/>
    <w:rsid w:val="00FA023A"/>
    <w:rsid w:val="00FA1C84"/>
    <w:rsid w:val="00FB4C22"/>
    <w:rsid w:val="00FC130F"/>
    <w:rsid w:val="00FC754B"/>
    <w:rsid w:val="00FE1672"/>
    <w:rsid w:val="00FE19FD"/>
    <w:rsid w:val="00FE5CA2"/>
    <w:rsid w:val="00FF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D8"/>
    <w:pPr>
      <w:spacing w:after="0" w:line="240" w:lineRule="auto"/>
    </w:pPr>
    <w:rPr>
      <w:rFonts w:ascii="Constantia" w:eastAsia="Constantia" w:hAnsi="Constantia" w:cs="Times New Roman"/>
      <w:noProof/>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45AD8"/>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rsid w:val="00545AD8"/>
    <w:rPr>
      <w:rFonts w:ascii="Constantia" w:eastAsia="Times New Roman" w:hAnsi="Constantia" w:cs="Times New Roman"/>
      <w:sz w:val="20"/>
      <w:szCs w:val="20"/>
      <w:lang w:val="ro-RO"/>
    </w:rPr>
  </w:style>
  <w:style w:type="paragraph" w:styleId="a5">
    <w:name w:val="header"/>
    <w:basedOn w:val="a"/>
    <w:link w:val="a6"/>
    <w:unhideWhenUsed/>
    <w:rsid w:val="00545AD8"/>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rsid w:val="00545AD8"/>
    <w:rPr>
      <w:rFonts w:ascii="Constantia" w:eastAsia="Times New Roman" w:hAnsi="Constantia" w:cs="Times New Roman"/>
      <w:sz w:val="20"/>
      <w:szCs w:val="20"/>
      <w:lang w:val="ro-RO"/>
    </w:rPr>
  </w:style>
  <w:style w:type="character" w:styleId="a7">
    <w:name w:val="Hyperlink"/>
    <w:basedOn w:val="a0"/>
    <w:unhideWhenUsed/>
    <w:rsid w:val="00545AD8"/>
    <w:rPr>
      <w:color w:val="0000FF"/>
      <w:u w:val="single"/>
    </w:rPr>
  </w:style>
  <w:style w:type="paragraph" w:customStyle="1" w:styleId="Antetstnga">
    <w:name w:val="Antet stânga"/>
    <w:basedOn w:val="a5"/>
    <w:unhideWhenUsed/>
    <w:qFormat/>
    <w:rsid w:val="00545AD8"/>
    <w:pPr>
      <w:pBdr>
        <w:bottom w:val="dashed" w:sz="4" w:space="18" w:color="7F7F7F"/>
      </w:pBdr>
      <w:spacing w:line="396" w:lineRule="auto"/>
    </w:pPr>
    <w:rPr>
      <w:color w:val="7F7F7F"/>
    </w:rPr>
  </w:style>
  <w:style w:type="paragraph" w:customStyle="1" w:styleId="Subsolstnga">
    <w:name w:val="Subsol stânga"/>
    <w:basedOn w:val="a"/>
    <w:next w:val="a"/>
    <w:unhideWhenUsed/>
    <w:qFormat/>
    <w:rsid w:val="00545AD8"/>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customStyle="1" w:styleId="Subsoldreapta">
    <w:name w:val="Subsol dreapta"/>
    <w:basedOn w:val="a3"/>
    <w:unhideWhenUsed/>
    <w:qFormat/>
    <w:rsid w:val="00545AD8"/>
    <w:pPr>
      <w:pBdr>
        <w:top w:val="dashed" w:sz="4" w:space="18" w:color="7F7F7F"/>
      </w:pBdr>
      <w:jc w:val="right"/>
    </w:pPr>
    <w:rPr>
      <w:color w:val="7F7F7F"/>
    </w:rPr>
  </w:style>
  <w:style w:type="paragraph" w:customStyle="1" w:styleId="Antetdreapta">
    <w:name w:val="Antet dreapta"/>
    <w:basedOn w:val="a5"/>
    <w:unhideWhenUsed/>
    <w:qFormat/>
    <w:rsid w:val="00545AD8"/>
    <w:pPr>
      <w:pBdr>
        <w:bottom w:val="dashed" w:sz="4" w:space="18" w:color="7F7F7F"/>
      </w:pBdr>
      <w:jc w:val="right"/>
    </w:pPr>
    <w:rPr>
      <w:color w:val="7F7F7F"/>
    </w:rPr>
  </w:style>
  <w:style w:type="paragraph" w:styleId="a8">
    <w:name w:val="Balloon Text"/>
    <w:basedOn w:val="a"/>
    <w:link w:val="a9"/>
    <w:uiPriority w:val="99"/>
    <w:semiHidden/>
    <w:unhideWhenUsed/>
    <w:rsid w:val="00545AD8"/>
    <w:rPr>
      <w:rFonts w:ascii="Tahoma" w:hAnsi="Tahoma" w:cs="Tahoma"/>
      <w:sz w:val="16"/>
      <w:szCs w:val="16"/>
    </w:rPr>
  </w:style>
  <w:style w:type="character" w:customStyle="1" w:styleId="a9">
    <w:name w:val="Текст выноски Знак"/>
    <w:basedOn w:val="a0"/>
    <w:link w:val="a8"/>
    <w:uiPriority w:val="99"/>
    <w:semiHidden/>
    <w:rsid w:val="00545AD8"/>
    <w:rPr>
      <w:rFonts w:ascii="Tahoma" w:eastAsia="Constantia" w:hAnsi="Tahoma" w:cs="Tahoma"/>
      <w:noProof/>
      <w:sz w:val="16"/>
      <w:szCs w:val="16"/>
      <w:lang w:val="ro-RO"/>
    </w:rPr>
  </w:style>
  <w:style w:type="paragraph" w:styleId="aa">
    <w:name w:val="Normal (Web)"/>
    <w:basedOn w:val="a"/>
    <w:uiPriority w:val="99"/>
    <w:unhideWhenUsed/>
    <w:rsid w:val="00545AD8"/>
    <w:pPr>
      <w:ind w:firstLine="567"/>
      <w:jc w:val="both"/>
    </w:pPr>
    <w:rPr>
      <w:rFonts w:ascii="Times New Roman" w:eastAsia="Times New Roman" w:hAnsi="Times New Roman"/>
      <w:noProof w:val="0"/>
      <w:sz w:val="24"/>
      <w:szCs w:val="24"/>
      <w:lang w:val="en-US"/>
    </w:rPr>
  </w:style>
  <w:style w:type="paragraph" w:styleId="ab">
    <w:name w:val="List Paragraph"/>
    <w:basedOn w:val="a"/>
    <w:uiPriority w:val="99"/>
    <w:qFormat/>
    <w:rsid w:val="00545AD8"/>
    <w:pPr>
      <w:spacing w:after="200" w:line="276" w:lineRule="auto"/>
      <w:ind w:left="720"/>
      <w:contextualSpacing/>
    </w:pPr>
    <w:rPr>
      <w:rFonts w:ascii="Calibri" w:eastAsia="Calibri" w:hAnsi="Calibri"/>
      <w:noProof w:val="0"/>
      <w:lang w:val="en-US"/>
    </w:rPr>
  </w:style>
  <w:style w:type="character" w:customStyle="1" w:styleId="docheader1">
    <w:name w:val="doc_header1"/>
    <w:basedOn w:val="a0"/>
    <w:rsid w:val="00545AD8"/>
    <w:rPr>
      <w:rFonts w:ascii="Times New Roman" w:hAnsi="Times New Roman" w:cs="Times New Roman" w:hint="default"/>
      <w:b/>
      <w:bCs/>
      <w:color w:val="000000"/>
      <w:sz w:val="24"/>
      <w:szCs w:val="24"/>
    </w:rPr>
  </w:style>
  <w:style w:type="character" w:customStyle="1" w:styleId="docsign11">
    <w:name w:val="doc_sign11"/>
    <w:basedOn w:val="a0"/>
    <w:rsid w:val="00545AD8"/>
    <w:rPr>
      <w:rFonts w:ascii="Times New Roman" w:hAnsi="Times New Roman" w:cs="Times New Roman" w:hint="default"/>
      <w:b/>
      <w:bCs/>
      <w:color w:val="000000"/>
      <w:sz w:val="22"/>
      <w:szCs w:val="22"/>
    </w:rPr>
  </w:style>
  <w:style w:type="character" w:customStyle="1" w:styleId="spar">
    <w:name w:val="s_par"/>
    <w:basedOn w:val="a0"/>
    <w:rsid w:val="00545AD8"/>
  </w:style>
  <w:style w:type="character" w:customStyle="1" w:styleId="slitbdy">
    <w:name w:val="s_lit_bdy"/>
    <w:basedOn w:val="a0"/>
    <w:rsid w:val="00545AD8"/>
  </w:style>
  <w:style w:type="table" w:styleId="ac">
    <w:name w:val="Table Grid"/>
    <w:basedOn w:val="a1"/>
    <w:uiPriority w:val="59"/>
    <w:rsid w:val="00545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a"/>
    <w:rsid w:val="00F91D91"/>
    <w:pPr>
      <w:spacing w:before="100" w:beforeAutospacing="1" w:after="100" w:afterAutospacing="1"/>
    </w:pPr>
    <w:rPr>
      <w:rFonts w:ascii="Times New Roman" w:eastAsia="Times New Roman" w:hAnsi="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D8"/>
    <w:pPr>
      <w:spacing w:after="0" w:line="240" w:lineRule="auto"/>
    </w:pPr>
    <w:rPr>
      <w:rFonts w:ascii="Constantia" w:eastAsia="Constantia" w:hAnsi="Constantia" w:cs="Times New Roman"/>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45AD8"/>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rsid w:val="00545AD8"/>
    <w:rPr>
      <w:rFonts w:ascii="Constantia" w:eastAsia="Times New Roman" w:hAnsi="Constantia" w:cs="Times New Roman"/>
      <w:sz w:val="20"/>
      <w:szCs w:val="20"/>
      <w:lang w:val="ro-RO"/>
    </w:rPr>
  </w:style>
  <w:style w:type="paragraph" w:styleId="a5">
    <w:name w:val="header"/>
    <w:basedOn w:val="a"/>
    <w:link w:val="a6"/>
    <w:unhideWhenUsed/>
    <w:rsid w:val="00545AD8"/>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rsid w:val="00545AD8"/>
    <w:rPr>
      <w:rFonts w:ascii="Constantia" w:eastAsia="Times New Roman" w:hAnsi="Constantia" w:cs="Times New Roman"/>
      <w:sz w:val="20"/>
      <w:szCs w:val="20"/>
      <w:lang w:val="ro-RO"/>
    </w:rPr>
  </w:style>
  <w:style w:type="character" w:styleId="a7">
    <w:name w:val="Hyperlink"/>
    <w:basedOn w:val="a0"/>
    <w:unhideWhenUsed/>
    <w:rsid w:val="00545AD8"/>
    <w:rPr>
      <w:color w:val="0000FF"/>
      <w:u w:val="single"/>
    </w:rPr>
  </w:style>
  <w:style w:type="paragraph" w:customStyle="1" w:styleId="Antetstnga">
    <w:name w:val="Antet stânga"/>
    <w:basedOn w:val="a5"/>
    <w:unhideWhenUsed/>
    <w:qFormat/>
    <w:rsid w:val="00545AD8"/>
    <w:pPr>
      <w:pBdr>
        <w:bottom w:val="dashed" w:sz="4" w:space="18" w:color="7F7F7F"/>
      </w:pBdr>
      <w:spacing w:line="396" w:lineRule="auto"/>
    </w:pPr>
    <w:rPr>
      <w:color w:val="7F7F7F"/>
    </w:rPr>
  </w:style>
  <w:style w:type="paragraph" w:customStyle="1" w:styleId="Subsolstnga">
    <w:name w:val="Subsol stânga"/>
    <w:basedOn w:val="a"/>
    <w:next w:val="a"/>
    <w:unhideWhenUsed/>
    <w:qFormat/>
    <w:rsid w:val="00545AD8"/>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customStyle="1" w:styleId="Subsoldreapta">
    <w:name w:val="Subsol dreapta"/>
    <w:basedOn w:val="a3"/>
    <w:unhideWhenUsed/>
    <w:qFormat/>
    <w:rsid w:val="00545AD8"/>
    <w:pPr>
      <w:pBdr>
        <w:top w:val="dashed" w:sz="4" w:space="18" w:color="7F7F7F"/>
      </w:pBdr>
      <w:jc w:val="right"/>
    </w:pPr>
    <w:rPr>
      <w:color w:val="7F7F7F"/>
    </w:rPr>
  </w:style>
  <w:style w:type="paragraph" w:customStyle="1" w:styleId="Antetdreapta">
    <w:name w:val="Antet dreapta"/>
    <w:basedOn w:val="a5"/>
    <w:unhideWhenUsed/>
    <w:qFormat/>
    <w:rsid w:val="00545AD8"/>
    <w:pPr>
      <w:pBdr>
        <w:bottom w:val="dashed" w:sz="4" w:space="18" w:color="7F7F7F"/>
      </w:pBdr>
      <w:jc w:val="right"/>
    </w:pPr>
    <w:rPr>
      <w:color w:val="7F7F7F"/>
    </w:rPr>
  </w:style>
  <w:style w:type="paragraph" w:styleId="a8">
    <w:name w:val="Balloon Text"/>
    <w:basedOn w:val="a"/>
    <w:link w:val="a9"/>
    <w:uiPriority w:val="99"/>
    <w:semiHidden/>
    <w:unhideWhenUsed/>
    <w:rsid w:val="00545AD8"/>
    <w:rPr>
      <w:rFonts w:ascii="Tahoma" w:hAnsi="Tahoma" w:cs="Tahoma"/>
      <w:sz w:val="16"/>
      <w:szCs w:val="16"/>
    </w:rPr>
  </w:style>
  <w:style w:type="character" w:customStyle="1" w:styleId="a9">
    <w:name w:val="Текст выноски Знак"/>
    <w:basedOn w:val="a0"/>
    <w:link w:val="a8"/>
    <w:uiPriority w:val="99"/>
    <w:semiHidden/>
    <w:rsid w:val="00545AD8"/>
    <w:rPr>
      <w:rFonts w:ascii="Tahoma" w:eastAsia="Constantia" w:hAnsi="Tahoma" w:cs="Tahoma"/>
      <w:noProof/>
      <w:sz w:val="16"/>
      <w:szCs w:val="16"/>
      <w:lang w:val="ro-RO"/>
    </w:rPr>
  </w:style>
  <w:style w:type="paragraph" w:styleId="aa">
    <w:name w:val="Normal (Web)"/>
    <w:basedOn w:val="a"/>
    <w:uiPriority w:val="99"/>
    <w:unhideWhenUsed/>
    <w:rsid w:val="00545AD8"/>
    <w:pPr>
      <w:ind w:firstLine="567"/>
      <w:jc w:val="both"/>
    </w:pPr>
    <w:rPr>
      <w:rFonts w:ascii="Times New Roman" w:eastAsia="Times New Roman" w:hAnsi="Times New Roman"/>
      <w:noProof w:val="0"/>
      <w:sz w:val="24"/>
      <w:szCs w:val="24"/>
      <w:lang w:val="en-US"/>
    </w:rPr>
  </w:style>
  <w:style w:type="paragraph" w:styleId="ab">
    <w:name w:val="List Paragraph"/>
    <w:basedOn w:val="a"/>
    <w:uiPriority w:val="99"/>
    <w:qFormat/>
    <w:rsid w:val="00545AD8"/>
    <w:pPr>
      <w:spacing w:after="200" w:line="276" w:lineRule="auto"/>
      <w:ind w:left="720"/>
      <w:contextualSpacing/>
    </w:pPr>
    <w:rPr>
      <w:rFonts w:ascii="Calibri" w:eastAsia="Calibri" w:hAnsi="Calibri"/>
      <w:noProof w:val="0"/>
      <w:lang w:val="en-US"/>
    </w:rPr>
  </w:style>
  <w:style w:type="character" w:customStyle="1" w:styleId="docheader1">
    <w:name w:val="doc_header1"/>
    <w:basedOn w:val="a0"/>
    <w:rsid w:val="00545AD8"/>
    <w:rPr>
      <w:rFonts w:ascii="Times New Roman" w:hAnsi="Times New Roman" w:cs="Times New Roman" w:hint="default"/>
      <w:b/>
      <w:bCs/>
      <w:color w:val="000000"/>
      <w:sz w:val="24"/>
      <w:szCs w:val="24"/>
    </w:rPr>
  </w:style>
  <w:style w:type="character" w:customStyle="1" w:styleId="docsign11">
    <w:name w:val="doc_sign11"/>
    <w:basedOn w:val="a0"/>
    <w:rsid w:val="00545AD8"/>
    <w:rPr>
      <w:rFonts w:ascii="Times New Roman" w:hAnsi="Times New Roman" w:cs="Times New Roman" w:hint="default"/>
      <w:b/>
      <w:bCs/>
      <w:color w:val="000000"/>
      <w:sz w:val="22"/>
      <w:szCs w:val="22"/>
    </w:rPr>
  </w:style>
  <w:style w:type="character" w:customStyle="1" w:styleId="spar">
    <w:name w:val="s_par"/>
    <w:basedOn w:val="a0"/>
    <w:rsid w:val="00545AD8"/>
  </w:style>
  <w:style w:type="character" w:customStyle="1" w:styleId="slitbdy">
    <w:name w:val="s_lit_bdy"/>
    <w:basedOn w:val="a0"/>
    <w:rsid w:val="00545AD8"/>
  </w:style>
  <w:style w:type="table" w:styleId="ac">
    <w:name w:val="Table Grid"/>
    <w:basedOn w:val="a1"/>
    <w:uiPriority w:val="59"/>
    <w:rsid w:val="0054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a"/>
    <w:rsid w:val="00F91D91"/>
    <w:pPr>
      <w:spacing w:before="100" w:beforeAutospacing="1" w:after="100" w:afterAutospacing="1"/>
    </w:pPr>
    <w:rPr>
      <w:rFonts w:ascii="Times New Roman" w:eastAsia="Times New Roman" w:hAnsi="Times New Roman"/>
      <w:noProof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D:\Downloads\TEXT=LPLP199712171409"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abucur</cp:lastModifiedBy>
  <cp:revision>5</cp:revision>
  <dcterms:created xsi:type="dcterms:W3CDTF">2015-10-26T15:04:00Z</dcterms:created>
  <dcterms:modified xsi:type="dcterms:W3CDTF">2015-10-26T15:16:00Z</dcterms:modified>
</cp:coreProperties>
</file>