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4B" w:rsidRPr="00AE0FDE" w:rsidRDefault="007A434B" w:rsidP="007A434B">
      <w:pPr>
        <w:spacing w:line="360" w:lineRule="auto"/>
        <w:ind w:left="360" w:hanging="360"/>
        <w:jc w:val="right"/>
        <w:rPr>
          <w:i/>
          <w:caps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proiect</w:t>
      </w:r>
    </w:p>
    <w:p w:rsidR="007A434B" w:rsidRPr="0070354A" w:rsidRDefault="007A434B" w:rsidP="007A434B">
      <w:pPr>
        <w:spacing w:line="360" w:lineRule="auto"/>
        <w:ind w:left="360" w:hanging="360"/>
        <w:jc w:val="center"/>
        <w:rPr>
          <w:b/>
          <w:caps/>
          <w:sz w:val="28"/>
          <w:szCs w:val="28"/>
          <w:lang w:val="ro-RO" w:eastAsia="ru-RU"/>
        </w:rPr>
      </w:pPr>
      <w:r w:rsidRPr="0070354A">
        <w:rPr>
          <w:b/>
          <w:caps/>
          <w:sz w:val="28"/>
          <w:szCs w:val="28"/>
          <w:lang w:val="ro-RO"/>
        </w:rPr>
        <w:t>GUVERNUL REPUBLICII MOLDOVA</w:t>
      </w:r>
    </w:p>
    <w:p w:rsidR="007A434B" w:rsidRPr="0070354A" w:rsidRDefault="007A434B" w:rsidP="007A434B">
      <w:pPr>
        <w:spacing w:line="360" w:lineRule="auto"/>
        <w:jc w:val="center"/>
        <w:rPr>
          <w:sz w:val="28"/>
          <w:szCs w:val="28"/>
          <w:lang w:val="ro-RO" w:eastAsia="ru-RU"/>
        </w:rPr>
      </w:pPr>
      <w:r w:rsidRPr="0070354A">
        <w:rPr>
          <w:caps/>
          <w:sz w:val="28"/>
          <w:szCs w:val="28"/>
          <w:lang w:val="ro-RO"/>
        </w:rPr>
        <w:t xml:space="preserve">hotărîre  </w:t>
      </w:r>
      <w:r w:rsidRPr="0070354A">
        <w:rPr>
          <w:sz w:val="28"/>
          <w:szCs w:val="28"/>
          <w:lang w:val="ro-RO"/>
        </w:rPr>
        <w:t>nr. ___________</w:t>
      </w:r>
    </w:p>
    <w:p w:rsidR="007A434B" w:rsidRPr="0070354A" w:rsidRDefault="007A434B" w:rsidP="007A434B">
      <w:pPr>
        <w:spacing w:line="360" w:lineRule="auto"/>
        <w:jc w:val="center"/>
        <w:rPr>
          <w:sz w:val="28"/>
          <w:szCs w:val="28"/>
          <w:lang w:val="ro-RO" w:eastAsia="ru-RU"/>
        </w:rPr>
      </w:pPr>
      <w:r w:rsidRPr="0070354A">
        <w:rPr>
          <w:sz w:val="28"/>
          <w:szCs w:val="28"/>
          <w:lang w:val="ro-RO"/>
        </w:rPr>
        <w:t>din _____________________ 2015</w:t>
      </w:r>
    </w:p>
    <w:p w:rsidR="007A434B" w:rsidRPr="0070354A" w:rsidRDefault="007A434B" w:rsidP="007A434B">
      <w:pPr>
        <w:pStyle w:val="12titlu"/>
        <w:spacing w:line="240" w:lineRule="auto"/>
        <w:ind w:firstLine="672"/>
        <w:rPr>
          <w:b w:val="0"/>
          <w:i w:val="0"/>
          <w:szCs w:val="28"/>
        </w:rPr>
      </w:pPr>
    </w:p>
    <w:p w:rsidR="007A434B" w:rsidRPr="00D45619" w:rsidRDefault="007A434B" w:rsidP="007A434B">
      <w:pPr>
        <w:pStyle w:val="12titlu"/>
        <w:spacing w:line="240" w:lineRule="auto"/>
        <w:ind w:firstLine="672"/>
        <w:jc w:val="center"/>
        <w:rPr>
          <w:i w:val="0"/>
          <w:szCs w:val="28"/>
        </w:rPr>
      </w:pPr>
      <w:r w:rsidRPr="00D45619">
        <w:rPr>
          <w:i w:val="0"/>
          <w:szCs w:val="28"/>
        </w:rPr>
        <w:t xml:space="preserve">Cu privire la acreditarea organizării și retragerea dreptului de organizare a programelor de studii superioare de </w:t>
      </w:r>
      <w:r>
        <w:rPr>
          <w:i w:val="0"/>
          <w:szCs w:val="28"/>
        </w:rPr>
        <w:t>master</w:t>
      </w:r>
      <w:r w:rsidRPr="00D45619">
        <w:rPr>
          <w:i w:val="0"/>
          <w:szCs w:val="28"/>
        </w:rPr>
        <w:t xml:space="preserve"> (ciclul </w:t>
      </w:r>
      <w:r>
        <w:rPr>
          <w:i w:val="0"/>
          <w:szCs w:val="28"/>
        </w:rPr>
        <w:t>I</w:t>
      </w:r>
      <w:r w:rsidRPr="00D45619">
        <w:rPr>
          <w:i w:val="0"/>
          <w:szCs w:val="28"/>
        </w:rPr>
        <w:t>I) în domeniul Drept</w:t>
      </w:r>
      <w:r w:rsidRPr="00D45619">
        <w:rPr>
          <w:szCs w:val="28"/>
        </w:rPr>
        <w:t xml:space="preserve"> </w:t>
      </w:r>
      <w:r w:rsidRPr="00D45619">
        <w:rPr>
          <w:i w:val="0"/>
          <w:szCs w:val="28"/>
        </w:rPr>
        <w:t>în instituțiile  de învățămînt superior din Republica Moldova</w:t>
      </w:r>
    </w:p>
    <w:p w:rsidR="007A434B" w:rsidRPr="00D45619" w:rsidRDefault="007A434B" w:rsidP="007A434B">
      <w:pPr>
        <w:ind w:left="360" w:hanging="360"/>
        <w:jc w:val="both"/>
        <w:rPr>
          <w:sz w:val="28"/>
          <w:szCs w:val="28"/>
          <w:lang w:val="ro-RO"/>
        </w:rPr>
      </w:pPr>
    </w:p>
    <w:p w:rsidR="007A434B" w:rsidRPr="00D45619" w:rsidRDefault="007A434B" w:rsidP="007A434B">
      <w:pPr>
        <w:pStyle w:val="BlockText"/>
        <w:tabs>
          <w:tab w:val="left" w:pos="720"/>
        </w:tabs>
        <w:spacing w:after="120"/>
        <w:ind w:left="-115" w:right="-360" w:firstLine="0"/>
      </w:pPr>
      <w:r w:rsidRPr="00D45619">
        <w:tab/>
      </w:r>
      <w:r>
        <w:t xml:space="preserve">În temeiul prevederilor art.113 </w:t>
      </w:r>
      <w:r w:rsidRPr="00D45619">
        <w:t>alin.(4) al art.113 și art.114 alin. (9) și (10)  din Codul Educației al Republicii Moldova nr. 152 din 17 iulie 2014 (Monitorul Oficial al Republicii Moldova, 2014, nr.319-324, art.634)</w:t>
      </w:r>
      <w:r>
        <w:t xml:space="preserve">, </w:t>
      </w:r>
      <w:r w:rsidRPr="00D45619">
        <w:t xml:space="preserve">în scopul executării </w:t>
      </w:r>
      <w:r>
        <w:t xml:space="preserve">prevederii </w:t>
      </w:r>
      <w:r w:rsidRPr="00D45619">
        <w:t>pct.7.2.1. subpct.1 din Planul de ac</w:t>
      </w:r>
      <w:r>
        <w:t>ţ</w:t>
      </w:r>
      <w:r w:rsidRPr="00D45619">
        <w:t>iuni pentru implementarea Strategiei de reformă a sectorului justiției pentru anii 2011-2016 aprobat prin Hotărîrea Parlamentului nr.6 din 16.02.2012 (Monitorul Oficial al Republicii Moldova, 2012, nr.109-112, art.371)</w:t>
      </w:r>
      <w:r>
        <w:t xml:space="preserve">, precum și în baza </w:t>
      </w:r>
      <w:r w:rsidRPr="00D45619">
        <w:t xml:space="preserve">evaluării externe realizate de Agenţia </w:t>
      </w:r>
      <w:r>
        <w:t>Estoniană</w:t>
      </w:r>
      <w:r w:rsidRPr="00D45619">
        <w:t xml:space="preserve"> de Asigurare a Calităţii în Învăţămîntul Superior, </w:t>
      </w:r>
      <w:r w:rsidRPr="00D45619">
        <w:rPr>
          <w:b/>
        </w:rPr>
        <w:t>Guvernul HOTĂRĂŞTE</w:t>
      </w:r>
      <w:r w:rsidRPr="00D45619">
        <w:t>:</w:t>
      </w:r>
    </w:p>
    <w:p w:rsidR="007A434B" w:rsidRPr="00D45619" w:rsidRDefault="007A434B" w:rsidP="007A434B">
      <w:pPr>
        <w:pStyle w:val="BlockText"/>
        <w:numPr>
          <w:ilvl w:val="0"/>
          <w:numId w:val="1"/>
        </w:numPr>
        <w:tabs>
          <w:tab w:val="clear" w:pos="720"/>
          <w:tab w:val="num" w:pos="900"/>
          <w:tab w:val="left" w:pos="1200"/>
        </w:tabs>
        <w:spacing w:after="120"/>
        <w:ind w:left="-115" w:right="-360" w:firstLine="840"/>
      </w:pPr>
      <w:r w:rsidRPr="00D45619">
        <w:t xml:space="preserve">Se aprobă acreditarea organizării programelor de studii superioare de </w:t>
      </w:r>
      <w:r>
        <w:t>master</w:t>
      </w:r>
      <w:r w:rsidRPr="00D45619">
        <w:t xml:space="preserve"> (ciclul I</w:t>
      </w:r>
      <w:r>
        <w:t>I</w:t>
      </w:r>
      <w:r w:rsidRPr="00D45619">
        <w:t xml:space="preserve">) în domeniul Drept pentru instituțiile de învățămînt superior cuprinse în anexa nr.1. </w:t>
      </w:r>
    </w:p>
    <w:p w:rsidR="007A434B" w:rsidRPr="00D45619" w:rsidRDefault="007A434B" w:rsidP="007A434B">
      <w:pPr>
        <w:pStyle w:val="BlockText"/>
        <w:numPr>
          <w:ilvl w:val="0"/>
          <w:numId w:val="1"/>
        </w:numPr>
        <w:tabs>
          <w:tab w:val="clear" w:pos="720"/>
          <w:tab w:val="num" w:pos="900"/>
          <w:tab w:val="left" w:pos="1200"/>
        </w:tabs>
        <w:spacing w:after="120"/>
        <w:ind w:left="-115" w:right="-360" w:firstLine="840"/>
      </w:pPr>
      <w:r w:rsidRPr="00D45619">
        <w:t>Se retrage dreptul de organizare a</w:t>
      </w:r>
      <w:bookmarkStart w:id="0" w:name="_GoBack"/>
      <w:bookmarkEnd w:id="0"/>
      <w:r w:rsidRPr="00D45619">
        <w:t xml:space="preserve"> programelor de studii superioare de </w:t>
      </w:r>
      <w:r>
        <w:t>master</w:t>
      </w:r>
      <w:r w:rsidRPr="00D45619">
        <w:t xml:space="preserve"> (ciclul </w:t>
      </w:r>
      <w:r>
        <w:t>I</w:t>
      </w:r>
      <w:r w:rsidRPr="00D45619">
        <w:t>I) în domeniul Drept pentru instituțiile de învățămînt superior cuprinse în anexa nr.2.</w:t>
      </w:r>
    </w:p>
    <w:p w:rsidR="007A434B" w:rsidRPr="00D45619" w:rsidRDefault="007A434B" w:rsidP="007A434B">
      <w:pPr>
        <w:pStyle w:val="BlockText"/>
        <w:numPr>
          <w:ilvl w:val="0"/>
          <w:numId w:val="1"/>
        </w:numPr>
        <w:tabs>
          <w:tab w:val="clear" w:pos="720"/>
          <w:tab w:val="num" w:pos="900"/>
          <w:tab w:val="left" w:pos="1200"/>
        </w:tabs>
        <w:spacing w:after="120"/>
        <w:ind w:left="-115" w:right="-360" w:firstLine="840"/>
      </w:pPr>
      <w:r w:rsidRPr="00D45619">
        <w:t>Instituțiile de învățămînt superior vor implementa recomandările menționate în rapoartele de evaluare externă</w:t>
      </w:r>
      <w:r>
        <w:t>, iar</w:t>
      </w:r>
      <w:r w:rsidRPr="00D45619">
        <w:t xml:space="preserve"> Agenţi</w:t>
      </w:r>
      <w:r>
        <w:t>a</w:t>
      </w:r>
      <w:r w:rsidRPr="00D45619">
        <w:t xml:space="preserve"> Naţional</w:t>
      </w:r>
      <w:r>
        <w:t>ă</w:t>
      </w:r>
      <w:r w:rsidRPr="00D45619">
        <w:t xml:space="preserve"> de Asigurare a Calităţii în Învăţămîntul Profesional </w:t>
      </w:r>
      <w:r>
        <w:t xml:space="preserve">va </w:t>
      </w:r>
      <w:r w:rsidRPr="00D45619">
        <w:t>monitoriza procesul de implementare a recomandărilor de către instituțiile de învățămînt superior conform rapoartelor de evaluare externă</w:t>
      </w:r>
      <w:r>
        <w:t xml:space="preserve"> a acestora</w:t>
      </w:r>
      <w:r w:rsidRPr="00D45619">
        <w:t>.</w:t>
      </w:r>
    </w:p>
    <w:p w:rsidR="007A434B" w:rsidRPr="007A434B" w:rsidRDefault="007A434B" w:rsidP="007A434B">
      <w:pPr>
        <w:pStyle w:val="BlockText"/>
        <w:numPr>
          <w:ilvl w:val="0"/>
          <w:numId w:val="1"/>
        </w:numPr>
        <w:tabs>
          <w:tab w:val="clear" w:pos="720"/>
          <w:tab w:val="num" w:pos="900"/>
          <w:tab w:val="left" w:pos="1200"/>
        </w:tabs>
        <w:spacing w:after="120"/>
        <w:ind w:left="-115" w:right="-360" w:firstLine="0"/>
        <w:rPr>
          <w:lang w:val="fr-FR"/>
        </w:rPr>
      </w:pPr>
      <w:r w:rsidRPr="00D45619">
        <w:t>Ministerul Educaţiei va ţine cont de rezultatele evaluării externe la repartizarea locurilor bugetare în planurile de înmatriculare și la aprobarea noilor programe de studii superioare (ciclul I</w:t>
      </w:r>
      <w:r>
        <w:t>I</w:t>
      </w:r>
      <w:r w:rsidRPr="00D45619">
        <w:t xml:space="preserve">) de </w:t>
      </w:r>
      <w:r>
        <w:t>master</w:t>
      </w:r>
      <w:r w:rsidRPr="00D45619">
        <w:t xml:space="preserve"> în domeniul Drept.</w:t>
      </w:r>
    </w:p>
    <w:p w:rsidR="007A434B" w:rsidRPr="00D45619" w:rsidRDefault="007A434B" w:rsidP="007A434B">
      <w:pPr>
        <w:pStyle w:val="BlockText"/>
        <w:spacing w:after="120"/>
        <w:ind w:left="-115" w:right="-360" w:firstLine="0"/>
      </w:pPr>
      <w:r w:rsidRPr="00D45619">
        <w:rPr>
          <w:b/>
          <w:lang w:val="fr-FR"/>
        </w:rPr>
        <w:tab/>
      </w:r>
      <w:r w:rsidRPr="00D45619">
        <w:rPr>
          <w:b/>
          <w:lang w:val="fr-FR"/>
        </w:rPr>
        <w:tab/>
      </w:r>
      <w:r w:rsidRPr="00D45619">
        <w:rPr>
          <w:b/>
        </w:rPr>
        <w:t>Prim-ministru</w:t>
      </w:r>
      <w:r w:rsidRPr="00D45619">
        <w:rPr>
          <w:b/>
        </w:rPr>
        <w:tab/>
      </w:r>
      <w:r w:rsidRPr="00D45619">
        <w:rPr>
          <w:b/>
        </w:rPr>
        <w:tab/>
      </w:r>
      <w:r w:rsidRPr="00D45619">
        <w:rPr>
          <w:b/>
        </w:rPr>
        <w:tab/>
      </w:r>
      <w:r w:rsidRPr="00D45619">
        <w:rPr>
          <w:b/>
        </w:rPr>
        <w:tab/>
      </w:r>
      <w:r w:rsidRPr="00D45619">
        <w:rPr>
          <w:b/>
        </w:rPr>
        <w:tab/>
      </w:r>
      <w:r w:rsidRPr="00D45619">
        <w:rPr>
          <w:b/>
        </w:rPr>
        <w:tab/>
      </w:r>
      <w:r>
        <w:rPr>
          <w:b/>
        </w:rPr>
        <w:t xml:space="preserve"> Gheorghe Brega</w:t>
      </w:r>
    </w:p>
    <w:p w:rsidR="007A434B" w:rsidRDefault="007A434B" w:rsidP="007A434B">
      <w:pPr>
        <w:pStyle w:val="BlockText"/>
        <w:tabs>
          <w:tab w:val="left" w:pos="720"/>
          <w:tab w:val="left" w:pos="1200"/>
        </w:tabs>
        <w:spacing w:after="120"/>
        <w:ind w:left="-115" w:right="-360" w:firstLine="0"/>
        <w:rPr>
          <w:b/>
          <w:lang w:val="fr-FR"/>
        </w:rPr>
      </w:pPr>
      <w:r w:rsidRPr="00D45619">
        <w:rPr>
          <w:b/>
          <w:lang w:val="fr-FR"/>
        </w:rPr>
        <w:tab/>
      </w:r>
    </w:p>
    <w:p w:rsidR="007A434B" w:rsidRPr="00D45619" w:rsidRDefault="007A434B" w:rsidP="007A434B">
      <w:pPr>
        <w:pStyle w:val="BlockText"/>
        <w:tabs>
          <w:tab w:val="left" w:pos="720"/>
          <w:tab w:val="left" w:pos="1200"/>
        </w:tabs>
        <w:spacing w:after="120"/>
        <w:ind w:left="-115" w:right="-360" w:firstLine="0"/>
        <w:rPr>
          <w:b/>
          <w:i/>
          <w:lang w:val="fr-FR"/>
        </w:rPr>
      </w:pPr>
      <w:proofErr w:type="spellStart"/>
      <w:r w:rsidRPr="00D45619">
        <w:rPr>
          <w:b/>
          <w:i/>
          <w:lang w:val="fr-FR"/>
        </w:rPr>
        <w:t>Contrasemnează</w:t>
      </w:r>
      <w:proofErr w:type="spellEnd"/>
      <w:r w:rsidRPr="00D45619">
        <w:rPr>
          <w:b/>
          <w:i/>
          <w:lang w:val="fr-FR"/>
        </w:rPr>
        <w:t xml:space="preserve">: </w:t>
      </w:r>
    </w:p>
    <w:p w:rsidR="00ED29F9" w:rsidRDefault="007A434B" w:rsidP="007A434B">
      <w:pPr>
        <w:pStyle w:val="BlockText"/>
        <w:spacing w:after="120"/>
        <w:ind w:left="-115" w:right="-360" w:firstLine="0"/>
      </w:pPr>
      <w:r w:rsidRPr="00D45619">
        <w:rPr>
          <w:b/>
          <w:lang w:val="fr-FR"/>
        </w:rPr>
        <w:tab/>
      </w:r>
      <w:r w:rsidRPr="00D45619">
        <w:rPr>
          <w:b/>
          <w:lang w:val="fr-FR"/>
        </w:rPr>
        <w:tab/>
      </w:r>
      <w:proofErr w:type="spellStart"/>
      <w:r w:rsidRPr="00D45619">
        <w:rPr>
          <w:b/>
          <w:lang w:val="fr-FR"/>
        </w:rPr>
        <w:t>Ministrul</w:t>
      </w:r>
      <w:proofErr w:type="spellEnd"/>
      <w:r w:rsidRPr="00D45619">
        <w:rPr>
          <w:b/>
          <w:lang w:val="fr-FR"/>
        </w:rPr>
        <w:t xml:space="preserve"> </w:t>
      </w:r>
      <w:proofErr w:type="spellStart"/>
      <w:r w:rsidRPr="00D45619">
        <w:rPr>
          <w:b/>
          <w:lang w:val="fr-FR"/>
        </w:rPr>
        <w:t>Educa</w:t>
      </w:r>
      <w:proofErr w:type="spellEnd"/>
      <w:r w:rsidRPr="00D45619">
        <w:rPr>
          <w:b/>
          <w:lang w:val="fr-FR"/>
        </w:rPr>
        <w:t>ț</w:t>
      </w:r>
      <w:proofErr w:type="spellStart"/>
      <w:r w:rsidRPr="00D45619">
        <w:rPr>
          <w:b/>
          <w:lang w:val="fr-FR"/>
        </w:rPr>
        <w:t>iei</w:t>
      </w:r>
      <w:proofErr w:type="spellEnd"/>
      <w:r w:rsidRPr="00D45619">
        <w:rPr>
          <w:b/>
          <w:lang w:val="fr-FR"/>
        </w:rPr>
        <w:tab/>
      </w:r>
      <w:r w:rsidRPr="00D45619">
        <w:rPr>
          <w:b/>
          <w:lang w:val="fr-FR"/>
        </w:rPr>
        <w:tab/>
      </w:r>
      <w:r w:rsidRPr="00D45619">
        <w:rPr>
          <w:b/>
          <w:lang w:val="fr-FR"/>
        </w:rPr>
        <w:tab/>
      </w:r>
      <w:r w:rsidRPr="00D45619">
        <w:rPr>
          <w:b/>
          <w:lang w:val="fr-FR"/>
        </w:rPr>
        <w:tab/>
      </w:r>
      <w:r w:rsidRPr="00D45619">
        <w:rPr>
          <w:b/>
          <w:lang w:val="fr-FR"/>
        </w:rPr>
        <w:tab/>
      </w:r>
      <w:proofErr w:type="spellStart"/>
      <w:r w:rsidRPr="00D45619">
        <w:rPr>
          <w:b/>
          <w:lang w:val="fr-FR"/>
        </w:rPr>
        <w:t>Corina</w:t>
      </w:r>
      <w:proofErr w:type="spellEnd"/>
      <w:r w:rsidRPr="00D45619">
        <w:rPr>
          <w:b/>
          <w:lang w:val="fr-FR"/>
        </w:rPr>
        <w:t xml:space="preserve"> </w:t>
      </w:r>
      <w:proofErr w:type="spellStart"/>
      <w:r w:rsidRPr="00D45619">
        <w:rPr>
          <w:b/>
          <w:lang w:val="fr-FR"/>
        </w:rPr>
        <w:t>Fusu</w:t>
      </w:r>
      <w:proofErr w:type="spellEnd"/>
    </w:p>
    <w:sectPr w:rsidR="00ED29F9" w:rsidSect="00ED2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36F99"/>
    <w:multiLevelType w:val="hybridMultilevel"/>
    <w:tmpl w:val="ED2663BA"/>
    <w:lvl w:ilvl="0" w:tplc="582AA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708CDE8">
      <w:start w:val="1"/>
      <w:numFmt w:val="lowerLetter"/>
      <w:lvlText w:val="%2)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34B"/>
    <w:rsid w:val="007A434B"/>
    <w:rsid w:val="00ED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A434B"/>
    <w:pPr>
      <w:shd w:val="clear" w:color="auto" w:fill="FFFFFF"/>
      <w:ind w:left="1296" w:right="-363" w:hanging="1296"/>
      <w:jc w:val="both"/>
    </w:pPr>
    <w:rPr>
      <w:sz w:val="28"/>
      <w:szCs w:val="28"/>
      <w:lang w:val="ro-RO" w:eastAsia="ru-RU"/>
    </w:rPr>
  </w:style>
  <w:style w:type="paragraph" w:customStyle="1" w:styleId="12titlu">
    <w:name w:val="1.2.titlu"/>
    <w:basedOn w:val="Normal"/>
    <w:rsid w:val="007A434B"/>
    <w:pPr>
      <w:spacing w:line="360" w:lineRule="auto"/>
      <w:ind w:firstLine="720"/>
      <w:jc w:val="both"/>
    </w:pPr>
    <w:rPr>
      <w:b/>
      <w:i/>
      <w:sz w:val="28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Nadejda Velisco</cp:lastModifiedBy>
  <cp:revision>1</cp:revision>
  <dcterms:created xsi:type="dcterms:W3CDTF">2015-11-24T07:18:00Z</dcterms:created>
  <dcterms:modified xsi:type="dcterms:W3CDTF">2015-11-24T07:19:00Z</dcterms:modified>
</cp:coreProperties>
</file>