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6A" w:rsidRPr="0004306A" w:rsidRDefault="0004306A" w:rsidP="005455B4">
      <w:pPr>
        <w:jc w:val="center"/>
        <w:outlineLvl w:val="0"/>
        <w:rPr>
          <w:b/>
          <w:sz w:val="28"/>
          <w:szCs w:val="28"/>
          <w:lang w:val="ro-RO"/>
        </w:rPr>
      </w:pPr>
      <w:r w:rsidRPr="0004306A">
        <w:rPr>
          <w:b/>
          <w:sz w:val="28"/>
          <w:szCs w:val="28"/>
          <w:lang w:val="ro-RO"/>
        </w:rPr>
        <w:t>Notă informativă</w:t>
      </w:r>
    </w:p>
    <w:p w:rsidR="005455B4" w:rsidRPr="00CA4ED1" w:rsidRDefault="00730EEF" w:rsidP="005455B4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proiectul </w:t>
      </w:r>
      <w:r w:rsidR="0004306A" w:rsidRPr="0004306A">
        <w:rPr>
          <w:sz w:val="28"/>
          <w:szCs w:val="28"/>
          <w:lang w:val="ro-RO"/>
        </w:rPr>
        <w:t xml:space="preserve">Hotărîrii Guvernului cu privire la aprobarea </w:t>
      </w:r>
      <w:r w:rsidR="005455B4" w:rsidRPr="00CA4ED1">
        <w:rPr>
          <w:sz w:val="28"/>
          <w:szCs w:val="28"/>
          <w:lang w:val="ro-RO"/>
        </w:rPr>
        <w:t>Regulament</w:t>
      </w:r>
      <w:r w:rsidR="005455B4">
        <w:rPr>
          <w:sz w:val="28"/>
          <w:szCs w:val="28"/>
          <w:lang w:val="ro-RO"/>
        </w:rPr>
        <w:t>elor</w:t>
      </w:r>
      <w:r w:rsidR="005455B4" w:rsidRPr="00CA4ED1">
        <w:rPr>
          <w:sz w:val="28"/>
          <w:szCs w:val="28"/>
          <w:lang w:val="ro-RO"/>
        </w:rPr>
        <w:t xml:space="preserve"> sanitar</w:t>
      </w:r>
      <w:r w:rsidR="005455B4">
        <w:rPr>
          <w:sz w:val="28"/>
          <w:szCs w:val="28"/>
          <w:lang w:val="ro-RO"/>
        </w:rPr>
        <w:t>e  în domeniul supravegherii sanitare de stat a aprovizionării cu apă potabilă</w:t>
      </w:r>
    </w:p>
    <w:p w:rsidR="0004306A" w:rsidRPr="005455B4" w:rsidRDefault="0004306A" w:rsidP="005455B4">
      <w:pPr>
        <w:rPr>
          <w:b/>
          <w:sz w:val="28"/>
          <w:szCs w:val="28"/>
          <w:lang w:val="ro-RO"/>
        </w:rPr>
      </w:pPr>
    </w:p>
    <w:p w:rsidR="0004306A" w:rsidRDefault="0004306A" w:rsidP="0004306A">
      <w:pPr>
        <w:ind w:right="22" w:firstLine="708"/>
        <w:jc w:val="center"/>
        <w:outlineLvl w:val="0"/>
        <w:rPr>
          <w:b/>
          <w:sz w:val="28"/>
          <w:szCs w:val="28"/>
          <w:lang w:val="ro-RO"/>
        </w:rPr>
      </w:pPr>
      <w:r w:rsidRPr="00015875">
        <w:rPr>
          <w:b/>
          <w:sz w:val="28"/>
          <w:szCs w:val="28"/>
          <w:lang w:val="ro-RO"/>
        </w:rPr>
        <w:t>Con</w:t>
      </w:r>
      <w:r>
        <w:rPr>
          <w:b/>
          <w:sz w:val="28"/>
          <w:szCs w:val="28"/>
          <w:lang w:val="ro-RO"/>
        </w:rPr>
        <w:t xml:space="preserve">diţiile ce au impus elaborarea </w:t>
      </w:r>
    </w:p>
    <w:p w:rsidR="00D73145" w:rsidRDefault="00D73145" w:rsidP="0004306A">
      <w:pPr>
        <w:ind w:right="22" w:firstLine="708"/>
        <w:jc w:val="center"/>
        <w:outlineLvl w:val="0"/>
        <w:rPr>
          <w:b/>
          <w:sz w:val="28"/>
          <w:szCs w:val="28"/>
          <w:lang w:val="ro-RO"/>
        </w:rPr>
      </w:pPr>
    </w:p>
    <w:p w:rsidR="005455B4" w:rsidRPr="00CA4ED1" w:rsidRDefault="00CE466F" w:rsidP="005455B4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04306A" w:rsidRPr="002026B1">
        <w:rPr>
          <w:sz w:val="28"/>
          <w:szCs w:val="28"/>
          <w:lang w:val="ro-RO"/>
        </w:rPr>
        <w:t xml:space="preserve">Proiectul </w:t>
      </w:r>
      <w:r w:rsidR="0004306A">
        <w:rPr>
          <w:sz w:val="28"/>
          <w:szCs w:val="28"/>
          <w:lang w:val="ro-RO"/>
        </w:rPr>
        <w:t>Hotărîrii Guvernului cu</w:t>
      </w:r>
      <w:r w:rsidR="0004306A" w:rsidRPr="002026B1">
        <w:rPr>
          <w:sz w:val="28"/>
          <w:szCs w:val="28"/>
          <w:lang w:val="ro-RO"/>
        </w:rPr>
        <w:t xml:space="preserve"> privi</w:t>
      </w:r>
      <w:r w:rsidR="0004306A">
        <w:rPr>
          <w:sz w:val="28"/>
          <w:szCs w:val="28"/>
          <w:lang w:val="ro-RO"/>
        </w:rPr>
        <w:t>re</w:t>
      </w:r>
      <w:r w:rsidR="0004306A" w:rsidRPr="002026B1">
        <w:rPr>
          <w:sz w:val="28"/>
          <w:szCs w:val="28"/>
          <w:lang w:val="ro-RO"/>
        </w:rPr>
        <w:t xml:space="preserve"> </w:t>
      </w:r>
      <w:r w:rsidR="0004306A">
        <w:rPr>
          <w:sz w:val="28"/>
          <w:szCs w:val="28"/>
          <w:lang w:val="ro-RO"/>
        </w:rPr>
        <w:t xml:space="preserve">la aprobarea </w:t>
      </w:r>
      <w:r w:rsidR="005455B4" w:rsidRPr="00CA4ED1">
        <w:rPr>
          <w:sz w:val="28"/>
          <w:szCs w:val="28"/>
          <w:lang w:val="ro-RO"/>
        </w:rPr>
        <w:t>Regulament</w:t>
      </w:r>
      <w:r w:rsidR="005455B4">
        <w:rPr>
          <w:sz w:val="28"/>
          <w:szCs w:val="28"/>
          <w:lang w:val="ro-RO"/>
        </w:rPr>
        <w:t>elor</w:t>
      </w:r>
      <w:r w:rsidR="005455B4" w:rsidRPr="00CA4ED1">
        <w:rPr>
          <w:sz w:val="28"/>
          <w:szCs w:val="28"/>
          <w:lang w:val="ro-RO"/>
        </w:rPr>
        <w:t xml:space="preserve"> sanitar</w:t>
      </w:r>
      <w:r w:rsidR="005455B4">
        <w:rPr>
          <w:sz w:val="28"/>
          <w:szCs w:val="28"/>
          <w:lang w:val="ro-RO"/>
        </w:rPr>
        <w:t>e în domeniul supravegherii sanitare de stat a aprovizionării cu apă   potabilă</w:t>
      </w:r>
    </w:p>
    <w:p w:rsidR="0004306A" w:rsidRPr="00CE466F" w:rsidRDefault="0004306A" w:rsidP="005455B4">
      <w:pPr>
        <w:jc w:val="both"/>
        <w:rPr>
          <w:lang w:val="ro-RO"/>
        </w:rPr>
      </w:pPr>
      <w:r>
        <w:rPr>
          <w:sz w:val="28"/>
          <w:szCs w:val="28"/>
          <w:lang w:val="ro-RO"/>
        </w:rPr>
        <w:t>este elaborat în temeiul art.6 şi</w:t>
      </w:r>
      <w:r w:rsidRPr="0092224C">
        <w:rPr>
          <w:sz w:val="28"/>
          <w:szCs w:val="28"/>
          <w:lang w:val="ro-RO"/>
        </w:rPr>
        <w:t xml:space="preserve"> art.10 din Legea </w:t>
      </w:r>
      <w:r w:rsidR="00730EEF" w:rsidRPr="0092224C">
        <w:rPr>
          <w:sz w:val="28"/>
          <w:szCs w:val="28"/>
          <w:lang w:val="ro-RO"/>
        </w:rPr>
        <w:t xml:space="preserve">nr. 10-XVI din 03 februarie 2009 </w:t>
      </w:r>
      <w:r w:rsidRPr="0092224C">
        <w:rPr>
          <w:sz w:val="28"/>
          <w:szCs w:val="28"/>
          <w:lang w:val="ro-RO"/>
        </w:rPr>
        <w:t>privind supravegherea de stat a sănătăţii publice</w:t>
      </w:r>
      <w:r w:rsidR="00CE466F">
        <w:rPr>
          <w:sz w:val="28"/>
          <w:szCs w:val="28"/>
          <w:lang w:val="ro-RO"/>
        </w:rPr>
        <w:t xml:space="preserve">, </w:t>
      </w:r>
      <w:r w:rsidR="005455B4" w:rsidRPr="005455B4">
        <w:rPr>
          <w:sz w:val="28"/>
          <w:szCs w:val="28"/>
          <w:lang w:val="ro-RO"/>
        </w:rPr>
        <w:t xml:space="preserve"> Strategiei  Naţionale de Sănătate Publică a Republicii Moldova pentru anii 2014-2020</w:t>
      </w:r>
      <w:r w:rsidR="00CE466F">
        <w:rPr>
          <w:sz w:val="28"/>
          <w:szCs w:val="28"/>
          <w:lang w:val="ro-RO"/>
        </w:rPr>
        <w:t xml:space="preserve">, aprobată prin  </w:t>
      </w:r>
      <w:r w:rsidR="005455B4" w:rsidRPr="005455B4">
        <w:rPr>
          <w:sz w:val="28"/>
          <w:szCs w:val="28"/>
          <w:lang w:val="ro-RO"/>
        </w:rPr>
        <w:t>Hotărârea Guvernului nr. 1032 din 20.1.2013</w:t>
      </w:r>
      <w:r w:rsidR="00CE466F">
        <w:rPr>
          <w:sz w:val="28"/>
          <w:szCs w:val="28"/>
          <w:lang w:val="ro-RO"/>
        </w:rPr>
        <w:t xml:space="preserve"> şi</w:t>
      </w:r>
      <w:r w:rsidR="00CE466F" w:rsidRPr="00CE466F">
        <w:rPr>
          <w:b/>
          <w:sz w:val="28"/>
          <w:szCs w:val="28"/>
          <w:lang w:val="ro-RO"/>
        </w:rPr>
        <w:t xml:space="preserve"> </w:t>
      </w:r>
      <w:r w:rsidR="00CE466F" w:rsidRPr="00CE466F">
        <w:rPr>
          <w:sz w:val="28"/>
          <w:szCs w:val="28"/>
          <w:lang w:val="ro-RO"/>
        </w:rPr>
        <w:t>Hotărârii de Guvern nr.808 din 07.10.2014 cu privire la aprobarea Planului naţional de acţiuni pentru implementarea Acordului de Asociere Republica Moldova – Uniunea Europeană în perioada 2014-2016</w:t>
      </w:r>
      <w:r w:rsidRPr="00CE466F">
        <w:rPr>
          <w:sz w:val="28"/>
          <w:szCs w:val="28"/>
          <w:lang w:val="ro-RO"/>
        </w:rPr>
        <w:t>.</w:t>
      </w:r>
    </w:p>
    <w:p w:rsidR="005455B4" w:rsidRPr="00F20EAC" w:rsidRDefault="0004306A" w:rsidP="005455B4">
      <w:pPr>
        <w:ind w:firstLine="720"/>
        <w:jc w:val="both"/>
        <w:rPr>
          <w:bCs/>
          <w:color w:val="000000"/>
          <w:sz w:val="28"/>
          <w:szCs w:val="28"/>
          <w:lang w:val="ro-RO"/>
        </w:rPr>
      </w:pPr>
      <w:r>
        <w:rPr>
          <w:szCs w:val="28"/>
          <w:lang w:val="ro-RO"/>
        </w:rPr>
        <w:t xml:space="preserve"> </w:t>
      </w:r>
      <w:r w:rsidR="005455B4" w:rsidRPr="00F20EAC">
        <w:rPr>
          <w:color w:val="000000"/>
          <w:sz w:val="28"/>
          <w:szCs w:val="28"/>
          <w:lang w:val="ro-RO"/>
        </w:rPr>
        <w:t>Proiectul Hotăr</w:t>
      </w:r>
      <w:r w:rsidR="005455B4" w:rsidRPr="005C618A">
        <w:rPr>
          <w:sz w:val="28"/>
          <w:szCs w:val="28"/>
          <w:lang w:val="ro-RO"/>
        </w:rPr>
        <w:t>â</w:t>
      </w:r>
      <w:r w:rsidR="005455B4" w:rsidRPr="00F20EAC">
        <w:rPr>
          <w:color w:val="000000"/>
          <w:sz w:val="28"/>
          <w:szCs w:val="28"/>
          <w:lang w:val="ro-RO"/>
        </w:rPr>
        <w:t xml:space="preserve">rii Guvernului menţionat </w:t>
      </w:r>
      <w:r w:rsidR="005455B4" w:rsidRPr="00F20EAC">
        <w:rPr>
          <w:bCs/>
          <w:color w:val="000000"/>
          <w:sz w:val="28"/>
          <w:szCs w:val="28"/>
          <w:lang w:val="ro-RO"/>
        </w:rPr>
        <w:t>are drept scop</w:t>
      </w:r>
      <w:r w:rsidR="005455B4" w:rsidRPr="00F20EAC">
        <w:rPr>
          <w:color w:val="000000"/>
          <w:sz w:val="28"/>
          <w:szCs w:val="28"/>
          <w:lang w:val="ro-RO"/>
        </w:rPr>
        <w:t xml:space="preserve"> </w:t>
      </w:r>
      <w:r w:rsidR="005455B4" w:rsidRPr="00D1487A">
        <w:rPr>
          <w:rStyle w:val="sttpunct1"/>
          <w:sz w:val="28"/>
          <w:szCs w:val="28"/>
          <w:lang w:val="ro-RO"/>
        </w:rPr>
        <w:t>asigurarea un</w:t>
      </w:r>
      <w:r w:rsidR="005455B4">
        <w:rPr>
          <w:rStyle w:val="sttpunct1"/>
          <w:sz w:val="28"/>
          <w:szCs w:val="28"/>
          <w:lang w:val="ro-RO"/>
        </w:rPr>
        <w:t>ui</w:t>
      </w:r>
      <w:r w:rsidR="005455B4" w:rsidRPr="00D1487A">
        <w:rPr>
          <w:rStyle w:val="sttpunct1"/>
          <w:sz w:val="28"/>
          <w:szCs w:val="28"/>
          <w:lang w:val="ro-RO"/>
        </w:rPr>
        <w:t xml:space="preserve"> management mai eficient al </w:t>
      </w:r>
      <w:r w:rsidR="005455B4">
        <w:rPr>
          <w:rStyle w:val="sttpunct1"/>
          <w:sz w:val="28"/>
          <w:szCs w:val="28"/>
          <w:lang w:val="ro-RO"/>
        </w:rPr>
        <w:t xml:space="preserve">calităţii apei </w:t>
      </w:r>
      <w:r w:rsidR="005455B4" w:rsidRPr="00F20EAC">
        <w:rPr>
          <w:bCs/>
          <w:color w:val="000000"/>
          <w:sz w:val="28"/>
          <w:szCs w:val="28"/>
          <w:lang w:val="ro-RO"/>
        </w:rPr>
        <w:t xml:space="preserve">din punct de vedere al </w:t>
      </w:r>
      <w:r w:rsidR="005455B4">
        <w:rPr>
          <w:bCs/>
          <w:color w:val="000000"/>
          <w:sz w:val="28"/>
          <w:szCs w:val="28"/>
          <w:lang w:val="ro-RO"/>
        </w:rPr>
        <w:t xml:space="preserve">protecţiei </w:t>
      </w:r>
      <w:r w:rsidR="005455B4" w:rsidRPr="00F20EAC">
        <w:rPr>
          <w:bCs/>
          <w:color w:val="000000"/>
          <w:sz w:val="28"/>
          <w:szCs w:val="28"/>
          <w:lang w:val="ro-RO"/>
        </w:rPr>
        <w:t>sănătăţii umane.</w:t>
      </w:r>
    </w:p>
    <w:p w:rsidR="0004306A" w:rsidRDefault="0004306A" w:rsidP="005455B4">
      <w:pPr>
        <w:pStyle w:val="a3"/>
        <w:ind w:right="22" w:firstLine="708"/>
        <w:rPr>
          <w:szCs w:val="28"/>
          <w:lang w:val="ro-RO"/>
        </w:rPr>
      </w:pPr>
    </w:p>
    <w:p w:rsidR="0004306A" w:rsidRDefault="0004306A" w:rsidP="0004306A">
      <w:pPr>
        <w:pStyle w:val="a3"/>
        <w:ind w:right="22" w:firstLine="708"/>
        <w:jc w:val="center"/>
        <w:rPr>
          <w:b/>
          <w:lang w:val="ro-RO"/>
        </w:rPr>
      </w:pPr>
      <w:r w:rsidRPr="002A4B75">
        <w:rPr>
          <w:b/>
          <w:lang w:val="ro-RO"/>
        </w:rPr>
        <w:t>Gradul de compatibilitate al proiectului de act normativ cu reglementările legislaţiei comunitare</w:t>
      </w:r>
    </w:p>
    <w:p w:rsidR="005455B4" w:rsidRDefault="005455B4" w:rsidP="005455B4">
      <w:pPr>
        <w:pStyle w:val="a3"/>
        <w:ind w:right="22" w:firstLine="540"/>
        <w:rPr>
          <w:color w:val="000000"/>
          <w:szCs w:val="28"/>
          <w:lang w:val="en-US"/>
        </w:rPr>
      </w:pPr>
    </w:p>
    <w:p w:rsidR="005455B4" w:rsidRPr="005455B4" w:rsidRDefault="00CE466F" w:rsidP="005455B4">
      <w:pPr>
        <w:pStyle w:val="a3"/>
        <w:ind w:right="22" w:firstLine="540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  <w:t xml:space="preserve">   </w:t>
      </w:r>
      <w:proofErr w:type="spellStart"/>
      <w:r w:rsidR="005455B4" w:rsidRPr="005455B4">
        <w:rPr>
          <w:color w:val="000000"/>
          <w:szCs w:val="28"/>
          <w:lang w:val="en-US"/>
        </w:rPr>
        <w:t>Proiectul</w:t>
      </w:r>
      <w:proofErr w:type="spellEnd"/>
      <w:r w:rsidR="005455B4" w:rsidRPr="005455B4">
        <w:rPr>
          <w:color w:val="000000"/>
          <w:szCs w:val="28"/>
          <w:lang w:val="en-US"/>
        </w:rPr>
        <w:t xml:space="preserve"> </w:t>
      </w:r>
      <w:proofErr w:type="spellStart"/>
      <w:r w:rsidR="005455B4" w:rsidRPr="005455B4">
        <w:rPr>
          <w:color w:val="000000"/>
          <w:szCs w:val="28"/>
          <w:lang w:val="en-US"/>
        </w:rPr>
        <w:t>dat</w:t>
      </w:r>
      <w:proofErr w:type="spellEnd"/>
      <w:r w:rsidR="005455B4" w:rsidRPr="005455B4">
        <w:rPr>
          <w:color w:val="000000"/>
          <w:szCs w:val="28"/>
          <w:lang w:val="en-US"/>
        </w:rPr>
        <w:t xml:space="preserve"> de act </w:t>
      </w:r>
      <w:proofErr w:type="spellStart"/>
      <w:r w:rsidR="005455B4" w:rsidRPr="005455B4">
        <w:rPr>
          <w:color w:val="000000"/>
          <w:szCs w:val="28"/>
          <w:lang w:val="en-US"/>
        </w:rPr>
        <w:t>normativ</w:t>
      </w:r>
      <w:proofErr w:type="spellEnd"/>
      <w:r w:rsidR="005455B4" w:rsidRPr="005455B4">
        <w:rPr>
          <w:color w:val="000000"/>
          <w:szCs w:val="28"/>
          <w:lang w:val="en-US"/>
        </w:rPr>
        <w:t xml:space="preserve"> nu </w:t>
      </w:r>
      <w:proofErr w:type="spellStart"/>
      <w:r w:rsidR="005455B4" w:rsidRPr="005455B4">
        <w:rPr>
          <w:color w:val="000000"/>
          <w:szCs w:val="28"/>
          <w:lang w:val="en-US"/>
        </w:rPr>
        <w:t>necesită</w:t>
      </w:r>
      <w:proofErr w:type="spellEnd"/>
      <w:r w:rsidR="005455B4" w:rsidRPr="005455B4">
        <w:rPr>
          <w:color w:val="000000"/>
          <w:szCs w:val="28"/>
          <w:lang w:val="en-US"/>
        </w:rPr>
        <w:t xml:space="preserve"> a </w:t>
      </w:r>
      <w:proofErr w:type="spellStart"/>
      <w:r w:rsidR="005455B4" w:rsidRPr="005455B4">
        <w:rPr>
          <w:color w:val="000000"/>
          <w:szCs w:val="28"/>
          <w:lang w:val="en-US"/>
        </w:rPr>
        <w:t>fi</w:t>
      </w:r>
      <w:proofErr w:type="spellEnd"/>
      <w:r w:rsidR="005455B4" w:rsidRPr="005455B4">
        <w:rPr>
          <w:color w:val="000000"/>
          <w:szCs w:val="28"/>
          <w:lang w:val="en-US"/>
        </w:rPr>
        <w:t xml:space="preserve"> </w:t>
      </w:r>
      <w:proofErr w:type="spellStart"/>
      <w:r w:rsidR="005455B4" w:rsidRPr="005455B4">
        <w:rPr>
          <w:color w:val="000000"/>
          <w:szCs w:val="28"/>
          <w:lang w:val="en-US"/>
        </w:rPr>
        <w:t>armonizat</w:t>
      </w:r>
      <w:proofErr w:type="spellEnd"/>
      <w:r w:rsidR="005455B4" w:rsidRPr="005455B4">
        <w:rPr>
          <w:color w:val="000000"/>
          <w:szCs w:val="28"/>
          <w:lang w:val="en-US"/>
        </w:rPr>
        <w:t xml:space="preserve"> cu </w:t>
      </w:r>
      <w:proofErr w:type="spellStart"/>
      <w:r w:rsidR="005455B4" w:rsidRPr="005455B4">
        <w:rPr>
          <w:color w:val="000000"/>
          <w:szCs w:val="28"/>
          <w:lang w:val="en-US"/>
        </w:rPr>
        <w:t>legislaţia</w:t>
      </w:r>
      <w:proofErr w:type="spellEnd"/>
      <w:r w:rsidR="005455B4" w:rsidRPr="005455B4">
        <w:rPr>
          <w:color w:val="000000"/>
          <w:szCs w:val="28"/>
          <w:lang w:val="en-US"/>
        </w:rPr>
        <w:t xml:space="preserve"> </w:t>
      </w:r>
      <w:proofErr w:type="spellStart"/>
      <w:r w:rsidR="005455B4" w:rsidRPr="005455B4">
        <w:rPr>
          <w:color w:val="000000"/>
          <w:szCs w:val="28"/>
          <w:lang w:val="en-US"/>
        </w:rPr>
        <w:t>comunitară</w:t>
      </w:r>
      <w:proofErr w:type="spellEnd"/>
      <w:r w:rsidR="005455B4" w:rsidRPr="005455B4">
        <w:rPr>
          <w:color w:val="000000"/>
          <w:szCs w:val="28"/>
          <w:lang w:val="en-US"/>
        </w:rPr>
        <w:t>.</w:t>
      </w:r>
    </w:p>
    <w:p w:rsidR="0004306A" w:rsidRPr="005455B4" w:rsidRDefault="0004306A" w:rsidP="0004306A">
      <w:pPr>
        <w:pStyle w:val="a3"/>
        <w:ind w:right="22" w:firstLine="708"/>
        <w:jc w:val="center"/>
        <w:rPr>
          <w:b/>
          <w:lang w:val="en-US"/>
        </w:rPr>
      </w:pPr>
    </w:p>
    <w:p w:rsidR="0004306A" w:rsidRDefault="0004306A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  <w:r w:rsidRPr="00015875">
        <w:rPr>
          <w:b/>
          <w:szCs w:val="28"/>
          <w:lang w:val="ro-RO"/>
        </w:rPr>
        <w:t xml:space="preserve">Principalele prevederi şi elemente noi </w:t>
      </w:r>
    </w:p>
    <w:p w:rsidR="00CE466F" w:rsidRDefault="00CE466F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</w:p>
    <w:p w:rsidR="005455B4" w:rsidRPr="009B0FE1" w:rsidRDefault="005455B4" w:rsidP="005455B4">
      <w:pPr>
        <w:ind w:firstLine="708"/>
        <w:jc w:val="both"/>
        <w:rPr>
          <w:color w:val="000000"/>
          <w:sz w:val="28"/>
          <w:szCs w:val="28"/>
          <w:lang w:val="it-IT"/>
        </w:rPr>
      </w:pPr>
      <w:r w:rsidRPr="009B0FE1">
        <w:rPr>
          <w:sz w:val="28"/>
          <w:szCs w:val="28"/>
          <w:lang w:val="it-IT"/>
        </w:rPr>
        <w:t>Calitatea neco</w:t>
      </w:r>
      <w:r>
        <w:rPr>
          <w:sz w:val="28"/>
          <w:szCs w:val="28"/>
          <w:lang w:val="it-IT"/>
        </w:rPr>
        <w:t>nformă</w:t>
      </w:r>
      <w:r w:rsidRPr="009B0FE1">
        <w:rPr>
          <w:sz w:val="28"/>
          <w:szCs w:val="28"/>
          <w:lang w:val="it-IT"/>
        </w:rPr>
        <w:t xml:space="preserve"> a apei de băut are un impact considerabil asupra sănătăţii populaţiei din ţara noastră şi condiţionează p</w:t>
      </w:r>
      <w:r>
        <w:rPr>
          <w:sz w:val="28"/>
          <w:szCs w:val="28"/>
          <w:lang w:val="it-IT"/>
        </w:rPr>
        <w:t>â</w:t>
      </w:r>
      <w:r w:rsidRPr="009B0FE1">
        <w:rPr>
          <w:sz w:val="28"/>
          <w:szCs w:val="28"/>
          <w:lang w:val="it-IT"/>
        </w:rPr>
        <w:t xml:space="preserve">nă la </w:t>
      </w:r>
      <w:r>
        <w:rPr>
          <w:sz w:val="28"/>
          <w:szCs w:val="28"/>
          <w:lang w:val="it-IT"/>
        </w:rPr>
        <w:t>1</w:t>
      </w:r>
      <w:r w:rsidRPr="009B0FE1">
        <w:rPr>
          <w:sz w:val="28"/>
          <w:szCs w:val="28"/>
          <w:lang w:val="it-IT"/>
        </w:rPr>
        <w:t xml:space="preserve">0% din morbiditatea </w:t>
      </w:r>
      <w:r>
        <w:rPr>
          <w:sz w:val="28"/>
          <w:szCs w:val="28"/>
          <w:lang w:val="it-IT"/>
        </w:rPr>
        <w:t xml:space="preserve">infecţioasă a </w:t>
      </w:r>
      <w:r w:rsidRPr="009B0FE1">
        <w:rPr>
          <w:sz w:val="28"/>
          <w:szCs w:val="28"/>
          <w:lang w:val="it-IT"/>
        </w:rPr>
        <w:t>populaţiei</w:t>
      </w:r>
      <w:r w:rsidRPr="009B0FE1">
        <w:rPr>
          <w:color w:val="000000"/>
          <w:sz w:val="28"/>
          <w:szCs w:val="28"/>
          <w:lang w:val="it-IT"/>
        </w:rPr>
        <w:t xml:space="preserve">, inclusiv bolile diareice acute, hepatita virală A, </w:t>
      </w:r>
      <w:r>
        <w:rPr>
          <w:color w:val="000000"/>
          <w:sz w:val="28"/>
          <w:szCs w:val="28"/>
          <w:lang w:val="it-IT"/>
        </w:rPr>
        <w:t xml:space="preserve">precum şi </w:t>
      </w:r>
      <w:r w:rsidRPr="009B0FE1">
        <w:rPr>
          <w:color w:val="000000"/>
          <w:sz w:val="28"/>
          <w:szCs w:val="28"/>
          <w:lang w:val="it-IT"/>
        </w:rPr>
        <w:t xml:space="preserve">boli cronice digestive, litiaza urinară, fluoroza dentară, afecţiuni ale sistemului imunitar. </w:t>
      </w:r>
    </w:p>
    <w:p w:rsidR="00426D87" w:rsidRDefault="005455B4" w:rsidP="005455B4">
      <w:pPr>
        <w:pStyle w:val="a3"/>
        <w:ind w:right="22" w:firstLine="708"/>
        <w:outlineLvl w:val="0"/>
        <w:rPr>
          <w:bCs/>
          <w:szCs w:val="28"/>
          <w:lang w:val="ro-RO"/>
        </w:rPr>
      </w:pPr>
      <w:r>
        <w:rPr>
          <w:bCs/>
          <w:szCs w:val="28"/>
          <w:lang w:val="it-IT"/>
        </w:rPr>
        <w:t>C</w:t>
      </w:r>
      <w:r w:rsidRPr="009B0FE1">
        <w:rPr>
          <w:bCs/>
          <w:szCs w:val="28"/>
          <w:lang w:val="ro-RO"/>
        </w:rPr>
        <w:t xml:space="preserve">onform </w:t>
      </w:r>
      <w:r>
        <w:rPr>
          <w:bCs/>
          <w:szCs w:val="28"/>
          <w:lang w:val="ro-RO"/>
        </w:rPr>
        <w:t xml:space="preserve">datelor de monitorizare a </w:t>
      </w:r>
      <w:r w:rsidRPr="009B0FE1">
        <w:rPr>
          <w:bCs/>
          <w:szCs w:val="28"/>
          <w:lang w:val="ro-RO"/>
        </w:rPr>
        <w:t xml:space="preserve">calităţii apei potabile, </w:t>
      </w:r>
      <w:r w:rsidR="00730EEF">
        <w:rPr>
          <w:bCs/>
          <w:szCs w:val="28"/>
          <w:lang w:val="ro-RO"/>
        </w:rPr>
        <w:t xml:space="preserve">în anul 2014 </w:t>
      </w:r>
      <w:r w:rsidRPr="009B0FE1">
        <w:rPr>
          <w:bCs/>
          <w:szCs w:val="28"/>
          <w:lang w:val="ro-RO"/>
        </w:rPr>
        <w:t xml:space="preserve">au </w:t>
      </w:r>
      <w:r>
        <w:rPr>
          <w:bCs/>
          <w:szCs w:val="28"/>
          <w:lang w:val="ro-RO"/>
        </w:rPr>
        <w:t>fost neconforme</w:t>
      </w:r>
      <w:r w:rsidRPr="009B0FE1">
        <w:rPr>
          <w:bCs/>
          <w:szCs w:val="28"/>
          <w:lang w:val="ro-RO"/>
        </w:rPr>
        <w:t xml:space="preserve"> prevederilor Normelor sanitare privind calitatea apei potabile aprobate prin H</w:t>
      </w:r>
      <w:r>
        <w:rPr>
          <w:bCs/>
          <w:szCs w:val="28"/>
          <w:lang w:val="ro-RO"/>
        </w:rPr>
        <w:t xml:space="preserve">otărîrea </w:t>
      </w:r>
      <w:r w:rsidRPr="009B0FE1">
        <w:rPr>
          <w:bCs/>
          <w:szCs w:val="28"/>
          <w:lang w:val="ro-RO"/>
        </w:rPr>
        <w:t>G</w:t>
      </w:r>
      <w:r>
        <w:rPr>
          <w:bCs/>
          <w:szCs w:val="28"/>
          <w:lang w:val="ro-RO"/>
        </w:rPr>
        <w:t xml:space="preserve">uvernului </w:t>
      </w:r>
      <w:r w:rsidRPr="009B0FE1">
        <w:rPr>
          <w:bCs/>
          <w:szCs w:val="28"/>
          <w:lang w:val="ro-RO"/>
        </w:rPr>
        <w:t xml:space="preserve"> 934/2007, la parametri</w:t>
      </w:r>
      <w:r>
        <w:rPr>
          <w:bCs/>
          <w:szCs w:val="28"/>
          <w:lang w:val="ro-RO"/>
        </w:rPr>
        <w:t>i microbiologici în mediu cca 9,2</w:t>
      </w:r>
      <w:r w:rsidRPr="009B0FE1">
        <w:rPr>
          <w:bCs/>
          <w:szCs w:val="28"/>
          <w:lang w:val="ro-RO"/>
        </w:rPr>
        <w:t>% din probele de apă prelevate din apeductele comunale urbane alime</w:t>
      </w:r>
      <w:r>
        <w:rPr>
          <w:bCs/>
          <w:szCs w:val="28"/>
          <w:lang w:val="ro-RO"/>
        </w:rPr>
        <w:t>ntate din surse subterane, cca 3,4</w:t>
      </w:r>
      <w:r w:rsidRPr="009B0FE1">
        <w:rPr>
          <w:bCs/>
          <w:szCs w:val="28"/>
          <w:lang w:val="ro-RO"/>
        </w:rPr>
        <w:t xml:space="preserve">% probe apă din apeductele comunale urbane alimentate </w:t>
      </w:r>
      <w:r>
        <w:rPr>
          <w:bCs/>
          <w:szCs w:val="28"/>
          <w:lang w:val="ro-RO"/>
        </w:rPr>
        <w:t>din surse de suprafaţă şi cca 17,6</w:t>
      </w:r>
      <w:r w:rsidRPr="009B0FE1">
        <w:rPr>
          <w:bCs/>
          <w:szCs w:val="28"/>
          <w:lang w:val="ro-RO"/>
        </w:rPr>
        <w:t>% probe apă din apeductele comunale rurale.</w:t>
      </w:r>
    </w:p>
    <w:p w:rsidR="005455B4" w:rsidRPr="004A55B3" w:rsidRDefault="005455B4" w:rsidP="005455B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4A55B3">
        <w:rPr>
          <w:sz w:val="28"/>
          <w:szCs w:val="28"/>
          <w:lang w:val="ro-RO"/>
        </w:rPr>
        <w:t>Regulamentul sanitar privind supravegherea şi monitorizarea calităţii apei potabile</w:t>
      </w:r>
      <w:r w:rsidRPr="005455B4">
        <w:rPr>
          <w:sz w:val="28"/>
          <w:szCs w:val="28"/>
          <w:lang w:val="ro-RO"/>
        </w:rPr>
        <w:t xml:space="preserve"> </w:t>
      </w:r>
      <w:r w:rsidRPr="004A55B3">
        <w:rPr>
          <w:sz w:val="28"/>
          <w:szCs w:val="28"/>
          <w:lang w:val="ro-RO"/>
        </w:rPr>
        <w:t xml:space="preserve">se </w:t>
      </w:r>
      <w:r w:rsidR="00730EEF">
        <w:rPr>
          <w:sz w:val="28"/>
          <w:szCs w:val="28"/>
          <w:lang w:val="ro-RO"/>
        </w:rPr>
        <w:t>va aplica</w:t>
      </w:r>
      <w:r w:rsidRPr="004A55B3">
        <w:rPr>
          <w:sz w:val="28"/>
          <w:szCs w:val="28"/>
          <w:lang w:val="ro-RO"/>
        </w:rPr>
        <w:t>: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a) </w:t>
      </w:r>
      <w:r w:rsidRPr="005455B4">
        <w:rPr>
          <w:sz w:val="28"/>
          <w:szCs w:val="28"/>
          <w:lang w:val="ro-RO"/>
        </w:rPr>
        <w:t>sistemelor publice sau private de aprovizionare cu apă potabilă a populaţiei;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b) </w:t>
      </w:r>
      <w:r w:rsidRPr="005455B4">
        <w:rPr>
          <w:sz w:val="28"/>
          <w:szCs w:val="28"/>
          <w:lang w:val="ro-RO"/>
        </w:rPr>
        <w:t>instalaţiilor de îmbuteliere a apei potabile;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c) </w:t>
      </w:r>
      <w:r w:rsidRPr="005455B4">
        <w:rPr>
          <w:sz w:val="28"/>
          <w:szCs w:val="28"/>
          <w:lang w:val="ro-RO"/>
        </w:rPr>
        <w:t>instalaţiilor de fabricare a gheţii pentru consum uman din apă potabilă;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lastRenderedPageBreak/>
        <w:t xml:space="preserve">d) </w:t>
      </w:r>
      <w:r w:rsidRPr="005455B4">
        <w:rPr>
          <w:sz w:val="28"/>
          <w:szCs w:val="28"/>
          <w:lang w:val="ro-RO"/>
        </w:rPr>
        <w:t>surselor de apă potabilă folosite în industria alimentară;</w:t>
      </w:r>
    </w:p>
    <w:p w:rsid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e) sistemelor mici de aprovizionare cu apă potabilă, inclusiv </w:t>
      </w:r>
      <w:r w:rsidRPr="005455B4">
        <w:rPr>
          <w:sz w:val="28"/>
          <w:szCs w:val="28"/>
          <w:lang w:val="ro-RO"/>
        </w:rPr>
        <w:t>fântânilor şi instalaţiilor de apă</w:t>
      </w:r>
      <w:r w:rsidRPr="004A55B3">
        <w:rPr>
          <w:sz w:val="28"/>
          <w:szCs w:val="28"/>
          <w:lang w:val="ro-RO"/>
        </w:rPr>
        <w:t xml:space="preserve"> potabilă de folosinţă publică sau comercială.</w:t>
      </w:r>
    </w:p>
    <w:p w:rsidR="005455B4" w:rsidRPr="004A55B3" w:rsidRDefault="00CE466F" w:rsidP="005455B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5455B4" w:rsidRPr="004A55B3">
        <w:rPr>
          <w:sz w:val="28"/>
          <w:szCs w:val="28"/>
          <w:lang w:val="ro-RO"/>
        </w:rPr>
        <w:t xml:space="preserve">Regulamentul privind </w:t>
      </w:r>
      <w:r w:rsidR="005455B4" w:rsidRPr="004A55B3">
        <w:rPr>
          <w:bCs/>
          <w:sz w:val="28"/>
          <w:szCs w:val="28"/>
          <w:lang w:val="ro-RO"/>
        </w:rPr>
        <w:t xml:space="preserve">procedura </w:t>
      </w:r>
      <w:r w:rsidR="005455B4" w:rsidRPr="004A55B3">
        <w:rPr>
          <w:sz w:val="28"/>
          <w:szCs w:val="28"/>
          <w:lang w:val="ro-RO"/>
        </w:rPr>
        <w:t>de autorizare sanitară a producţiei, distribuţiei şi îmbutelierii apei potabile</w:t>
      </w:r>
      <w:r w:rsidR="005455B4" w:rsidRPr="005455B4">
        <w:rPr>
          <w:sz w:val="28"/>
          <w:szCs w:val="28"/>
          <w:lang w:val="ro-RO"/>
        </w:rPr>
        <w:t xml:space="preserve"> </w:t>
      </w:r>
      <w:r w:rsidR="00730EEF">
        <w:rPr>
          <w:sz w:val="28"/>
          <w:szCs w:val="28"/>
          <w:lang w:val="ro-RO"/>
        </w:rPr>
        <w:t>va reglementa</w:t>
      </w:r>
      <w:r w:rsidR="005455B4" w:rsidRPr="004A55B3">
        <w:rPr>
          <w:sz w:val="28"/>
          <w:szCs w:val="28"/>
          <w:lang w:val="ro-RO"/>
        </w:rPr>
        <w:t xml:space="preserve"> modalitatea de autorizare sanitară pentru următoarele tipuri de obiective: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a) </w:t>
      </w:r>
      <w:r w:rsidRPr="005455B4">
        <w:rPr>
          <w:sz w:val="28"/>
          <w:szCs w:val="28"/>
          <w:lang w:val="ro-RO"/>
        </w:rPr>
        <w:t>sisteme publice sau private de aprovizionare cu apă potabilă a populaţiei;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b) </w:t>
      </w:r>
      <w:r w:rsidRPr="005455B4">
        <w:rPr>
          <w:sz w:val="28"/>
          <w:szCs w:val="28"/>
          <w:lang w:val="ro-RO"/>
        </w:rPr>
        <w:t>instalaţii de îmbuteliere a apei potabile;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c) </w:t>
      </w:r>
      <w:r w:rsidRPr="005455B4">
        <w:rPr>
          <w:sz w:val="28"/>
          <w:szCs w:val="28"/>
          <w:lang w:val="ro-RO"/>
        </w:rPr>
        <w:t>instalaţii de fabricare a gheţii pentru consum uman din apă potabilă;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d) </w:t>
      </w:r>
      <w:r w:rsidRPr="005455B4">
        <w:rPr>
          <w:sz w:val="28"/>
          <w:szCs w:val="28"/>
          <w:lang w:val="ro-RO"/>
        </w:rPr>
        <w:t>surse de apă potabilă folosite în industria alimentară;</w:t>
      </w:r>
    </w:p>
    <w:p w:rsidR="005455B4" w:rsidRPr="004A55B3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5455B4">
        <w:rPr>
          <w:bCs/>
          <w:sz w:val="28"/>
          <w:szCs w:val="28"/>
          <w:lang w:val="ro-RO"/>
        </w:rPr>
        <w:t xml:space="preserve">e) </w:t>
      </w:r>
      <w:r w:rsidRPr="005455B4">
        <w:rPr>
          <w:sz w:val="28"/>
          <w:szCs w:val="28"/>
          <w:lang w:val="ro-RO"/>
        </w:rPr>
        <w:t>fântâni şi instalaţii</w:t>
      </w:r>
      <w:r w:rsidRPr="004A55B3">
        <w:rPr>
          <w:sz w:val="28"/>
          <w:szCs w:val="28"/>
          <w:lang w:val="ro-RO"/>
        </w:rPr>
        <w:t xml:space="preserve"> de apă potabilă de folosinţă publică sau comercială.</w:t>
      </w:r>
    </w:p>
    <w:p w:rsidR="005455B4" w:rsidRPr="005455B4" w:rsidRDefault="005455B4" w:rsidP="005455B4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CE466F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 w:rsidRPr="005455B4">
        <w:rPr>
          <w:sz w:val="28"/>
          <w:szCs w:val="28"/>
          <w:lang w:val="ro-RO"/>
        </w:rPr>
        <w:t>Regulament</w:t>
      </w:r>
      <w:r w:rsidR="00730EEF">
        <w:rPr>
          <w:sz w:val="28"/>
          <w:szCs w:val="28"/>
          <w:lang w:val="ro-RO"/>
        </w:rPr>
        <w:t>ul</w:t>
      </w:r>
      <w:r w:rsidRPr="005455B4">
        <w:rPr>
          <w:sz w:val="28"/>
          <w:szCs w:val="28"/>
          <w:lang w:val="ro-RO"/>
        </w:rPr>
        <w:t xml:space="preserve"> sanitar pentru sistemele mici de aprovizionare cu apă potabilă </w:t>
      </w:r>
      <w:r w:rsidR="00730EEF">
        <w:rPr>
          <w:sz w:val="28"/>
          <w:szCs w:val="28"/>
          <w:lang w:val="ro-RO"/>
        </w:rPr>
        <w:t>va stabili</w:t>
      </w:r>
      <w:r w:rsidRPr="00107005">
        <w:rPr>
          <w:sz w:val="28"/>
          <w:szCs w:val="28"/>
          <w:lang w:val="ro-RO"/>
        </w:rPr>
        <w:t xml:space="preserve"> cerinţe</w:t>
      </w:r>
      <w:r>
        <w:rPr>
          <w:sz w:val="28"/>
          <w:szCs w:val="28"/>
          <w:lang w:val="ro-RO"/>
        </w:rPr>
        <w:t xml:space="preserve"> de sănătate publică</w:t>
      </w:r>
      <w:r w:rsidRPr="00107005">
        <w:rPr>
          <w:sz w:val="28"/>
          <w:szCs w:val="28"/>
          <w:lang w:val="ro-RO"/>
        </w:rPr>
        <w:t xml:space="preserve"> faţă de calitatea apei, alegerea locului de amplasare, amenajarea şi exploatarea instalaţiilor de captare, acumulare şi de distribuire a apei şi a teritoriului aferent</w:t>
      </w:r>
      <w:r w:rsidRPr="005455B4">
        <w:rPr>
          <w:sz w:val="28"/>
          <w:szCs w:val="28"/>
          <w:lang w:val="ro-RO"/>
        </w:rPr>
        <w:t>. Regulamentul are ca scop reglementarea asigurării alimentării cu apă potabilă sigură a populaţiei din comunităţile mici, prevenirii</w:t>
      </w:r>
      <w:r w:rsidRPr="005455B4">
        <w:rPr>
          <w:sz w:val="28"/>
          <w:szCs w:val="28"/>
          <w:lang w:val="ro-RO"/>
        </w:rPr>
        <w:softHyphen/>
        <w:t xml:space="preserve"> şi lichidării poluării posibile a sistemelor mici de alimentare cu apă potabilă.</w:t>
      </w:r>
      <w:r>
        <w:rPr>
          <w:sz w:val="28"/>
          <w:szCs w:val="28"/>
          <w:lang w:val="ro-RO"/>
        </w:rPr>
        <w:t xml:space="preserve"> </w:t>
      </w:r>
      <w:r w:rsidRPr="005455B4">
        <w:rPr>
          <w:sz w:val="28"/>
          <w:szCs w:val="28"/>
          <w:lang w:val="ro-RO"/>
        </w:rPr>
        <w:t xml:space="preserve">Regulamentul se </w:t>
      </w:r>
      <w:r w:rsidR="00730EEF">
        <w:rPr>
          <w:sz w:val="28"/>
          <w:szCs w:val="28"/>
          <w:lang w:val="ro-RO"/>
        </w:rPr>
        <w:t>va aplica</w:t>
      </w:r>
      <w:r w:rsidRPr="005455B4">
        <w:rPr>
          <w:sz w:val="28"/>
          <w:szCs w:val="28"/>
          <w:lang w:val="ro-RO"/>
        </w:rPr>
        <w:t xml:space="preserve"> sistemelor mici de aprovizionare cu apă potabilă, în stare funcţională sau proiectate, care furnizează mai puţin de </w:t>
      </w:r>
      <w:smartTag w:uri="urn:schemas-microsoft-com:office:smarttags" w:element="metricconverter">
        <w:smartTagPr>
          <w:attr w:name="ProductID" w:val="200 m3"/>
        </w:smartTagPr>
        <w:r w:rsidRPr="005455B4">
          <w:rPr>
            <w:sz w:val="28"/>
            <w:szCs w:val="28"/>
            <w:lang w:val="ro-RO"/>
          </w:rPr>
          <w:t>200 m</w:t>
        </w:r>
        <w:r w:rsidRPr="005455B4">
          <w:rPr>
            <w:sz w:val="28"/>
            <w:szCs w:val="28"/>
            <w:vertAlign w:val="superscript"/>
            <w:lang w:val="ro-RO"/>
          </w:rPr>
          <w:t>3</w:t>
        </w:r>
      </w:smartTag>
      <w:r w:rsidRPr="005455B4">
        <w:rPr>
          <w:sz w:val="28"/>
          <w:szCs w:val="28"/>
          <w:lang w:val="ro-RO"/>
        </w:rPr>
        <w:t xml:space="preserve"> în medie/zi sau care deservesc comunităţi mai mici de 2000 persoane şi servesc pentru satisfacerea cerinţelor populaţiei în apă potabilă şi menajeră. </w:t>
      </w:r>
    </w:p>
    <w:p w:rsidR="005455B4" w:rsidRPr="005455B4" w:rsidRDefault="005455B4" w:rsidP="005455B4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:rsidR="005455B4" w:rsidRPr="005455B4" w:rsidRDefault="005455B4" w:rsidP="005455B4">
      <w:pPr>
        <w:pStyle w:val="a3"/>
        <w:ind w:right="22" w:firstLine="708"/>
        <w:outlineLvl w:val="0"/>
        <w:rPr>
          <w:b/>
          <w:szCs w:val="28"/>
          <w:lang w:val="ro-RO"/>
        </w:rPr>
      </w:pPr>
    </w:p>
    <w:p w:rsidR="0004306A" w:rsidRDefault="0004306A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  <w:r w:rsidRPr="00015875">
        <w:rPr>
          <w:b/>
          <w:szCs w:val="28"/>
          <w:lang w:val="ro-RO"/>
        </w:rPr>
        <w:t>Fundamentarea economico-financiară</w:t>
      </w:r>
    </w:p>
    <w:p w:rsidR="0004306A" w:rsidRPr="00015875" w:rsidRDefault="0004306A" w:rsidP="0004306A">
      <w:pPr>
        <w:pStyle w:val="a3"/>
        <w:ind w:right="22" w:firstLine="708"/>
        <w:jc w:val="center"/>
        <w:rPr>
          <w:b/>
          <w:szCs w:val="28"/>
          <w:lang w:val="ro-RO"/>
        </w:rPr>
      </w:pPr>
    </w:p>
    <w:p w:rsidR="00CE466F" w:rsidRPr="00CE466F" w:rsidRDefault="00CE466F" w:rsidP="00CE466F">
      <w:pPr>
        <w:pStyle w:val="a3"/>
        <w:ind w:right="22" w:firstLine="360"/>
        <w:rPr>
          <w:szCs w:val="28"/>
          <w:lang w:val="en-US"/>
        </w:rPr>
      </w:pPr>
      <w:proofErr w:type="spellStart"/>
      <w:proofErr w:type="gramStart"/>
      <w:r w:rsidRPr="00CE466F">
        <w:rPr>
          <w:szCs w:val="28"/>
          <w:lang w:val="en-US"/>
        </w:rPr>
        <w:t>Costuri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suplimentare</w:t>
      </w:r>
      <w:proofErr w:type="spellEnd"/>
      <w:r w:rsidRPr="00CE466F">
        <w:rPr>
          <w:szCs w:val="28"/>
          <w:lang w:val="en-US"/>
        </w:rPr>
        <w:t xml:space="preserve">, </w:t>
      </w:r>
      <w:proofErr w:type="spellStart"/>
      <w:r w:rsidRPr="00CE466F">
        <w:rPr>
          <w:szCs w:val="28"/>
          <w:lang w:val="en-US"/>
        </w:rPr>
        <w:t>altele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decât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cele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prevăzute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în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bugetul</w:t>
      </w:r>
      <w:proofErr w:type="spellEnd"/>
      <w:r w:rsidRPr="00CE466F">
        <w:rPr>
          <w:szCs w:val="28"/>
          <w:lang w:val="en-US"/>
        </w:rPr>
        <w:t xml:space="preserve"> de stat, legate de </w:t>
      </w:r>
      <w:proofErr w:type="spellStart"/>
      <w:r w:rsidRPr="00CE466F">
        <w:rPr>
          <w:szCs w:val="28"/>
          <w:lang w:val="en-US"/>
        </w:rPr>
        <w:t>elaborarea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şi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implementarea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proiectului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dat</w:t>
      </w:r>
      <w:proofErr w:type="spellEnd"/>
      <w:r w:rsidRPr="00CE466F">
        <w:rPr>
          <w:szCs w:val="28"/>
          <w:lang w:val="en-US"/>
        </w:rPr>
        <w:t xml:space="preserve"> nu </w:t>
      </w:r>
      <w:proofErr w:type="spellStart"/>
      <w:r w:rsidRPr="00CE466F">
        <w:rPr>
          <w:szCs w:val="28"/>
          <w:lang w:val="en-US"/>
        </w:rPr>
        <w:t>sunt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necesare</w:t>
      </w:r>
      <w:proofErr w:type="spellEnd"/>
      <w:r w:rsidRPr="00CE466F">
        <w:rPr>
          <w:szCs w:val="28"/>
          <w:lang w:val="en-US"/>
        </w:rPr>
        <w:t xml:space="preserve">, </w:t>
      </w:r>
      <w:proofErr w:type="spellStart"/>
      <w:r w:rsidRPr="00CE466F">
        <w:rPr>
          <w:szCs w:val="28"/>
          <w:lang w:val="en-US"/>
        </w:rPr>
        <w:t>întrucât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condiţiile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impuse</w:t>
      </w:r>
      <w:proofErr w:type="spellEnd"/>
      <w:r w:rsidRPr="00CE466F">
        <w:rPr>
          <w:szCs w:val="28"/>
          <w:lang w:val="en-US"/>
        </w:rPr>
        <w:t xml:space="preserve"> de </w:t>
      </w:r>
      <w:proofErr w:type="spellStart"/>
      <w:r w:rsidRPr="00CE466F">
        <w:rPr>
          <w:szCs w:val="28"/>
          <w:lang w:val="en-US"/>
        </w:rPr>
        <w:t>documentul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nominalizat</w:t>
      </w:r>
      <w:proofErr w:type="spellEnd"/>
      <w:r w:rsidRPr="00CE466F">
        <w:rPr>
          <w:szCs w:val="28"/>
          <w:lang w:val="en-US"/>
        </w:rPr>
        <w:t xml:space="preserve"> nu </w:t>
      </w:r>
      <w:proofErr w:type="spellStart"/>
      <w:r w:rsidRPr="00CE466F">
        <w:rPr>
          <w:szCs w:val="28"/>
          <w:lang w:val="en-US"/>
        </w:rPr>
        <w:t>necesită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dotări</w:t>
      </w:r>
      <w:proofErr w:type="spellEnd"/>
      <w:r w:rsidRPr="00CE466F">
        <w:rPr>
          <w:szCs w:val="28"/>
          <w:lang w:val="en-US"/>
        </w:rPr>
        <w:t xml:space="preserve"> cu </w:t>
      </w:r>
      <w:proofErr w:type="spellStart"/>
      <w:r w:rsidRPr="00CE466F">
        <w:rPr>
          <w:szCs w:val="28"/>
          <w:lang w:val="en-US"/>
        </w:rPr>
        <w:t>utilaj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sofisticat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şi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tehnologii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noi</w:t>
      </w:r>
      <w:proofErr w:type="spellEnd"/>
      <w:r w:rsidRPr="00CE466F">
        <w:rPr>
          <w:szCs w:val="28"/>
          <w:lang w:val="en-US"/>
        </w:rPr>
        <w:t>.</w:t>
      </w:r>
      <w:proofErr w:type="gramEnd"/>
    </w:p>
    <w:p w:rsidR="0004306A" w:rsidRPr="00CE466F" w:rsidRDefault="0004306A" w:rsidP="0004306A">
      <w:pPr>
        <w:ind w:firstLine="708"/>
        <w:jc w:val="both"/>
        <w:rPr>
          <w:sz w:val="28"/>
          <w:szCs w:val="28"/>
          <w:lang w:val="en-US"/>
        </w:rPr>
      </w:pPr>
    </w:p>
    <w:p w:rsidR="0004306A" w:rsidRDefault="0004306A" w:rsidP="0004306A">
      <w:pPr>
        <w:pStyle w:val="a3"/>
        <w:ind w:right="22" w:firstLine="708"/>
        <w:jc w:val="center"/>
        <w:outlineLvl w:val="0"/>
        <w:rPr>
          <w:b/>
          <w:szCs w:val="28"/>
          <w:lang w:val="ro-RO"/>
        </w:rPr>
      </w:pPr>
      <w:r w:rsidRPr="00015875">
        <w:rPr>
          <w:b/>
          <w:szCs w:val="28"/>
          <w:lang w:val="ro-RO"/>
        </w:rPr>
        <w:t xml:space="preserve">Elaboratorii </w:t>
      </w:r>
      <w:r w:rsidR="00D73145">
        <w:rPr>
          <w:b/>
          <w:szCs w:val="28"/>
          <w:lang w:val="ro-RO"/>
        </w:rPr>
        <w:t>strategiei</w:t>
      </w:r>
    </w:p>
    <w:p w:rsidR="0004306A" w:rsidRPr="00015875" w:rsidRDefault="0004306A" w:rsidP="0004306A">
      <w:pPr>
        <w:pStyle w:val="a3"/>
        <w:ind w:right="22" w:firstLine="708"/>
        <w:jc w:val="center"/>
        <w:rPr>
          <w:b/>
          <w:szCs w:val="28"/>
          <w:lang w:val="ro-RO"/>
        </w:rPr>
      </w:pPr>
    </w:p>
    <w:p w:rsidR="0004306A" w:rsidRPr="00015875" w:rsidRDefault="00CE466F" w:rsidP="0004306A">
      <w:pPr>
        <w:pStyle w:val="a3"/>
        <w:ind w:right="22" w:firstLine="708"/>
        <w:rPr>
          <w:szCs w:val="28"/>
          <w:lang w:val="ro-RO"/>
        </w:rPr>
      </w:pPr>
      <w:r>
        <w:rPr>
          <w:szCs w:val="28"/>
          <w:lang w:val="ro-RO"/>
        </w:rPr>
        <w:t xml:space="preserve">Regulamentele </w:t>
      </w:r>
      <w:r w:rsidR="0004306A">
        <w:rPr>
          <w:szCs w:val="28"/>
          <w:lang w:val="ro-RO"/>
        </w:rPr>
        <w:t>a</w:t>
      </w:r>
      <w:r>
        <w:rPr>
          <w:szCs w:val="28"/>
          <w:lang w:val="ro-RO"/>
        </w:rPr>
        <w:t>u</w:t>
      </w:r>
      <w:r w:rsidR="0004306A" w:rsidRPr="00015875">
        <w:rPr>
          <w:szCs w:val="28"/>
          <w:lang w:val="ro-RO"/>
        </w:rPr>
        <w:t xml:space="preserve"> fost elaborat</w:t>
      </w:r>
      <w:r>
        <w:rPr>
          <w:szCs w:val="28"/>
          <w:lang w:val="ro-RO"/>
        </w:rPr>
        <w:t>e</w:t>
      </w:r>
      <w:r w:rsidR="0004306A" w:rsidRPr="00015875">
        <w:rPr>
          <w:szCs w:val="28"/>
          <w:lang w:val="ro-RO"/>
        </w:rPr>
        <w:t xml:space="preserve"> de Ministerul Sănătăţii şi </w:t>
      </w:r>
      <w:r>
        <w:rPr>
          <w:szCs w:val="28"/>
          <w:lang w:val="ro-RO"/>
        </w:rPr>
        <w:t>vor</w:t>
      </w:r>
      <w:r w:rsidR="0004306A">
        <w:rPr>
          <w:szCs w:val="28"/>
          <w:lang w:val="ro-RO"/>
        </w:rPr>
        <w:t xml:space="preserve"> fi remis</w:t>
      </w:r>
      <w:r w:rsidR="00730EEF">
        <w:rPr>
          <w:szCs w:val="28"/>
          <w:lang w:val="ro-RO"/>
        </w:rPr>
        <w:t>e</w:t>
      </w:r>
      <w:r w:rsidR="0004306A">
        <w:rPr>
          <w:szCs w:val="28"/>
          <w:lang w:val="ro-RO"/>
        </w:rPr>
        <w:t xml:space="preserve"> spre</w:t>
      </w:r>
      <w:r w:rsidR="0004306A" w:rsidRPr="00015875">
        <w:rPr>
          <w:szCs w:val="28"/>
          <w:lang w:val="ro-RO"/>
        </w:rPr>
        <w:t xml:space="preserve"> aviza</w:t>
      </w:r>
      <w:r w:rsidR="0004306A">
        <w:rPr>
          <w:szCs w:val="28"/>
          <w:lang w:val="ro-RO"/>
        </w:rPr>
        <w:t>re</w:t>
      </w:r>
      <w:r w:rsidR="0004306A" w:rsidRPr="00015875">
        <w:rPr>
          <w:szCs w:val="28"/>
          <w:lang w:val="ro-RO"/>
        </w:rPr>
        <w:t xml:space="preserve"> organel</w:t>
      </w:r>
      <w:r w:rsidR="0004306A">
        <w:rPr>
          <w:szCs w:val="28"/>
          <w:lang w:val="ro-RO"/>
        </w:rPr>
        <w:t>or</w:t>
      </w:r>
      <w:r w:rsidR="0004306A" w:rsidRPr="00015875">
        <w:rPr>
          <w:szCs w:val="28"/>
          <w:lang w:val="ro-RO"/>
        </w:rPr>
        <w:t xml:space="preserve"> centrale de specialitate ale administraţiei publice centrale</w:t>
      </w:r>
      <w:r w:rsidR="0004306A">
        <w:rPr>
          <w:szCs w:val="28"/>
          <w:lang w:val="ro-RO"/>
        </w:rPr>
        <w:t xml:space="preserve">, </w:t>
      </w:r>
      <w:proofErr w:type="spellStart"/>
      <w:r w:rsidRPr="00CE466F">
        <w:rPr>
          <w:szCs w:val="28"/>
          <w:lang w:val="en-US"/>
        </w:rPr>
        <w:t>sectorului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privat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şi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societăţii</w:t>
      </w:r>
      <w:proofErr w:type="spellEnd"/>
      <w:r w:rsidRPr="00CE466F">
        <w:rPr>
          <w:szCs w:val="28"/>
          <w:lang w:val="en-US"/>
        </w:rPr>
        <w:t xml:space="preserve"> </w:t>
      </w:r>
      <w:proofErr w:type="spellStart"/>
      <w:r w:rsidRPr="00CE466F">
        <w:rPr>
          <w:szCs w:val="28"/>
          <w:lang w:val="en-US"/>
        </w:rPr>
        <w:t>civile</w:t>
      </w:r>
      <w:proofErr w:type="spellEnd"/>
      <w:r w:rsidR="0004306A" w:rsidRPr="00015875">
        <w:rPr>
          <w:szCs w:val="28"/>
          <w:lang w:val="ro-RO"/>
        </w:rPr>
        <w:t>.</w:t>
      </w:r>
    </w:p>
    <w:p w:rsidR="0004306A" w:rsidRDefault="0004306A" w:rsidP="0004306A">
      <w:pPr>
        <w:pStyle w:val="a3"/>
        <w:ind w:right="22" w:firstLine="708"/>
        <w:rPr>
          <w:szCs w:val="28"/>
          <w:lang w:val="ro-RO"/>
        </w:rPr>
      </w:pPr>
    </w:p>
    <w:p w:rsidR="00D73145" w:rsidRDefault="00D73145" w:rsidP="0004306A">
      <w:pPr>
        <w:pStyle w:val="a3"/>
        <w:ind w:right="22" w:firstLine="708"/>
        <w:rPr>
          <w:szCs w:val="28"/>
          <w:lang w:val="ro-RO"/>
        </w:rPr>
      </w:pPr>
    </w:p>
    <w:p w:rsidR="00D73145" w:rsidRDefault="00D73145" w:rsidP="0004306A">
      <w:pPr>
        <w:pStyle w:val="a3"/>
        <w:ind w:right="22" w:firstLine="708"/>
        <w:rPr>
          <w:szCs w:val="28"/>
          <w:lang w:val="ro-RO"/>
        </w:rPr>
      </w:pPr>
    </w:p>
    <w:p w:rsidR="0004306A" w:rsidRPr="00D73145" w:rsidRDefault="0004306A" w:rsidP="0004306A">
      <w:pPr>
        <w:pStyle w:val="a3"/>
        <w:ind w:right="22" w:firstLine="708"/>
        <w:rPr>
          <w:b/>
          <w:szCs w:val="28"/>
          <w:lang w:val="ro-RO"/>
        </w:rPr>
      </w:pPr>
      <w:r w:rsidRPr="00D73145">
        <w:rPr>
          <w:b/>
          <w:szCs w:val="28"/>
          <w:lang w:val="ro-RO"/>
        </w:rPr>
        <w:t>Viceministru</w:t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="00D73145" w:rsidRPr="00D73145">
        <w:rPr>
          <w:b/>
          <w:szCs w:val="28"/>
          <w:lang w:val="ro-RO"/>
        </w:rPr>
        <w:t>Aliona SERBULENCO</w:t>
      </w:r>
    </w:p>
    <w:p w:rsidR="0004306A" w:rsidRDefault="0004306A" w:rsidP="0004306A">
      <w:pPr>
        <w:pStyle w:val="a3"/>
        <w:ind w:right="22" w:firstLine="708"/>
        <w:rPr>
          <w:szCs w:val="28"/>
          <w:lang w:val="ro-RO"/>
        </w:rPr>
      </w:pP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 w:rsidRPr="00D73145">
        <w:rPr>
          <w:b/>
          <w:szCs w:val="28"/>
          <w:lang w:val="ro-RO"/>
        </w:rPr>
        <w:tab/>
      </w:r>
      <w:r>
        <w:rPr>
          <w:szCs w:val="28"/>
          <w:lang w:val="ro-RO"/>
        </w:rPr>
        <w:tab/>
      </w: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rPr>
          <w:lang w:val="ro-RO"/>
        </w:rPr>
      </w:pPr>
      <w:r w:rsidRPr="00BF70F3">
        <w:rPr>
          <w:lang w:val="ro-RO"/>
        </w:rPr>
        <w:tab/>
      </w: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rPr>
          <w:lang w:val="ro-RO"/>
        </w:rPr>
      </w:pP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outlineLvl w:val="0"/>
        <w:rPr>
          <w:lang w:val="ro-RO"/>
        </w:rPr>
      </w:pPr>
    </w:p>
    <w:p w:rsidR="0004306A" w:rsidRDefault="0004306A" w:rsidP="0004306A">
      <w:pPr>
        <w:tabs>
          <w:tab w:val="left" w:pos="0"/>
          <w:tab w:val="left" w:pos="540"/>
        </w:tabs>
        <w:ind w:left="5664" w:firstLine="708"/>
        <w:jc w:val="center"/>
        <w:outlineLvl w:val="0"/>
        <w:rPr>
          <w:lang w:val="ro-RO"/>
        </w:rPr>
      </w:pPr>
    </w:p>
    <w:p w:rsidR="0009475E" w:rsidRDefault="0009475E"/>
    <w:sectPr w:rsidR="0009475E" w:rsidSect="0009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144D"/>
    <w:multiLevelType w:val="multilevel"/>
    <w:tmpl w:val="163E99A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525" w:hanging="465"/>
      </w:pPr>
      <w:rPr>
        <w:rFonts w:ascii="Times New Roman" w:eastAsia="Times New Roman" w:hAnsi="Times New Roman" w:cs="Times New Roman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FF"/>
        <w:sz w:val="28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FF"/>
        <w:sz w:val="28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FF"/>
        <w:sz w:val="28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FF"/>
        <w:sz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FF"/>
        <w:sz w:val="28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FF"/>
        <w:sz w:val="28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0000FF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06A"/>
    <w:rsid w:val="0004306A"/>
    <w:rsid w:val="0009475E"/>
    <w:rsid w:val="001D5DB1"/>
    <w:rsid w:val="00416875"/>
    <w:rsid w:val="00426D87"/>
    <w:rsid w:val="004B09D1"/>
    <w:rsid w:val="005455B4"/>
    <w:rsid w:val="00730EEF"/>
    <w:rsid w:val="008072D0"/>
    <w:rsid w:val="009341FC"/>
    <w:rsid w:val="00C82D7C"/>
    <w:rsid w:val="00CE466F"/>
    <w:rsid w:val="00D73145"/>
    <w:rsid w:val="00DF29FD"/>
    <w:rsid w:val="00F3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06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30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0430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306A"/>
  </w:style>
  <w:style w:type="paragraph" w:customStyle="1" w:styleId="tt">
    <w:name w:val="tt"/>
    <w:basedOn w:val="a"/>
    <w:rsid w:val="005455B4"/>
    <w:pPr>
      <w:jc w:val="center"/>
    </w:pPr>
    <w:rPr>
      <w:b/>
      <w:bCs/>
    </w:rPr>
  </w:style>
  <w:style w:type="character" w:customStyle="1" w:styleId="sttpunct1">
    <w:name w:val="st_tpunct1"/>
    <w:rsid w:val="005455B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43C05-972B-447E-B5B6-5400969D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vgoncear</dc:creator>
  <cp:keywords/>
  <dc:description/>
  <cp:lastModifiedBy>abucur</cp:lastModifiedBy>
  <cp:revision>2</cp:revision>
  <cp:lastPrinted>2015-12-29T06:33:00Z</cp:lastPrinted>
  <dcterms:created xsi:type="dcterms:W3CDTF">2015-12-29T14:29:00Z</dcterms:created>
  <dcterms:modified xsi:type="dcterms:W3CDTF">2015-12-29T14:29:00Z</dcterms:modified>
</cp:coreProperties>
</file>