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7B8" w:rsidRPr="00C923B1" w:rsidRDefault="001077B8" w:rsidP="001077B8">
      <w:pPr>
        <w:pStyle w:val="cn"/>
        <w:jc w:val="right"/>
        <w:rPr>
          <w:i/>
        </w:rPr>
      </w:pPr>
      <w:r w:rsidRPr="00C923B1">
        <w:rPr>
          <w:i/>
        </w:rPr>
        <w:t>Proiect</w:t>
      </w:r>
    </w:p>
    <w:p w:rsidR="001077B8" w:rsidRPr="00C923B1" w:rsidRDefault="001077B8" w:rsidP="001077B8">
      <w:pPr>
        <w:pStyle w:val="cn"/>
        <w:jc w:val="left"/>
        <w:rPr>
          <w:i/>
        </w:rPr>
      </w:pPr>
    </w:p>
    <w:p w:rsidR="001077B8" w:rsidRPr="00C923B1" w:rsidRDefault="001077B8" w:rsidP="001077B8">
      <w:pPr>
        <w:pStyle w:val="tt"/>
        <w:rPr>
          <w:sz w:val="28"/>
          <w:szCs w:val="28"/>
        </w:rPr>
      </w:pPr>
      <w:r w:rsidRPr="00C923B1">
        <w:rPr>
          <w:sz w:val="28"/>
          <w:szCs w:val="28"/>
        </w:rPr>
        <w:t xml:space="preserve">H O T Ă R Î R E </w:t>
      </w:r>
    </w:p>
    <w:p w:rsidR="001077B8" w:rsidRPr="00C923B1" w:rsidRDefault="001077B8" w:rsidP="001077B8">
      <w:pPr>
        <w:pStyle w:val="tt"/>
        <w:rPr>
          <w:sz w:val="28"/>
          <w:szCs w:val="28"/>
        </w:rPr>
      </w:pPr>
    </w:p>
    <w:p w:rsidR="001077B8" w:rsidRPr="00C923B1" w:rsidRDefault="001077B8" w:rsidP="001077B8">
      <w:pPr>
        <w:pStyle w:val="Default"/>
        <w:spacing w:line="276" w:lineRule="auto"/>
        <w:jc w:val="center"/>
        <w:rPr>
          <w:b/>
          <w:bCs/>
          <w:sz w:val="28"/>
          <w:szCs w:val="28"/>
          <w:lang w:val="en-US"/>
        </w:rPr>
      </w:pPr>
      <w:proofErr w:type="spellStart"/>
      <w:proofErr w:type="gramStart"/>
      <w:r w:rsidRPr="00C923B1">
        <w:rPr>
          <w:b/>
          <w:sz w:val="28"/>
          <w:szCs w:val="28"/>
          <w:lang w:val="en-US"/>
        </w:rPr>
        <w:t>pentru</w:t>
      </w:r>
      <w:proofErr w:type="spellEnd"/>
      <w:proofErr w:type="gramEnd"/>
      <w:r w:rsidRPr="00C923B1">
        <w:rPr>
          <w:b/>
          <w:sz w:val="28"/>
          <w:szCs w:val="28"/>
          <w:lang w:val="en-US"/>
        </w:rPr>
        <w:t xml:space="preserve"> </w:t>
      </w:r>
      <w:proofErr w:type="spellStart"/>
      <w:r w:rsidRPr="00C923B1">
        <w:rPr>
          <w:b/>
          <w:sz w:val="28"/>
          <w:szCs w:val="28"/>
          <w:lang w:val="en-US"/>
        </w:rPr>
        <w:t>aprobarea</w:t>
      </w:r>
      <w:proofErr w:type="spellEnd"/>
      <w:r w:rsidRPr="00C923B1">
        <w:rPr>
          <w:b/>
          <w:sz w:val="28"/>
          <w:szCs w:val="28"/>
          <w:lang w:val="en-US"/>
        </w:rPr>
        <w:t xml:space="preserve"> </w:t>
      </w:r>
      <w:proofErr w:type="spellStart"/>
      <w:r w:rsidRPr="00C923B1">
        <w:rPr>
          <w:b/>
          <w:sz w:val="28"/>
          <w:szCs w:val="28"/>
          <w:lang w:val="en-US"/>
        </w:rPr>
        <w:t>valorilor</w:t>
      </w:r>
      <w:proofErr w:type="spellEnd"/>
      <w:r w:rsidRPr="00C923B1">
        <w:rPr>
          <w:b/>
          <w:sz w:val="28"/>
          <w:szCs w:val="28"/>
          <w:lang w:val="en-US"/>
        </w:rPr>
        <w:t xml:space="preserve"> de </w:t>
      </w:r>
      <w:proofErr w:type="spellStart"/>
      <w:r w:rsidRPr="00C923B1">
        <w:rPr>
          <w:b/>
          <w:sz w:val="28"/>
          <w:szCs w:val="28"/>
          <w:lang w:val="en-US"/>
        </w:rPr>
        <w:t>referinţă</w:t>
      </w:r>
      <w:proofErr w:type="spellEnd"/>
      <w:r w:rsidRPr="00C923B1">
        <w:rPr>
          <w:b/>
          <w:sz w:val="28"/>
          <w:szCs w:val="28"/>
          <w:lang w:val="en-US"/>
        </w:rPr>
        <w:t xml:space="preserve"> </w:t>
      </w:r>
      <w:proofErr w:type="spellStart"/>
      <w:r w:rsidRPr="00C923B1">
        <w:rPr>
          <w:b/>
          <w:sz w:val="28"/>
          <w:szCs w:val="28"/>
          <w:lang w:val="en-US"/>
        </w:rPr>
        <w:t>armonizate</w:t>
      </w:r>
      <w:proofErr w:type="spellEnd"/>
      <w:r w:rsidRPr="00C923B1">
        <w:rPr>
          <w:b/>
          <w:sz w:val="28"/>
          <w:szCs w:val="28"/>
          <w:lang w:val="en-US"/>
        </w:rPr>
        <w:t xml:space="preserve"> ale </w:t>
      </w:r>
      <w:proofErr w:type="spellStart"/>
      <w:r w:rsidRPr="00C923B1">
        <w:rPr>
          <w:b/>
          <w:sz w:val="28"/>
          <w:szCs w:val="28"/>
          <w:lang w:val="en-US"/>
        </w:rPr>
        <w:t>eficienţei</w:t>
      </w:r>
      <w:proofErr w:type="spellEnd"/>
      <w:r w:rsidRPr="00C923B1">
        <w:rPr>
          <w:b/>
          <w:sz w:val="28"/>
          <w:szCs w:val="28"/>
          <w:lang w:val="en-US"/>
        </w:rPr>
        <w:t xml:space="preserve"> </w:t>
      </w:r>
      <w:proofErr w:type="spellStart"/>
      <w:r w:rsidRPr="00C923B1">
        <w:rPr>
          <w:b/>
          <w:sz w:val="28"/>
          <w:szCs w:val="28"/>
          <w:lang w:val="en-US"/>
        </w:rPr>
        <w:t>pentru</w:t>
      </w:r>
      <w:proofErr w:type="spellEnd"/>
      <w:r w:rsidRPr="00C923B1">
        <w:rPr>
          <w:b/>
          <w:sz w:val="28"/>
          <w:szCs w:val="28"/>
          <w:lang w:val="en-US"/>
        </w:rPr>
        <w:t xml:space="preserve"> </w:t>
      </w:r>
      <w:proofErr w:type="spellStart"/>
      <w:r w:rsidRPr="00C923B1">
        <w:rPr>
          <w:b/>
          <w:sz w:val="28"/>
          <w:szCs w:val="28"/>
          <w:lang w:val="en-US"/>
        </w:rPr>
        <w:t>producerea</w:t>
      </w:r>
      <w:proofErr w:type="spellEnd"/>
      <w:r w:rsidRPr="00C923B1">
        <w:rPr>
          <w:b/>
          <w:sz w:val="28"/>
          <w:szCs w:val="28"/>
          <w:lang w:val="en-US"/>
        </w:rPr>
        <w:t xml:space="preserve"> </w:t>
      </w:r>
      <w:proofErr w:type="spellStart"/>
      <w:r w:rsidRPr="00C923B1">
        <w:rPr>
          <w:b/>
          <w:sz w:val="28"/>
          <w:szCs w:val="28"/>
          <w:lang w:val="en-US"/>
        </w:rPr>
        <w:t>separată</w:t>
      </w:r>
      <w:proofErr w:type="spellEnd"/>
      <w:r w:rsidRPr="00C923B1">
        <w:rPr>
          <w:b/>
          <w:sz w:val="28"/>
          <w:szCs w:val="28"/>
          <w:lang w:val="en-US"/>
        </w:rPr>
        <w:t xml:space="preserve"> de </w:t>
      </w:r>
      <w:proofErr w:type="spellStart"/>
      <w:r w:rsidRPr="00C923B1">
        <w:rPr>
          <w:b/>
          <w:sz w:val="28"/>
          <w:szCs w:val="28"/>
          <w:lang w:val="en-US"/>
        </w:rPr>
        <w:t>energie</w:t>
      </w:r>
      <w:proofErr w:type="spellEnd"/>
      <w:r w:rsidRPr="00C923B1">
        <w:rPr>
          <w:b/>
          <w:sz w:val="28"/>
          <w:szCs w:val="28"/>
          <w:lang w:val="en-US"/>
        </w:rPr>
        <w:t xml:space="preserve"> </w:t>
      </w:r>
      <w:proofErr w:type="spellStart"/>
      <w:r w:rsidRPr="00C923B1">
        <w:rPr>
          <w:b/>
          <w:sz w:val="28"/>
          <w:szCs w:val="28"/>
          <w:lang w:val="en-US"/>
        </w:rPr>
        <w:t>electrică</w:t>
      </w:r>
      <w:proofErr w:type="spellEnd"/>
      <w:r w:rsidRPr="00C923B1">
        <w:rPr>
          <w:b/>
          <w:sz w:val="28"/>
          <w:szCs w:val="28"/>
          <w:lang w:val="en-US"/>
        </w:rPr>
        <w:t xml:space="preserve"> </w:t>
      </w:r>
      <w:proofErr w:type="spellStart"/>
      <w:r w:rsidRPr="00C923B1">
        <w:rPr>
          <w:b/>
          <w:sz w:val="28"/>
          <w:szCs w:val="28"/>
          <w:lang w:val="en-US"/>
        </w:rPr>
        <w:t>și</w:t>
      </w:r>
      <w:proofErr w:type="spellEnd"/>
      <w:r w:rsidRPr="00C923B1">
        <w:rPr>
          <w:b/>
          <w:sz w:val="28"/>
          <w:szCs w:val="28"/>
          <w:lang w:val="en-US"/>
        </w:rPr>
        <w:t xml:space="preserve"> </w:t>
      </w:r>
      <w:proofErr w:type="spellStart"/>
      <w:r w:rsidRPr="00C923B1">
        <w:rPr>
          <w:b/>
          <w:sz w:val="28"/>
          <w:szCs w:val="28"/>
          <w:lang w:val="en-US"/>
        </w:rPr>
        <w:t>termică</w:t>
      </w:r>
      <w:proofErr w:type="spellEnd"/>
      <w:r w:rsidRPr="00C923B1">
        <w:rPr>
          <w:b/>
          <w:sz w:val="28"/>
          <w:szCs w:val="28"/>
          <w:lang w:val="en-US"/>
        </w:rPr>
        <w:t xml:space="preserve"> </w:t>
      </w:r>
    </w:p>
    <w:p w:rsidR="001077B8" w:rsidRPr="00C923B1" w:rsidRDefault="001077B8" w:rsidP="001077B8">
      <w:pPr>
        <w:pStyle w:val="cn"/>
        <w:rPr>
          <w:b/>
          <w:bCs/>
          <w:sz w:val="28"/>
          <w:szCs w:val="28"/>
        </w:rPr>
      </w:pPr>
    </w:p>
    <w:p w:rsidR="001077B8" w:rsidRPr="00C923B1" w:rsidRDefault="001077B8" w:rsidP="001077B8">
      <w:pPr>
        <w:pStyle w:val="cn"/>
        <w:rPr>
          <w:sz w:val="28"/>
          <w:szCs w:val="28"/>
        </w:rPr>
      </w:pPr>
      <w:r w:rsidRPr="00C923B1">
        <w:rPr>
          <w:b/>
          <w:bCs/>
          <w:sz w:val="28"/>
          <w:szCs w:val="28"/>
        </w:rPr>
        <w:t>nr. _____ din _____________ 201</w:t>
      </w:r>
      <w:r w:rsidR="003B286C">
        <w:rPr>
          <w:b/>
          <w:bCs/>
          <w:sz w:val="28"/>
          <w:szCs w:val="28"/>
        </w:rPr>
        <w:t>6</w:t>
      </w:r>
    </w:p>
    <w:p w:rsidR="001077B8" w:rsidRPr="00C923B1" w:rsidRDefault="001077B8" w:rsidP="00D21A02">
      <w:pPr>
        <w:pStyle w:val="cn"/>
        <w:jc w:val="left"/>
        <w:rPr>
          <w:sz w:val="28"/>
          <w:szCs w:val="28"/>
        </w:rPr>
      </w:pPr>
    </w:p>
    <w:p w:rsidR="00D21A02" w:rsidRPr="00D21A02" w:rsidRDefault="00D21A02" w:rsidP="00D21A02">
      <w:pPr>
        <w:pStyle w:val="NormalWeb"/>
        <w:spacing w:after="120"/>
        <w:ind w:left="-142" w:firstLine="425"/>
        <w:rPr>
          <w:sz w:val="28"/>
          <w:szCs w:val="28"/>
          <w:lang w:val="en-US"/>
        </w:rPr>
      </w:pPr>
      <w:proofErr w:type="spellStart"/>
      <w:r w:rsidRPr="00D21A02">
        <w:rPr>
          <w:sz w:val="28"/>
          <w:szCs w:val="28"/>
          <w:lang w:val="en-US"/>
        </w:rPr>
        <w:t>Prezenta</w:t>
      </w:r>
      <w:proofErr w:type="spellEnd"/>
      <w:r w:rsidRPr="00D21A02">
        <w:rPr>
          <w:sz w:val="28"/>
          <w:szCs w:val="28"/>
          <w:lang w:val="en-US"/>
        </w:rPr>
        <w:t xml:space="preserve"> </w:t>
      </w:r>
      <w:proofErr w:type="spellStart"/>
      <w:r w:rsidRPr="00D21A02">
        <w:rPr>
          <w:sz w:val="28"/>
          <w:szCs w:val="28"/>
          <w:lang w:val="en-US"/>
        </w:rPr>
        <w:t>Hotărîre</w:t>
      </w:r>
      <w:proofErr w:type="spellEnd"/>
      <w:r w:rsidRPr="00D21A02">
        <w:rPr>
          <w:sz w:val="28"/>
          <w:szCs w:val="28"/>
          <w:lang w:val="en-US"/>
        </w:rPr>
        <w:t xml:space="preserve"> </w:t>
      </w:r>
      <w:proofErr w:type="spellStart"/>
      <w:r w:rsidRPr="00D21A02">
        <w:rPr>
          <w:sz w:val="28"/>
          <w:szCs w:val="28"/>
          <w:lang w:val="en-US"/>
        </w:rPr>
        <w:t>transpune</w:t>
      </w:r>
      <w:proofErr w:type="spellEnd"/>
      <w:r w:rsidRPr="00D21A02">
        <w:rPr>
          <w:sz w:val="28"/>
          <w:szCs w:val="28"/>
          <w:lang w:val="en-US"/>
        </w:rPr>
        <w:t xml:space="preserve"> </w:t>
      </w:r>
      <w:proofErr w:type="spellStart"/>
      <w:r w:rsidRPr="00D21A02">
        <w:rPr>
          <w:sz w:val="28"/>
          <w:szCs w:val="28"/>
          <w:lang w:val="en-US"/>
        </w:rPr>
        <w:t>Decizia</w:t>
      </w:r>
      <w:proofErr w:type="spellEnd"/>
      <w:r w:rsidRPr="00D21A02">
        <w:rPr>
          <w:sz w:val="28"/>
          <w:szCs w:val="28"/>
          <w:lang w:val="en-US"/>
        </w:rPr>
        <w:t xml:space="preserve"> de </w:t>
      </w:r>
      <w:proofErr w:type="spellStart"/>
      <w:r w:rsidRPr="00D21A02">
        <w:rPr>
          <w:sz w:val="28"/>
          <w:szCs w:val="28"/>
          <w:lang w:val="en-US"/>
        </w:rPr>
        <w:t>punere</w:t>
      </w:r>
      <w:proofErr w:type="spellEnd"/>
      <w:r w:rsidRPr="00D21A02">
        <w:rPr>
          <w:sz w:val="28"/>
          <w:szCs w:val="28"/>
          <w:lang w:val="en-US"/>
        </w:rPr>
        <w:t xml:space="preserve"> </w:t>
      </w:r>
      <w:proofErr w:type="spellStart"/>
      <w:r w:rsidRPr="00D21A02">
        <w:rPr>
          <w:sz w:val="28"/>
          <w:szCs w:val="28"/>
          <w:lang w:val="en-US"/>
        </w:rPr>
        <w:t>în</w:t>
      </w:r>
      <w:proofErr w:type="spellEnd"/>
      <w:r w:rsidRPr="00D21A02">
        <w:rPr>
          <w:sz w:val="28"/>
          <w:szCs w:val="28"/>
          <w:lang w:val="en-US"/>
        </w:rPr>
        <w:t xml:space="preserve"> </w:t>
      </w:r>
      <w:proofErr w:type="spellStart"/>
      <w:r w:rsidRPr="00D21A02">
        <w:rPr>
          <w:sz w:val="28"/>
          <w:szCs w:val="28"/>
          <w:lang w:val="en-US"/>
        </w:rPr>
        <w:t>aplicare</w:t>
      </w:r>
      <w:proofErr w:type="spellEnd"/>
      <w:r w:rsidRPr="00D21A02">
        <w:rPr>
          <w:sz w:val="28"/>
          <w:szCs w:val="28"/>
          <w:lang w:val="en-US"/>
        </w:rPr>
        <w:t xml:space="preserve"> a </w:t>
      </w:r>
      <w:proofErr w:type="spellStart"/>
      <w:r w:rsidRPr="00D21A02">
        <w:rPr>
          <w:sz w:val="28"/>
          <w:szCs w:val="28"/>
          <w:lang w:val="en-US"/>
        </w:rPr>
        <w:t>Comisiei</w:t>
      </w:r>
      <w:proofErr w:type="spellEnd"/>
      <w:r w:rsidRPr="00D21A02">
        <w:rPr>
          <w:sz w:val="28"/>
          <w:szCs w:val="28"/>
          <w:lang w:val="en-US"/>
        </w:rPr>
        <w:t xml:space="preserve"> din 19 </w:t>
      </w:r>
      <w:proofErr w:type="spellStart"/>
      <w:r w:rsidRPr="00D21A02">
        <w:rPr>
          <w:sz w:val="28"/>
          <w:szCs w:val="28"/>
          <w:lang w:val="en-US"/>
        </w:rPr>
        <w:t>decembrie</w:t>
      </w:r>
      <w:proofErr w:type="spellEnd"/>
      <w:r w:rsidRPr="00D21A02">
        <w:rPr>
          <w:sz w:val="28"/>
          <w:szCs w:val="28"/>
          <w:lang w:val="en-US"/>
        </w:rPr>
        <w:t xml:space="preserve"> 2011 de </w:t>
      </w:r>
      <w:proofErr w:type="spellStart"/>
      <w:r w:rsidRPr="00D21A02">
        <w:rPr>
          <w:sz w:val="28"/>
          <w:szCs w:val="28"/>
          <w:lang w:val="en-US"/>
        </w:rPr>
        <w:t>stabilire</w:t>
      </w:r>
      <w:proofErr w:type="spellEnd"/>
      <w:r w:rsidRPr="00D21A02">
        <w:rPr>
          <w:sz w:val="28"/>
          <w:szCs w:val="28"/>
          <w:lang w:val="en-US"/>
        </w:rPr>
        <w:t xml:space="preserve"> a </w:t>
      </w:r>
      <w:proofErr w:type="spellStart"/>
      <w:r w:rsidRPr="00D21A02">
        <w:rPr>
          <w:sz w:val="28"/>
          <w:szCs w:val="28"/>
          <w:lang w:val="en-US"/>
        </w:rPr>
        <w:t>valorilor</w:t>
      </w:r>
      <w:proofErr w:type="spellEnd"/>
      <w:r w:rsidRPr="00D21A02">
        <w:rPr>
          <w:sz w:val="28"/>
          <w:szCs w:val="28"/>
          <w:lang w:val="en-US"/>
        </w:rPr>
        <w:t xml:space="preserve"> de </w:t>
      </w:r>
      <w:proofErr w:type="spellStart"/>
      <w:r w:rsidRPr="00D21A02">
        <w:rPr>
          <w:sz w:val="28"/>
          <w:szCs w:val="28"/>
          <w:lang w:val="en-US"/>
        </w:rPr>
        <w:t>referință</w:t>
      </w:r>
      <w:proofErr w:type="spellEnd"/>
      <w:r w:rsidRPr="00D21A02">
        <w:rPr>
          <w:sz w:val="28"/>
          <w:szCs w:val="28"/>
          <w:lang w:val="en-US"/>
        </w:rPr>
        <w:t xml:space="preserve"> </w:t>
      </w:r>
      <w:proofErr w:type="spellStart"/>
      <w:r w:rsidRPr="00D21A02">
        <w:rPr>
          <w:sz w:val="28"/>
          <w:szCs w:val="28"/>
          <w:lang w:val="en-US"/>
        </w:rPr>
        <w:t>armonizate</w:t>
      </w:r>
      <w:proofErr w:type="spellEnd"/>
      <w:r w:rsidRPr="00D21A02">
        <w:rPr>
          <w:sz w:val="28"/>
          <w:szCs w:val="28"/>
          <w:lang w:val="en-US"/>
        </w:rPr>
        <w:t xml:space="preserve"> ale </w:t>
      </w:r>
      <w:proofErr w:type="spellStart"/>
      <w:r w:rsidRPr="00D21A02">
        <w:rPr>
          <w:sz w:val="28"/>
          <w:szCs w:val="28"/>
          <w:lang w:val="en-US"/>
        </w:rPr>
        <w:t>randamentului</w:t>
      </w:r>
      <w:proofErr w:type="spellEnd"/>
      <w:r w:rsidRPr="00D21A02">
        <w:rPr>
          <w:sz w:val="28"/>
          <w:szCs w:val="28"/>
          <w:lang w:val="en-US"/>
        </w:rPr>
        <w:t xml:space="preserve"> </w:t>
      </w:r>
      <w:proofErr w:type="spellStart"/>
      <w:r w:rsidRPr="00D21A02">
        <w:rPr>
          <w:sz w:val="28"/>
          <w:szCs w:val="28"/>
          <w:lang w:val="en-US"/>
        </w:rPr>
        <w:t>pentru</w:t>
      </w:r>
      <w:proofErr w:type="spellEnd"/>
      <w:r w:rsidRPr="00D21A02">
        <w:rPr>
          <w:sz w:val="28"/>
          <w:szCs w:val="28"/>
          <w:lang w:val="en-US"/>
        </w:rPr>
        <w:t xml:space="preserve"> </w:t>
      </w:r>
      <w:proofErr w:type="spellStart"/>
      <w:r w:rsidRPr="00D21A02">
        <w:rPr>
          <w:sz w:val="28"/>
          <w:szCs w:val="28"/>
          <w:lang w:val="en-US"/>
        </w:rPr>
        <w:t>producția</w:t>
      </w:r>
      <w:proofErr w:type="spellEnd"/>
      <w:r w:rsidRPr="00D21A02">
        <w:rPr>
          <w:sz w:val="28"/>
          <w:szCs w:val="28"/>
          <w:lang w:val="en-US"/>
        </w:rPr>
        <w:t xml:space="preserve"> </w:t>
      </w:r>
      <w:proofErr w:type="spellStart"/>
      <w:r w:rsidRPr="00D21A02">
        <w:rPr>
          <w:sz w:val="28"/>
          <w:szCs w:val="28"/>
          <w:lang w:val="en-US"/>
        </w:rPr>
        <w:t>separată</w:t>
      </w:r>
      <w:proofErr w:type="spellEnd"/>
      <w:r w:rsidRPr="00D21A02">
        <w:rPr>
          <w:sz w:val="28"/>
          <w:szCs w:val="28"/>
          <w:lang w:val="en-US"/>
        </w:rPr>
        <w:t xml:space="preserve"> de </w:t>
      </w:r>
      <w:proofErr w:type="spellStart"/>
      <w:r w:rsidRPr="00D21A02">
        <w:rPr>
          <w:sz w:val="28"/>
          <w:szCs w:val="28"/>
          <w:lang w:val="en-US"/>
        </w:rPr>
        <w:t>energie</w:t>
      </w:r>
      <w:proofErr w:type="spellEnd"/>
      <w:r w:rsidRPr="00D21A02">
        <w:rPr>
          <w:sz w:val="28"/>
          <w:szCs w:val="28"/>
          <w:lang w:val="en-US"/>
        </w:rPr>
        <w:t xml:space="preserve"> </w:t>
      </w:r>
      <w:proofErr w:type="spellStart"/>
      <w:r w:rsidRPr="00D21A02">
        <w:rPr>
          <w:sz w:val="28"/>
          <w:szCs w:val="28"/>
          <w:lang w:val="en-US"/>
        </w:rPr>
        <w:t>electrică</w:t>
      </w:r>
      <w:proofErr w:type="spellEnd"/>
      <w:r w:rsidRPr="00D21A02">
        <w:rPr>
          <w:sz w:val="28"/>
          <w:szCs w:val="28"/>
          <w:lang w:val="en-US"/>
        </w:rPr>
        <w:t xml:space="preserve"> </w:t>
      </w:r>
      <w:proofErr w:type="spellStart"/>
      <w:r w:rsidRPr="00D21A02">
        <w:rPr>
          <w:sz w:val="28"/>
          <w:szCs w:val="28"/>
          <w:lang w:val="en-US"/>
        </w:rPr>
        <w:t>și</w:t>
      </w:r>
      <w:proofErr w:type="spellEnd"/>
      <w:r w:rsidRPr="00D21A02">
        <w:rPr>
          <w:sz w:val="28"/>
          <w:szCs w:val="28"/>
          <w:lang w:val="en-US"/>
        </w:rPr>
        <w:t xml:space="preserve"> </w:t>
      </w:r>
      <w:proofErr w:type="spellStart"/>
      <w:r w:rsidRPr="00D21A02">
        <w:rPr>
          <w:sz w:val="28"/>
          <w:szCs w:val="28"/>
          <w:lang w:val="en-US"/>
        </w:rPr>
        <w:t>căldură</w:t>
      </w:r>
      <w:proofErr w:type="spellEnd"/>
      <w:r w:rsidRPr="00D21A02">
        <w:rPr>
          <w:sz w:val="28"/>
          <w:szCs w:val="28"/>
          <w:lang w:val="en-US"/>
        </w:rPr>
        <w:t xml:space="preserve">, </w:t>
      </w:r>
      <w:proofErr w:type="spellStart"/>
      <w:r w:rsidRPr="00D21A02">
        <w:rPr>
          <w:sz w:val="28"/>
          <w:szCs w:val="28"/>
          <w:lang w:val="en-US"/>
        </w:rPr>
        <w:t>în</w:t>
      </w:r>
      <w:proofErr w:type="spellEnd"/>
      <w:r w:rsidRPr="00D21A02">
        <w:rPr>
          <w:sz w:val="28"/>
          <w:szCs w:val="28"/>
          <w:lang w:val="en-US"/>
        </w:rPr>
        <w:t xml:space="preserve"> </w:t>
      </w:r>
      <w:proofErr w:type="spellStart"/>
      <w:r w:rsidRPr="00D21A02">
        <w:rPr>
          <w:sz w:val="28"/>
          <w:szCs w:val="28"/>
          <w:lang w:val="en-US"/>
        </w:rPr>
        <w:t>aplicarea</w:t>
      </w:r>
      <w:proofErr w:type="spellEnd"/>
      <w:r w:rsidRPr="00D21A02">
        <w:rPr>
          <w:sz w:val="28"/>
          <w:szCs w:val="28"/>
          <w:lang w:val="en-US"/>
        </w:rPr>
        <w:t xml:space="preserve"> </w:t>
      </w:r>
      <w:proofErr w:type="spellStart"/>
      <w:r w:rsidRPr="00D21A02">
        <w:rPr>
          <w:sz w:val="28"/>
          <w:szCs w:val="28"/>
          <w:lang w:val="en-US"/>
        </w:rPr>
        <w:t>Directivei</w:t>
      </w:r>
      <w:proofErr w:type="spellEnd"/>
      <w:r w:rsidRPr="00D21A02">
        <w:rPr>
          <w:sz w:val="28"/>
          <w:szCs w:val="28"/>
          <w:lang w:val="en-US"/>
        </w:rPr>
        <w:t xml:space="preserve"> 2004/8/CE a </w:t>
      </w:r>
      <w:proofErr w:type="spellStart"/>
      <w:r w:rsidRPr="00D21A02">
        <w:rPr>
          <w:sz w:val="28"/>
          <w:szCs w:val="28"/>
          <w:lang w:val="en-US"/>
        </w:rPr>
        <w:t>Parlamentului</w:t>
      </w:r>
      <w:proofErr w:type="spellEnd"/>
      <w:r w:rsidRPr="00D21A02">
        <w:rPr>
          <w:sz w:val="28"/>
          <w:szCs w:val="28"/>
          <w:lang w:val="en-US"/>
        </w:rPr>
        <w:t xml:space="preserve"> European </w:t>
      </w:r>
      <w:proofErr w:type="spellStart"/>
      <w:r w:rsidRPr="00D21A02">
        <w:rPr>
          <w:sz w:val="28"/>
          <w:szCs w:val="28"/>
          <w:lang w:val="en-US"/>
        </w:rPr>
        <w:t>și</w:t>
      </w:r>
      <w:proofErr w:type="spellEnd"/>
      <w:r w:rsidRPr="00D21A02">
        <w:rPr>
          <w:sz w:val="28"/>
          <w:szCs w:val="28"/>
          <w:lang w:val="en-US"/>
        </w:rPr>
        <w:t xml:space="preserve"> a </w:t>
      </w:r>
      <w:proofErr w:type="spellStart"/>
      <w:r w:rsidRPr="00D21A02">
        <w:rPr>
          <w:sz w:val="28"/>
          <w:szCs w:val="28"/>
          <w:lang w:val="en-US"/>
        </w:rPr>
        <w:t>Consiliului</w:t>
      </w:r>
      <w:proofErr w:type="spellEnd"/>
      <w:r w:rsidRPr="00D21A02">
        <w:rPr>
          <w:sz w:val="28"/>
          <w:szCs w:val="28"/>
          <w:lang w:val="en-US"/>
        </w:rPr>
        <w:t xml:space="preserve"> </w:t>
      </w:r>
      <w:proofErr w:type="spellStart"/>
      <w:r w:rsidRPr="00D21A02">
        <w:rPr>
          <w:sz w:val="28"/>
          <w:szCs w:val="28"/>
          <w:lang w:val="en-US"/>
        </w:rPr>
        <w:t>și</w:t>
      </w:r>
      <w:proofErr w:type="spellEnd"/>
      <w:r w:rsidRPr="00D21A02">
        <w:rPr>
          <w:sz w:val="28"/>
          <w:szCs w:val="28"/>
          <w:lang w:val="en-US"/>
        </w:rPr>
        <w:t xml:space="preserve"> de </w:t>
      </w:r>
      <w:proofErr w:type="spellStart"/>
      <w:r w:rsidRPr="00D21A02">
        <w:rPr>
          <w:sz w:val="28"/>
          <w:szCs w:val="28"/>
          <w:lang w:val="en-US"/>
        </w:rPr>
        <w:t>abrogare</w:t>
      </w:r>
      <w:proofErr w:type="spellEnd"/>
      <w:r w:rsidRPr="00D21A02">
        <w:rPr>
          <w:sz w:val="28"/>
          <w:szCs w:val="28"/>
          <w:lang w:val="en-US"/>
        </w:rPr>
        <w:t xml:space="preserve"> a </w:t>
      </w:r>
      <w:proofErr w:type="spellStart"/>
      <w:r w:rsidRPr="00D21A02">
        <w:rPr>
          <w:sz w:val="28"/>
          <w:szCs w:val="28"/>
          <w:lang w:val="en-US"/>
        </w:rPr>
        <w:t>Deciziei</w:t>
      </w:r>
      <w:proofErr w:type="spellEnd"/>
      <w:r w:rsidRPr="00D21A02">
        <w:rPr>
          <w:sz w:val="28"/>
          <w:szCs w:val="28"/>
          <w:lang w:val="en-US"/>
        </w:rPr>
        <w:t xml:space="preserve"> 2007/74/CE a </w:t>
      </w:r>
      <w:proofErr w:type="spellStart"/>
      <w:r w:rsidRPr="00D21A02">
        <w:rPr>
          <w:sz w:val="28"/>
          <w:szCs w:val="28"/>
          <w:lang w:val="en-US"/>
        </w:rPr>
        <w:t>Comisiei</w:t>
      </w:r>
      <w:proofErr w:type="spellEnd"/>
      <w:r w:rsidRPr="00D21A02">
        <w:rPr>
          <w:sz w:val="28"/>
          <w:szCs w:val="28"/>
          <w:lang w:val="en-US"/>
        </w:rPr>
        <w:t xml:space="preserve"> (</w:t>
      </w:r>
      <w:proofErr w:type="spellStart"/>
      <w:r w:rsidRPr="00D21A02">
        <w:rPr>
          <w:sz w:val="28"/>
          <w:szCs w:val="28"/>
          <w:lang w:val="en-US"/>
        </w:rPr>
        <w:t>notificată</w:t>
      </w:r>
      <w:proofErr w:type="spellEnd"/>
      <w:r w:rsidRPr="00D21A02">
        <w:rPr>
          <w:sz w:val="28"/>
          <w:szCs w:val="28"/>
          <w:lang w:val="en-US"/>
        </w:rPr>
        <w:t xml:space="preserve"> cu </w:t>
      </w:r>
      <w:proofErr w:type="spellStart"/>
      <w:r w:rsidRPr="00D21A02">
        <w:rPr>
          <w:sz w:val="28"/>
          <w:szCs w:val="28"/>
          <w:lang w:val="en-US"/>
        </w:rPr>
        <w:t>numărul</w:t>
      </w:r>
      <w:proofErr w:type="spellEnd"/>
      <w:r w:rsidRPr="00D21A02">
        <w:rPr>
          <w:sz w:val="28"/>
          <w:szCs w:val="28"/>
          <w:lang w:val="en-US"/>
        </w:rPr>
        <w:t xml:space="preserve"> </w:t>
      </w:r>
      <w:proofErr w:type="gramStart"/>
      <w:r w:rsidRPr="00D21A02">
        <w:rPr>
          <w:i/>
          <w:sz w:val="28"/>
          <w:szCs w:val="28"/>
          <w:lang w:val="en-US"/>
        </w:rPr>
        <w:t>C(</w:t>
      </w:r>
      <w:proofErr w:type="gramEnd"/>
      <w:r w:rsidRPr="00D21A02">
        <w:rPr>
          <w:i/>
          <w:sz w:val="28"/>
          <w:szCs w:val="28"/>
          <w:lang w:val="en-US"/>
        </w:rPr>
        <w:t>2011) 9523)</w:t>
      </w:r>
      <w:r w:rsidRPr="00D21A02">
        <w:rPr>
          <w:sz w:val="28"/>
          <w:szCs w:val="28"/>
          <w:lang w:val="en-US"/>
        </w:rPr>
        <w:t xml:space="preserve"> (2011/877/UE).</w:t>
      </w:r>
    </w:p>
    <w:p w:rsidR="001077B8" w:rsidRPr="00C923B1" w:rsidRDefault="001077B8" w:rsidP="001077B8">
      <w:pPr>
        <w:pStyle w:val="NormalWeb"/>
        <w:ind w:left="-142" w:firstLine="426"/>
        <w:rPr>
          <w:sz w:val="28"/>
          <w:szCs w:val="28"/>
        </w:rPr>
      </w:pPr>
      <w:proofErr w:type="spellStart"/>
      <w:r w:rsidRPr="00C923B1">
        <w:rPr>
          <w:sz w:val="28"/>
          <w:szCs w:val="28"/>
          <w:lang w:val="en-US"/>
        </w:rPr>
        <w:t>În</w:t>
      </w:r>
      <w:proofErr w:type="spellEnd"/>
      <w:r w:rsidRPr="00C923B1">
        <w:rPr>
          <w:sz w:val="28"/>
          <w:szCs w:val="28"/>
          <w:lang w:val="en-US"/>
        </w:rPr>
        <w:t xml:space="preserve"> </w:t>
      </w:r>
      <w:proofErr w:type="spellStart"/>
      <w:r w:rsidRPr="00C923B1">
        <w:rPr>
          <w:sz w:val="28"/>
          <w:szCs w:val="28"/>
          <w:lang w:val="en-US"/>
        </w:rPr>
        <w:t>temeiul</w:t>
      </w:r>
      <w:proofErr w:type="spellEnd"/>
      <w:r w:rsidRPr="00C923B1">
        <w:rPr>
          <w:sz w:val="28"/>
          <w:szCs w:val="28"/>
          <w:lang w:val="en-US"/>
        </w:rPr>
        <w:t xml:space="preserve"> al. (1), lit. (</w:t>
      </w:r>
      <w:proofErr w:type="gramStart"/>
      <w:r w:rsidRPr="00C923B1">
        <w:rPr>
          <w:sz w:val="28"/>
          <w:szCs w:val="28"/>
          <w:lang w:val="en-US"/>
        </w:rPr>
        <w:t>h</w:t>
      </w:r>
      <w:proofErr w:type="gramEnd"/>
      <w:r w:rsidRPr="00C923B1">
        <w:rPr>
          <w:sz w:val="28"/>
          <w:szCs w:val="28"/>
          <w:lang w:val="en-US"/>
        </w:rPr>
        <w:t xml:space="preserve">), art. 7, al. (1), lit. (b), art. </w:t>
      </w:r>
      <w:proofErr w:type="gramStart"/>
      <w:r w:rsidRPr="00C923B1">
        <w:rPr>
          <w:sz w:val="28"/>
          <w:szCs w:val="28"/>
          <w:lang w:val="en-US"/>
        </w:rPr>
        <w:t xml:space="preserve">8 </w:t>
      </w:r>
      <w:proofErr w:type="spellStart"/>
      <w:r w:rsidRPr="00C923B1">
        <w:rPr>
          <w:sz w:val="28"/>
          <w:szCs w:val="28"/>
          <w:lang w:val="en-US"/>
        </w:rPr>
        <w:t>şi</w:t>
      </w:r>
      <w:proofErr w:type="spellEnd"/>
      <w:r w:rsidRPr="00C923B1">
        <w:rPr>
          <w:sz w:val="28"/>
          <w:szCs w:val="28"/>
          <w:lang w:val="en-US"/>
        </w:rPr>
        <w:t xml:space="preserve"> art.</w:t>
      </w:r>
      <w:proofErr w:type="gramEnd"/>
      <w:r w:rsidRPr="00C923B1">
        <w:rPr>
          <w:sz w:val="28"/>
          <w:szCs w:val="28"/>
          <w:lang w:val="en-US"/>
        </w:rPr>
        <w:t xml:space="preserve"> </w:t>
      </w:r>
      <w:proofErr w:type="gramStart"/>
      <w:r w:rsidRPr="00C923B1">
        <w:rPr>
          <w:sz w:val="28"/>
          <w:szCs w:val="28"/>
          <w:lang w:val="en-US"/>
        </w:rPr>
        <w:t xml:space="preserve">14 al </w:t>
      </w:r>
      <w:proofErr w:type="spellStart"/>
      <w:r w:rsidRPr="00C923B1">
        <w:rPr>
          <w:sz w:val="28"/>
          <w:szCs w:val="28"/>
          <w:lang w:val="en-US"/>
        </w:rPr>
        <w:t>Legii</w:t>
      </w:r>
      <w:proofErr w:type="spellEnd"/>
      <w:r w:rsidRPr="00C923B1">
        <w:rPr>
          <w:sz w:val="28"/>
          <w:szCs w:val="28"/>
          <w:lang w:val="en-US"/>
        </w:rPr>
        <w:t xml:space="preserve"> </w:t>
      </w:r>
      <w:proofErr w:type="spellStart"/>
      <w:r w:rsidRPr="00C923B1">
        <w:rPr>
          <w:sz w:val="28"/>
          <w:szCs w:val="28"/>
          <w:lang w:val="en-US"/>
        </w:rPr>
        <w:t>nr</w:t>
      </w:r>
      <w:proofErr w:type="spellEnd"/>
      <w:r w:rsidRPr="00C923B1">
        <w:rPr>
          <w:sz w:val="28"/>
          <w:szCs w:val="28"/>
          <w:lang w:val="en-US"/>
        </w:rPr>
        <w:t>.</w:t>
      </w:r>
      <w:proofErr w:type="gramEnd"/>
      <w:r w:rsidRPr="00C923B1">
        <w:rPr>
          <w:sz w:val="28"/>
          <w:szCs w:val="28"/>
          <w:lang w:val="en-US"/>
        </w:rPr>
        <w:t xml:space="preserve"> 92 din 29.05.2014 </w:t>
      </w:r>
      <w:r w:rsidRPr="00C923B1">
        <w:rPr>
          <w:sz w:val="28"/>
          <w:szCs w:val="28"/>
        </w:rPr>
        <w:t>cu privire la energia termică şi promovarea cogenerării (</w:t>
      </w:r>
      <w:r w:rsidRPr="00C923B1">
        <w:rPr>
          <w:iCs/>
          <w:sz w:val="28"/>
          <w:szCs w:val="28"/>
        </w:rPr>
        <w:t>Monitorul Oficial</w:t>
      </w:r>
      <w:r w:rsidRPr="00C923B1">
        <w:rPr>
          <w:sz w:val="28"/>
          <w:szCs w:val="28"/>
        </w:rPr>
        <w:t xml:space="preserve"> al Republicii Moldova</w:t>
      </w:r>
      <w:r w:rsidRPr="00C923B1">
        <w:rPr>
          <w:iCs/>
          <w:sz w:val="28"/>
          <w:szCs w:val="28"/>
        </w:rPr>
        <w:t xml:space="preserve">, </w:t>
      </w:r>
      <w:r w:rsidRPr="00C923B1">
        <w:rPr>
          <w:sz w:val="28"/>
          <w:szCs w:val="28"/>
        </w:rPr>
        <w:t xml:space="preserve">2014, </w:t>
      </w:r>
      <w:r w:rsidRPr="00C923B1">
        <w:rPr>
          <w:iCs/>
          <w:sz w:val="28"/>
          <w:szCs w:val="28"/>
        </w:rPr>
        <w:t>nr. 178-184, art. 415</w:t>
      </w:r>
      <w:r w:rsidRPr="00C923B1">
        <w:rPr>
          <w:sz w:val="28"/>
          <w:szCs w:val="28"/>
        </w:rPr>
        <w:t>), Guvernul</w:t>
      </w:r>
    </w:p>
    <w:p w:rsidR="001077B8" w:rsidRPr="00C923B1" w:rsidRDefault="001077B8" w:rsidP="001077B8">
      <w:pPr>
        <w:pStyle w:val="NormalWeb"/>
        <w:ind w:left="-142" w:firstLine="426"/>
        <w:rPr>
          <w:sz w:val="28"/>
          <w:szCs w:val="28"/>
        </w:rPr>
      </w:pPr>
    </w:p>
    <w:p w:rsidR="001077B8" w:rsidRPr="00C923B1" w:rsidRDefault="001077B8" w:rsidP="001077B8">
      <w:pPr>
        <w:pStyle w:val="NormalWeb"/>
        <w:ind w:left="-142" w:firstLine="426"/>
        <w:jc w:val="center"/>
        <w:rPr>
          <w:b/>
          <w:bCs/>
          <w:sz w:val="28"/>
          <w:szCs w:val="28"/>
        </w:rPr>
      </w:pPr>
      <w:r w:rsidRPr="00C923B1">
        <w:rPr>
          <w:b/>
          <w:bCs/>
          <w:sz w:val="28"/>
          <w:szCs w:val="28"/>
        </w:rPr>
        <w:t>HOTĂRĂŞTE:</w:t>
      </w:r>
    </w:p>
    <w:p w:rsidR="001077B8" w:rsidRPr="00C923B1" w:rsidRDefault="001077B8" w:rsidP="00D21A02">
      <w:pPr>
        <w:pStyle w:val="cb"/>
        <w:jc w:val="left"/>
        <w:rPr>
          <w:sz w:val="28"/>
          <w:szCs w:val="28"/>
        </w:rPr>
      </w:pPr>
    </w:p>
    <w:p w:rsidR="001077B8" w:rsidRPr="00C923B1" w:rsidRDefault="001077B8" w:rsidP="001077B8">
      <w:pPr>
        <w:pStyle w:val="NormalWeb"/>
        <w:numPr>
          <w:ilvl w:val="0"/>
          <w:numId w:val="1"/>
        </w:numPr>
        <w:spacing w:after="240" w:line="276" w:lineRule="auto"/>
        <w:ind w:left="-142" w:firstLine="426"/>
        <w:rPr>
          <w:sz w:val="28"/>
          <w:szCs w:val="28"/>
        </w:rPr>
      </w:pPr>
      <w:r w:rsidRPr="00C923B1">
        <w:rPr>
          <w:sz w:val="28"/>
          <w:szCs w:val="28"/>
        </w:rPr>
        <w:t>Se aprobă valorile de referinţă armonizate ale eficienţei pentru producerea separată de energie electrică, conform Anexei nr. 1.</w:t>
      </w:r>
    </w:p>
    <w:p w:rsidR="001077B8" w:rsidRPr="00C923B1" w:rsidRDefault="001077B8" w:rsidP="001077B8">
      <w:pPr>
        <w:pStyle w:val="NormalWeb"/>
        <w:numPr>
          <w:ilvl w:val="0"/>
          <w:numId w:val="1"/>
        </w:numPr>
        <w:spacing w:after="240" w:line="276" w:lineRule="auto"/>
        <w:ind w:left="-142" w:firstLine="426"/>
        <w:rPr>
          <w:sz w:val="28"/>
          <w:szCs w:val="28"/>
        </w:rPr>
      </w:pPr>
      <w:r w:rsidRPr="00C923B1">
        <w:rPr>
          <w:sz w:val="28"/>
          <w:szCs w:val="28"/>
        </w:rPr>
        <w:t>Se aprobă valorile de referinţă armonizate ale eficienţei pentru producerea separată de energie termică, conform Anexei nr. 2.</w:t>
      </w:r>
    </w:p>
    <w:p w:rsidR="001077B8" w:rsidRPr="00C923B1" w:rsidRDefault="001077B8" w:rsidP="001077B8">
      <w:pPr>
        <w:pStyle w:val="NormalWeb"/>
        <w:numPr>
          <w:ilvl w:val="0"/>
          <w:numId w:val="1"/>
        </w:numPr>
        <w:spacing w:after="240" w:line="276" w:lineRule="auto"/>
        <w:ind w:left="-142" w:firstLine="426"/>
        <w:rPr>
          <w:sz w:val="28"/>
          <w:szCs w:val="28"/>
        </w:rPr>
      </w:pPr>
      <w:r w:rsidRPr="00C923B1">
        <w:rPr>
          <w:sz w:val="28"/>
          <w:szCs w:val="28"/>
        </w:rPr>
        <w:t xml:space="preserve">Prevederile prezentei </w:t>
      </w:r>
      <w:proofErr w:type="spellStart"/>
      <w:r w:rsidRPr="00C923B1">
        <w:rPr>
          <w:sz w:val="28"/>
          <w:szCs w:val="28"/>
        </w:rPr>
        <w:t>hotărîri</w:t>
      </w:r>
      <w:proofErr w:type="spellEnd"/>
      <w:r w:rsidRPr="00C923B1">
        <w:rPr>
          <w:sz w:val="28"/>
          <w:szCs w:val="28"/>
        </w:rPr>
        <w:t xml:space="preserve"> se aplică de către producătorii de energie electrică şi termică în regim de cogenerare </w:t>
      </w:r>
      <w:r w:rsidR="000F0409" w:rsidRPr="000F0409">
        <w:rPr>
          <w:sz w:val="28"/>
          <w:szCs w:val="28"/>
        </w:rPr>
        <w:t>care dispun de centrale elect</w:t>
      </w:r>
      <w:r w:rsidR="000F0409">
        <w:rPr>
          <w:sz w:val="28"/>
          <w:szCs w:val="28"/>
        </w:rPr>
        <w:t>rice de termoficare şi în cazul</w:t>
      </w:r>
      <w:r w:rsidR="000F0409" w:rsidRPr="000F0409">
        <w:rPr>
          <w:sz w:val="28"/>
          <w:szCs w:val="28"/>
        </w:rPr>
        <w:t xml:space="preserve"> proiectelor de construcție a unităților de cogenerare de înaltă eficiență</w:t>
      </w:r>
      <w:r w:rsidRPr="000F0409">
        <w:rPr>
          <w:sz w:val="28"/>
          <w:szCs w:val="28"/>
        </w:rPr>
        <w:t>.</w:t>
      </w:r>
    </w:p>
    <w:p w:rsidR="001077B8" w:rsidRPr="00C923B1" w:rsidRDefault="001077B8" w:rsidP="001077B8">
      <w:pPr>
        <w:pStyle w:val="NormalWeb"/>
        <w:numPr>
          <w:ilvl w:val="0"/>
          <w:numId w:val="1"/>
        </w:numPr>
        <w:spacing w:after="240" w:line="276" w:lineRule="auto"/>
        <w:ind w:left="-142" w:firstLine="426"/>
        <w:rPr>
          <w:sz w:val="28"/>
          <w:szCs w:val="28"/>
        </w:rPr>
      </w:pPr>
      <w:r w:rsidRPr="00C923B1">
        <w:rPr>
          <w:sz w:val="28"/>
          <w:szCs w:val="28"/>
        </w:rPr>
        <w:t xml:space="preserve">Se stabilește că, </w:t>
      </w:r>
      <w:proofErr w:type="spellStart"/>
      <w:r w:rsidRPr="007C3FF8">
        <w:rPr>
          <w:sz w:val="28"/>
          <w:szCs w:val="28"/>
          <w:lang w:val="en-US"/>
        </w:rPr>
        <w:t>valorile</w:t>
      </w:r>
      <w:proofErr w:type="spellEnd"/>
      <w:r w:rsidRPr="007C3FF8">
        <w:rPr>
          <w:sz w:val="28"/>
          <w:szCs w:val="28"/>
          <w:lang w:val="en-US"/>
        </w:rPr>
        <w:t xml:space="preserve"> de </w:t>
      </w:r>
      <w:proofErr w:type="spellStart"/>
      <w:r w:rsidRPr="007C3FF8">
        <w:rPr>
          <w:sz w:val="28"/>
          <w:szCs w:val="28"/>
          <w:lang w:val="en-US"/>
        </w:rPr>
        <w:t>referinţă</w:t>
      </w:r>
      <w:proofErr w:type="spellEnd"/>
      <w:r w:rsidRPr="007C3FF8">
        <w:rPr>
          <w:sz w:val="28"/>
          <w:szCs w:val="28"/>
          <w:lang w:val="en-US"/>
        </w:rPr>
        <w:t xml:space="preserve"> </w:t>
      </w:r>
      <w:proofErr w:type="spellStart"/>
      <w:r w:rsidRPr="007C3FF8">
        <w:rPr>
          <w:sz w:val="28"/>
          <w:szCs w:val="28"/>
          <w:lang w:val="en-US"/>
        </w:rPr>
        <w:t>armonizate</w:t>
      </w:r>
      <w:proofErr w:type="spellEnd"/>
      <w:r w:rsidRPr="007C3FF8">
        <w:rPr>
          <w:sz w:val="28"/>
          <w:szCs w:val="28"/>
          <w:lang w:val="en-US"/>
        </w:rPr>
        <w:t xml:space="preserve"> ale </w:t>
      </w:r>
      <w:proofErr w:type="spellStart"/>
      <w:r w:rsidRPr="007C3FF8">
        <w:rPr>
          <w:sz w:val="28"/>
          <w:szCs w:val="28"/>
          <w:lang w:val="en-US"/>
        </w:rPr>
        <w:t>eficienţei</w:t>
      </w:r>
      <w:proofErr w:type="spellEnd"/>
      <w:r w:rsidRPr="007C3FF8">
        <w:rPr>
          <w:sz w:val="28"/>
          <w:szCs w:val="28"/>
          <w:lang w:val="en-US"/>
        </w:rPr>
        <w:t xml:space="preserve"> </w:t>
      </w:r>
      <w:proofErr w:type="spellStart"/>
      <w:r w:rsidRPr="007C3FF8">
        <w:rPr>
          <w:sz w:val="28"/>
          <w:szCs w:val="28"/>
          <w:lang w:val="en-US"/>
        </w:rPr>
        <w:t>pentru</w:t>
      </w:r>
      <w:proofErr w:type="spellEnd"/>
      <w:r w:rsidRPr="007C3FF8">
        <w:rPr>
          <w:sz w:val="28"/>
          <w:szCs w:val="28"/>
          <w:lang w:val="en-US"/>
        </w:rPr>
        <w:t xml:space="preserve"> </w:t>
      </w:r>
      <w:proofErr w:type="spellStart"/>
      <w:r w:rsidRPr="007C3FF8">
        <w:rPr>
          <w:sz w:val="28"/>
          <w:szCs w:val="28"/>
          <w:lang w:val="en-US"/>
        </w:rPr>
        <w:t>producerea</w:t>
      </w:r>
      <w:proofErr w:type="spellEnd"/>
      <w:r w:rsidRPr="007C3FF8">
        <w:rPr>
          <w:sz w:val="28"/>
          <w:szCs w:val="28"/>
          <w:lang w:val="en-US"/>
        </w:rPr>
        <w:t xml:space="preserve"> </w:t>
      </w:r>
      <w:proofErr w:type="spellStart"/>
      <w:r w:rsidRPr="007C3FF8">
        <w:rPr>
          <w:sz w:val="28"/>
          <w:szCs w:val="28"/>
          <w:lang w:val="en-US"/>
        </w:rPr>
        <w:t>separată</w:t>
      </w:r>
      <w:proofErr w:type="spellEnd"/>
      <w:r w:rsidRPr="007C3FF8">
        <w:rPr>
          <w:sz w:val="28"/>
          <w:szCs w:val="28"/>
          <w:lang w:val="en-US"/>
        </w:rPr>
        <w:t xml:space="preserve"> de </w:t>
      </w:r>
      <w:proofErr w:type="spellStart"/>
      <w:r w:rsidRPr="007C3FF8">
        <w:rPr>
          <w:sz w:val="28"/>
          <w:szCs w:val="28"/>
          <w:lang w:val="en-US"/>
        </w:rPr>
        <w:t>energie</w:t>
      </w:r>
      <w:proofErr w:type="spellEnd"/>
      <w:r w:rsidRPr="007C3FF8">
        <w:rPr>
          <w:sz w:val="28"/>
          <w:szCs w:val="28"/>
          <w:lang w:val="en-US"/>
        </w:rPr>
        <w:t xml:space="preserve"> </w:t>
      </w:r>
      <w:proofErr w:type="spellStart"/>
      <w:r w:rsidRPr="007C3FF8">
        <w:rPr>
          <w:sz w:val="28"/>
          <w:szCs w:val="28"/>
          <w:lang w:val="en-US"/>
        </w:rPr>
        <w:t>electrică</w:t>
      </w:r>
      <w:proofErr w:type="spellEnd"/>
      <w:r w:rsidRPr="007C3FF8">
        <w:rPr>
          <w:sz w:val="28"/>
          <w:szCs w:val="28"/>
          <w:lang w:val="en-US"/>
        </w:rPr>
        <w:t xml:space="preserve"> </w:t>
      </w:r>
      <w:proofErr w:type="spellStart"/>
      <w:r w:rsidRPr="007C3FF8">
        <w:rPr>
          <w:sz w:val="28"/>
          <w:szCs w:val="28"/>
          <w:lang w:val="en-US"/>
        </w:rPr>
        <w:t>și</w:t>
      </w:r>
      <w:proofErr w:type="spellEnd"/>
      <w:r w:rsidRPr="007C3FF8">
        <w:rPr>
          <w:sz w:val="28"/>
          <w:szCs w:val="28"/>
          <w:lang w:val="en-US"/>
        </w:rPr>
        <w:t xml:space="preserve"> </w:t>
      </w:r>
      <w:proofErr w:type="spellStart"/>
      <w:r w:rsidRPr="007C3FF8">
        <w:rPr>
          <w:sz w:val="28"/>
          <w:szCs w:val="28"/>
          <w:lang w:val="en-US"/>
        </w:rPr>
        <w:t>energie</w:t>
      </w:r>
      <w:proofErr w:type="spellEnd"/>
      <w:r w:rsidRPr="007C3FF8">
        <w:rPr>
          <w:sz w:val="28"/>
          <w:szCs w:val="28"/>
          <w:lang w:val="en-US"/>
        </w:rPr>
        <w:t xml:space="preserve"> </w:t>
      </w:r>
      <w:proofErr w:type="spellStart"/>
      <w:r w:rsidRPr="007C3FF8">
        <w:rPr>
          <w:sz w:val="28"/>
          <w:szCs w:val="28"/>
          <w:lang w:val="en-US"/>
        </w:rPr>
        <w:t>termică</w:t>
      </w:r>
      <w:proofErr w:type="spellEnd"/>
      <w:r w:rsidRPr="007C3FF8">
        <w:rPr>
          <w:sz w:val="28"/>
          <w:szCs w:val="28"/>
          <w:lang w:val="en-US"/>
        </w:rPr>
        <w:t xml:space="preserve"> </w:t>
      </w:r>
      <w:proofErr w:type="spellStart"/>
      <w:r w:rsidRPr="007C3FF8">
        <w:rPr>
          <w:sz w:val="28"/>
          <w:szCs w:val="28"/>
          <w:lang w:val="en-US"/>
        </w:rPr>
        <w:t>să</w:t>
      </w:r>
      <w:proofErr w:type="spellEnd"/>
      <w:r w:rsidRPr="00C923B1">
        <w:rPr>
          <w:sz w:val="28"/>
          <w:szCs w:val="28"/>
          <w:lang w:val="en-US"/>
        </w:rPr>
        <w:t xml:space="preserve"> fi</w:t>
      </w:r>
      <w:r w:rsidRPr="007C3FF8">
        <w:rPr>
          <w:sz w:val="28"/>
          <w:szCs w:val="28"/>
          <w:lang w:val="en-US"/>
        </w:rPr>
        <w:t>e</w:t>
      </w:r>
      <w:r w:rsidRPr="00C923B1">
        <w:rPr>
          <w:sz w:val="28"/>
          <w:szCs w:val="28"/>
          <w:lang w:val="en-US"/>
        </w:rPr>
        <w:t xml:space="preserve"> </w:t>
      </w:r>
      <w:proofErr w:type="spellStart"/>
      <w:r w:rsidRPr="00C923B1">
        <w:rPr>
          <w:sz w:val="28"/>
          <w:szCs w:val="28"/>
          <w:lang w:val="en-US"/>
        </w:rPr>
        <w:t>revizuite</w:t>
      </w:r>
      <w:proofErr w:type="spellEnd"/>
      <w:r w:rsidRPr="00C923B1">
        <w:rPr>
          <w:sz w:val="28"/>
          <w:szCs w:val="28"/>
          <w:lang w:val="en-US"/>
        </w:rPr>
        <w:t xml:space="preserve"> </w:t>
      </w:r>
      <w:proofErr w:type="spellStart"/>
      <w:r w:rsidRPr="00C923B1">
        <w:rPr>
          <w:sz w:val="28"/>
          <w:szCs w:val="28"/>
          <w:lang w:val="en-US"/>
        </w:rPr>
        <w:t>în</w:t>
      </w:r>
      <w:proofErr w:type="spellEnd"/>
      <w:r w:rsidRPr="00C923B1">
        <w:rPr>
          <w:sz w:val="28"/>
          <w:szCs w:val="28"/>
          <w:lang w:val="en-US"/>
        </w:rPr>
        <w:t xml:space="preserve"> </w:t>
      </w:r>
      <w:proofErr w:type="spellStart"/>
      <w:r w:rsidRPr="00C923B1">
        <w:rPr>
          <w:sz w:val="28"/>
          <w:szCs w:val="28"/>
          <w:lang w:val="en-US"/>
        </w:rPr>
        <w:t>anul</w:t>
      </w:r>
      <w:proofErr w:type="spellEnd"/>
      <w:r w:rsidRPr="00C923B1">
        <w:rPr>
          <w:sz w:val="28"/>
          <w:szCs w:val="28"/>
          <w:lang w:val="en-US"/>
        </w:rPr>
        <w:t xml:space="preserve"> 2016, </w:t>
      </w:r>
      <w:proofErr w:type="spellStart"/>
      <w:r w:rsidRPr="00C923B1">
        <w:rPr>
          <w:sz w:val="28"/>
          <w:szCs w:val="28"/>
          <w:lang w:val="en-US"/>
        </w:rPr>
        <w:t>apoi</w:t>
      </w:r>
      <w:proofErr w:type="spellEnd"/>
      <w:r w:rsidRPr="00C923B1">
        <w:rPr>
          <w:sz w:val="28"/>
          <w:szCs w:val="28"/>
          <w:lang w:val="en-US"/>
        </w:rPr>
        <w:t xml:space="preserve"> din </w:t>
      </w:r>
      <w:proofErr w:type="spellStart"/>
      <w:r w:rsidRPr="00C923B1">
        <w:rPr>
          <w:sz w:val="28"/>
          <w:szCs w:val="28"/>
          <w:lang w:val="en-US"/>
        </w:rPr>
        <w:t>patru</w:t>
      </w:r>
      <w:proofErr w:type="spellEnd"/>
      <w:r w:rsidRPr="00C923B1">
        <w:rPr>
          <w:sz w:val="28"/>
          <w:szCs w:val="28"/>
          <w:lang w:val="en-US"/>
        </w:rPr>
        <w:t xml:space="preserve"> </w:t>
      </w:r>
      <w:proofErr w:type="spellStart"/>
      <w:r w:rsidRPr="00C923B1">
        <w:rPr>
          <w:sz w:val="28"/>
          <w:szCs w:val="28"/>
          <w:lang w:val="en-US"/>
        </w:rPr>
        <w:t>în</w:t>
      </w:r>
      <w:proofErr w:type="spellEnd"/>
      <w:r w:rsidRPr="00C923B1">
        <w:rPr>
          <w:sz w:val="28"/>
          <w:szCs w:val="28"/>
          <w:lang w:val="en-US"/>
        </w:rPr>
        <w:t xml:space="preserve"> </w:t>
      </w:r>
      <w:proofErr w:type="spellStart"/>
      <w:r w:rsidRPr="00C923B1">
        <w:rPr>
          <w:sz w:val="28"/>
          <w:szCs w:val="28"/>
          <w:lang w:val="en-US"/>
        </w:rPr>
        <w:t>patru</w:t>
      </w:r>
      <w:proofErr w:type="spellEnd"/>
      <w:r w:rsidRPr="00C923B1">
        <w:rPr>
          <w:sz w:val="28"/>
          <w:szCs w:val="28"/>
          <w:lang w:val="en-US"/>
        </w:rPr>
        <w:t xml:space="preserve"> </w:t>
      </w:r>
      <w:proofErr w:type="spellStart"/>
      <w:r w:rsidRPr="00C923B1">
        <w:rPr>
          <w:sz w:val="28"/>
          <w:szCs w:val="28"/>
          <w:lang w:val="en-US"/>
        </w:rPr>
        <w:t>ani</w:t>
      </w:r>
      <w:proofErr w:type="spellEnd"/>
      <w:r w:rsidRPr="00C923B1">
        <w:rPr>
          <w:sz w:val="28"/>
          <w:szCs w:val="28"/>
          <w:lang w:val="en-US"/>
        </w:rPr>
        <w:t>.</w:t>
      </w:r>
    </w:p>
    <w:p w:rsidR="001077B8" w:rsidRPr="00C923B1" w:rsidRDefault="001077B8" w:rsidP="001077B8">
      <w:pPr>
        <w:ind w:firstLine="567"/>
        <w:rPr>
          <w:b/>
          <w:sz w:val="28"/>
          <w:szCs w:val="28"/>
        </w:rPr>
      </w:pPr>
      <w:r w:rsidRPr="00C923B1">
        <w:rPr>
          <w:b/>
          <w:sz w:val="28"/>
          <w:szCs w:val="28"/>
        </w:rPr>
        <w:t>Prim-ministru</w:t>
      </w:r>
      <w:r w:rsidRPr="00C923B1">
        <w:rPr>
          <w:b/>
          <w:sz w:val="28"/>
          <w:szCs w:val="28"/>
        </w:rPr>
        <w:tab/>
      </w:r>
      <w:r w:rsidRPr="00C923B1">
        <w:rPr>
          <w:b/>
          <w:sz w:val="28"/>
          <w:szCs w:val="28"/>
        </w:rPr>
        <w:tab/>
      </w:r>
      <w:r w:rsidRPr="00C923B1">
        <w:rPr>
          <w:b/>
          <w:sz w:val="28"/>
          <w:szCs w:val="28"/>
        </w:rPr>
        <w:tab/>
      </w:r>
      <w:r w:rsidRPr="00C923B1">
        <w:rPr>
          <w:b/>
          <w:sz w:val="28"/>
          <w:szCs w:val="28"/>
        </w:rPr>
        <w:tab/>
      </w:r>
      <w:r w:rsidRPr="00C923B1">
        <w:rPr>
          <w:b/>
          <w:sz w:val="28"/>
          <w:szCs w:val="28"/>
        </w:rPr>
        <w:tab/>
      </w:r>
    </w:p>
    <w:p w:rsidR="001077B8" w:rsidRPr="00C923B1" w:rsidRDefault="001077B8" w:rsidP="001077B8">
      <w:pPr>
        <w:pStyle w:val="NormalWeb"/>
        <w:ind w:left="567" w:firstLine="0"/>
        <w:rPr>
          <w:sz w:val="28"/>
          <w:szCs w:val="28"/>
        </w:rPr>
      </w:pPr>
    </w:p>
    <w:p w:rsidR="001077B8" w:rsidRPr="00C923B1" w:rsidRDefault="001077B8" w:rsidP="001077B8">
      <w:pPr>
        <w:ind w:firstLine="567"/>
        <w:rPr>
          <w:sz w:val="28"/>
          <w:szCs w:val="28"/>
        </w:rPr>
      </w:pPr>
      <w:r w:rsidRPr="00C923B1">
        <w:rPr>
          <w:sz w:val="28"/>
          <w:szCs w:val="28"/>
        </w:rPr>
        <w:t>Contrasemnează:</w:t>
      </w:r>
    </w:p>
    <w:p w:rsidR="001077B8" w:rsidRPr="00C923B1" w:rsidRDefault="001077B8" w:rsidP="001077B8">
      <w:pPr>
        <w:ind w:firstLine="567"/>
        <w:rPr>
          <w:sz w:val="28"/>
          <w:szCs w:val="28"/>
        </w:rPr>
      </w:pPr>
    </w:p>
    <w:p w:rsidR="001077B8" w:rsidRPr="007C3FF8" w:rsidRDefault="001077B8" w:rsidP="001077B8">
      <w:pPr>
        <w:ind w:firstLine="567"/>
        <w:rPr>
          <w:b/>
          <w:sz w:val="28"/>
          <w:szCs w:val="28"/>
        </w:rPr>
      </w:pPr>
      <w:r w:rsidRPr="007C3FF8">
        <w:rPr>
          <w:b/>
          <w:sz w:val="28"/>
          <w:szCs w:val="28"/>
        </w:rPr>
        <w:t xml:space="preserve">Viceprim-ministru,  </w:t>
      </w:r>
    </w:p>
    <w:p w:rsidR="001077B8" w:rsidRPr="00C923B1" w:rsidRDefault="001077B8" w:rsidP="00D21A02">
      <w:pPr>
        <w:ind w:firstLine="567"/>
        <w:rPr>
          <w:sz w:val="28"/>
          <w:szCs w:val="28"/>
        </w:rPr>
      </w:pPr>
      <w:r w:rsidRPr="007C3FF8">
        <w:rPr>
          <w:b/>
          <w:sz w:val="28"/>
          <w:szCs w:val="28"/>
        </w:rPr>
        <w:t>ministrul economiei</w:t>
      </w:r>
      <w:r w:rsidRPr="007C3FF8">
        <w:rPr>
          <w:b/>
          <w:sz w:val="28"/>
          <w:szCs w:val="28"/>
        </w:rPr>
        <w:tab/>
      </w:r>
      <w:r w:rsidRPr="00C923B1">
        <w:rPr>
          <w:sz w:val="28"/>
          <w:szCs w:val="28"/>
        </w:rPr>
        <w:tab/>
      </w:r>
      <w:r w:rsidRPr="00C923B1">
        <w:rPr>
          <w:sz w:val="28"/>
          <w:szCs w:val="28"/>
        </w:rPr>
        <w:tab/>
      </w:r>
      <w:r w:rsidRPr="00C923B1">
        <w:rPr>
          <w:sz w:val="28"/>
          <w:szCs w:val="28"/>
        </w:rPr>
        <w:tab/>
      </w:r>
    </w:p>
    <w:tbl>
      <w:tblPr>
        <w:tblW w:w="7500"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7234"/>
        <w:gridCol w:w="266"/>
      </w:tblGrid>
      <w:tr w:rsidR="001077B8" w:rsidRPr="00C923B1" w:rsidTr="008A53A6">
        <w:trPr>
          <w:tblCellSpacing w:w="15" w:type="dxa"/>
        </w:trPr>
        <w:tc>
          <w:tcPr>
            <w:tcW w:w="0" w:type="auto"/>
            <w:tcBorders>
              <w:top w:val="nil"/>
              <w:left w:val="nil"/>
              <w:bottom w:val="nil"/>
              <w:right w:val="nil"/>
            </w:tcBorders>
            <w:tcMar>
              <w:top w:w="15" w:type="dxa"/>
              <w:left w:w="45" w:type="dxa"/>
              <w:bottom w:w="15" w:type="dxa"/>
              <w:right w:w="45" w:type="dxa"/>
            </w:tcMar>
          </w:tcPr>
          <w:p w:rsidR="001077B8" w:rsidRPr="00C923B1" w:rsidRDefault="001077B8" w:rsidP="008A53A6">
            <w:pPr>
              <w:rPr>
                <w:bCs/>
                <w:sz w:val="28"/>
                <w:szCs w:val="28"/>
              </w:rPr>
            </w:pPr>
          </w:p>
          <w:p w:rsidR="001077B8" w:rsidRPr="00C923B1" w:rsidRDefault="001077B8" w:rsidP="008A53A6">
            <w:pPr>
              <w:rPr>
                <w:bCs/>
                <w:sz w:val="28"/>
                <w:szCs w:val="28"/>
              </w:rPr>
            </w:pPr>
          </w:p>
          <w:p w:rsidR="001077B8" w:rsidRPr="00C923B1" w:rsidRDefault="001077B8" w:rsidP="003B286C">
            <w:pPr>
              <w:rPr>
                <w:bCs/>
                <w:sz w:val="28"/>
                <w:szCs w:val="28"/>
              </w:rPr>
            </w:pPr>
            <w:r w:rsidRPr="00C923B1">
              <w:rPr>
                <w:bCs/>
                <w:sz w:val="28"/>
                <w:szCs w:val="28"/>
              </w:rPr>
              <w:t>Chişinău, _________ 201</w:t>
            </w:r>
            <w:r w:rsidR="003B286C">
              <w:rPr>
                <w:bCs/>
                <w:sz w:val="28"/>
                <w:szCs w:val="28"/>
              </w:rPr>
              <w:t>6</w:t>
            </w:r>
          </w:p>
        </w:tc>
        <w:tc>
          <w:tcPr>
            <w:tcW w:w="0" w:type="auto"/>
            <w:tcBorders>
              <w:top w:val="nil"/>
              <w:left w:val="nil"/>
              <w:bottom w:val="nil"/>
              <w:right w:val="nil"/>
            </w:tcBorders>
            <w:tcMar>
              <w:top w:w="15" w:type="dxa"/>
              <w:left w:w="45" w:type="dxa"/>
              <w:bottom w:w="15" w:type="dxa"/>
              <w:right w:w="45" w:type="dxa"/>
            </w:tcMar>
          </w:tcPr>
          <w:p w:rsidR="001077B8" w:rsidRPr="00C923B1" w:rsidRDefault="001077B8" w:rsidP="008A53A6">
            <w:pPr>
              <w:rPr>
                <w:bCs/>
                <w:sz w:val="28"/>
                <w:szCs w:val="28"/>
              </w:rPr>
            </w:pPr>
          </w:p>
        </w:tc>
      </w:tr>
    </w:tbl>
    <w:p w:rsidR="001077B8" w:rsidRPr="00C923B1" w:rsidRDefault="001077B8" w:rsidP="001077B8"/>
    <w:p w:rsidR="001077B8" w:rsidRPr="007C3FF8" w:rsidRDefault="001077B8" w:rsidP="00CD0E9E">
      <w:pPr>
        <w:pStyle w:val="rg"/>
        <w:spacing w:line="276" w:lineRule="auto"/>
        <w:rPr>
          <w:sz w:val="28"/>
          <w:szCs w:val="28"/>
          <w:lang w:val="en-GB"/>
        </w:rPr>
      </w:pPr>
      <w:proofErr w:type="spellStart"/>
      <w:proofErr w:type="gramStart"/>
      <w:r w:rsidRPr="007C3FF8">
        <w:rPr>
          <w:sz w:val="28"/>
          <w:szCs w:val="28"/>
          <w:lang w:val="en-GB"/>
        </w:rPr>
        <w:lastRenderedPageBreak/>
        <w:t>Anexa</w:t>
      </w:r>
      <w:proofErr w:type="spellEnd"/>
      <w:r w:rsidRPr="007C3FF8">
        <w:rPr>
          <w:sz w:val="28"/>
          <w:szCs w:val="28"/>
          <w:lang w:val="en-GB"/>
        </w:rPr>
        <w:t xml:space="preserve"> </w:t>
      </w:r>
      <w:proofErr w:type="spellStart"/>
      <w:r w:rsidRPr="007C3FF8">
        <w:rPr>
          <w:sz w:val="28"/>
          <w:szCs w:val="28"/>
          <w:lang w:val="en-GB"/>
        </w:rPr>
        <w:t>nr</w:t>
      </w:r>
      <w:proofErr w:type="spellEnd"/>
      <w:r w:rsidRPr="007C3FF8">
        <w:rPr>
          <w:sz w:val="28"/>
          <w:szCs w:val="28"/>
          <w:lang w:val="en-GB"/>
        </w:rPr>
        <w:t>.</w:t>
      </w:r>
      <w:proofErr w:type="gramEnd"/>
      <w:r w:rsidRPr="007C3FF8">
        <w:rPr>
          <w:sz w:val="28"/>
          <w:szCs w:val="28"/>
          <w:lang w:val="en-GB"/>
        </w:rPr>
        <w:t xml:space="preserve"> 1</w:t>
      </w:r>
    </w:p>
    <w:p w:rsidR="001077B8" w:rsidRPr="007C3FF8" w:rsidRDefault="001077B8" w:rsidP="00CD0E9E">
      <w:pPr>
        <w:pStyle w:val="rg"/>
        <w:spacing w:line="276" w:lineRule="auto"/>
        <w:rPr>
          <w:sz w:val="28"/>
          <w:szCs w:val="28"/>
          <w:lang w:val="en-GB"/>
        </w:rPr>
      </w:pPr>
      <w:proofErr w:type="gramStart"/>
      <w:r w:rsidRPr="007C3FF8">
        <w:rPr>
          <w:sz w:val="28"/>
          <w:szCs w:val="28"/>
          <w:lang w:val="en-GB"/>
        </w:rPr>
        <w:t>la</w:t>
      </w:r>
      <w:proofErr w:type="gramEnd"/>
      <w:r w:rsidRPr="007C3FF8">
        <w:rPr>
          <w:sz w:val="28"/>
          <w:szCs w:val="28"/>
          <w:lang w:val="en-GB"/>
        </w:rPr>
        <w:t xml:space="preserve"> </w:t>
      </w:r>
      <w:proofErr w:type="spellStart"/>
      <w:r w:rsidRPr="007C3FF8">
        <w:rPr>
          <w:sz w:val="28"/>
          <w:szCs w:val="28"/>
          <w:lang w:val="en-GB"/>
        </w:rPr>
        <w:t>Hotărîrea</w:t>
      </w:r>
      <w:proofErr w:type="spellEnd"/>
      <w:r w:rsidRPr="007C3FF8">
        <w:rPr>
          <w:sz w:val="28"/>
          <w:szCs w:val="28"/>
          <w:lang w:val="en-GB"/>
        </w:rPr>
        <w:t xml:space="preserve"> </w:t>
      </w:r>
      <w:proofErr w:type="spellStart"/>
      <w:r w:rsidRPr="007C3FF8">
        <w:rPr>
          <w:sz w:val="28"/>
          <w:szCs w:val="28"/>
          <w:lang w:val="en-GB"/>
        </w:rPr>
        <w:t>Guvernului</w:t>
      </w:r>
      <w:proofErr w:type="spellEnd"/>
    </w:p>
    <w:p w:rsidR="001077B8" w:rsidRPr="007C3FF8" w:rsidRDefault="001077B8" w:rsidP="00CD0E9E">
      <w:pPr>
        <w:pStyle w:val="rg"/>
        <w:spacing w:line="276" w:lineRule="auto"/>
        <w:rPr>
          <w:sz w:val="28"/>
          <w:szCs w:val="28"/>
          <w:lang w:val="en-GB"/>
        </w:rPr>
      </w:pPr>
      <w:proofErr w:type="spellStart"/>
      <w:proofErr w:type="gramStart"/>
      <w:r w:rsidRPr="007C3FF8">
        <w:rPr>
          <w:sz w:val="28"/>
          <w:szCs w:val="28"/>
          <w:lang w:val="en-GB"/>
        </w:rPr>
        <w:t>nr</w:t>
      </w:r>
      <w:proofErr w:type="spellEnd"/>
      <w:proofErr w:type="gramEnd"/>
      <w:r w:rsidRPr="007C3FF8">
        <w:rPr>
          <w:sz w:val="28"/>
          <w:szCs w:val="28"/>
          <w:lang w:val="en-GB"/>
        </w:rPr>
        <w:t xml:space="preserve">.   </w:t>
      </w:r>
      <w:proofErr w:type="gramStart"/>
      <w:r w:rsidRPr="007C3FF8">
        <w:rPr>
          <w:sz w:val="28"/>
          <w:szCs w:val="28"/>
          <w:lang w:val="en-GB"/>
        </w:rPr>
        <w:t>din</w:t>
      </w:r>
      <w:proofErr w:type="gramEnd"/>
      <w:r w:rsidRPr="007C3FF8">
        <w:rPr>
          <w:sz w:val="28"/>
          <w:szCs w:val="28"/>
          <w:lang w:val="en-GB"/>
        </w:rPr>
        <w:t xml:space="preserve">   201</w:t>
      </w:r>
      <w:r w:rsidR="003B286C">
        <w:rPr>
          <w:sz w:val="28"/>
          <w:szCs w:val="28"/>
          <w:lang w:val="en-GB"/>
        </w:rPr>
        <w:t>6</w:t>
      </w:r>
    </w:p>
    <w:p w:rsidR="001077B8" w:rsidRPr="00C923B1" w:rsidRDefault="001077B8" w:rsidP="001077B8">
      <w:pPr>
        <w:pStyle w:val="rg"/>
        <w:rPr>
          <w:lang w:val="en-GB"/>
        </w:rPr>
      </w:pPr>
    </w:p>
    <w:p w:rsidR="001077B8" w:rsidRPr="00C923B1" w:rsidRDefault="001077B8" w:rsidP="001077B8">
      <w:pPr>
        <w:jc w:val="center"/>
        <w:rPr>
          <w:b/>
          <w:sz w:val="28"/>
        </w:rPr>
      </w:pPr>
      <w:r w:rsidRPr="00C923B1">
        <w:rPr>
          <w:b/>
          <w:sz w:val="28"/>
        </w:rPr>
        <w:t xml:space="preserve">Valorile de referință armonizate ale eficienței pentru </w:t>
      </w:r>
    </w:p>
    <w:p w:rsidR="001077B8" w:rsidRPr="00C923B1" w:rsidRDefault="001077B8" w:rsidP="001077B8">
      <w:pPr>
        <w:jc w:val="center"/>
        <w:rPr>
          <w:b/>
          <w:sz w:val="28"/>
        </w:rPr>
      </w:pPr>
      <w:r w:rsidRPr="00C923B1">
        <w:rPr>
          <w:b/>
          <w:sz w:val="28"/>
        </w:rPr>
        <w:t>producerea separată de energie electrică</w:t>
      </w:r>
    </w:p>
    <w:p w:rsidR="001077B8" w:rsidRPr="007C3FF8" w:rsidRDefault="001077B8" w:rsidP="001077B8">
      <w:pPr>
        <w:jc w:val="center"/>
        <w:rPr>
          <w:b/>
          <w:sz w:val="28"/>
          <w:szCs w:val="28"/>
        </w:rPr>
      </w:pPr>
    </w:p>
    <w:p w:rsidR="001077B8" w:rsidRPr="007C3FF8" w:rsidRDefault="001077B8" w:rsidP="001077B8">
      <w:pPr>
        <w:spacing w:before="120" w:after="120"/>
        <w:ind w:left="-425"/>
        <w:jc w:val="both"/>
        <w:rPr>
          <w:b/>
          <w:sz w:val="28"/>
          <w:szCs w:val="28"/>
          <w:lang w:val="en-US"/>
        </w:rPr>
      </w:pPr>
      <w:proofErr w:type="gramStart"/>
      <w:r w:rsidRPr="007C3FF8">
        <w:rPr>
          <w:iCs/>
          <w:sz w:val="28"/>
          <w:szCs w:val="28"/>
          <w:lang w:val="en-US"/>
        </w:rPr>
        <w:t>1</w:t>
      </w:r>
      <w:r w:rsidRPr="003B286C">
        <w:rPr>
          <w:iCs/>
          <w:sz w:val="28"/>
          <w:szCs w:val="28"/>
          <w:lang w:val="en-US"/>
        </w:rPr>
        <w:t xml:space="preserve">. </w:t>
      </w:r>
      <w:proofErr w:type="spellStart"/>
      <w:r w:rsidRPr="003B286C">
        <w:rPr>
          <w:iCs/>
          <w:sz w:val="28"/>
          <w:szCs w:val="28"/>
          <w:lang w:val="en-US"/>
        </w:rPr>
        <w:t>Prezenta</w:t>
      </w:r>
      <w:proofErr w:type="spellEnd"/>
      <w:r w:rsidRPr="003B286C">
        <w:rPr>
          <w:iCs/>
          <w:sz w:val="28"/>
          <w:szCs w:val="28"/>
          <w:lang w:val="en-US"/>
        </w:rPr>
        <w:t xml:space="preserve"> </w:t>
      </w:r>
      <w:proofErr w:type="spellStart"/>
      <w:r w:rsidRPr="003B286C">
        <w:rPr>
          <w:iCs/>
          <w:sz w:val="28"/>
          <w:szCs w:val="28"/>
          <w:lang w:val="en-US"/>
        </w:rPr>
        <w:t>Anexă</w:t>
      </w:r>
      <w:proofErr w:type="spellEnd"/>
      <w:r w:rsidRPr="003B286C">
        <w:rPr>
          <w:iCs/>
          <w:sz w:val="28"/>
          <w:szCs w:val="28"/>
          <w:lang w:val="en-US"/>
        </w:rPr>
        <w:t xml:space="preserve"> </w:t>
      </w:r>
      <w:proofErr w:type="spellStart"/>
      <w:r w:rsidRPr="003B286C">
        <w:rPr>
          <w:iCs/>
          <w:sz w:val="28"/>
          <w:szCs w:val="28"/>
          <w:lang w:val="en-US"/>
        </w:rPr>
        <w:t>transpune</w:t>
      </w:r>
      <w:proofErr w:type="spellEnd"/>
      <w:r w:rsidRPr="003B286C">
        <w:rPr>
          <w:iCs/>
          <w:sz w:val="28"/>
          <w:szCs w:val="28"/>
          <w:lang w:val="en-US"/>
        </w:rPr>
        <w:t xml:space="preserve"> </w:t>
      </w:r>
      <w:proofErr w:type="spellStart"/>
      <w:r w:rsidRPr="003B286C">
        <w:rPr>
          <w:iCs/>
          <w:sz w:val="28"/>
          <w:szCs w:val="28"/>
          <w:lang w:val="en-US"/>
        </w:rPr>
        <w:t>parțial</w:t>
      </w:r>
      <w:proofErr w:type="spellEnd"/>
      <w:r w:rsidRPr="003B286C">
        <w:rPr>
          <w:iCs/>
          <w:sz w:val="28"/>
          <w:szCs w:val="28"/>
          <w:lang w:val="en-US"/>
        </w:rPr>
        <w:t xml:space="preserve"> (art. 1-5, </w:t>
      </w:r>
      <w:proofErr w:type="spellStart"/>
      <w:r w:rsidRPr="003B286C">
        <w:rPr>
          <w:iCs/>
          <w:sz w:val="28"/>
          <w:szCs w:val="28"/>
          <w:lang w:val="en-US"/>
        </w:rPr>
        <w:t>Anexele</w:t>
      </w:r>
      <w:proofErr w:type="spellEnd"/>
      <w:r w:rsidRPr="003B286C">
        <w:rPr>
          <w:iCs/>
          <w:sz w:val="28"/>
          <w:szCs w:val="28"/>
          <w:lang w:val="en-US"/>
        </w:rPr>
        <w:t xml:space="preserve"> I, III, IV) </w:t>
      </w:r>
      <w:r w:rsidRPr="003B286C">
        <w:rPr>
          <w:sz w:val="28"/>
          <w:szCs w:val="28"/>
        </w:rPr>
        <w:t>Decizia nr.</w:t>
      </w:r>
      <w:proofErr w:type="gramEnd"/>
      <w:r w:rsidRPr="003B286C">
        <w:rPr>
          <w:sz w:val="28"/>
          <w:szCs w:val="28"/>
        </w:rPr>
        <w:t xml:space="preserve"> 2011/877/UE de punere în aplicare a Comisiei din 19 decembrie 2011 de stabilire a valorilor de referinţă armonizate ale randamentului pentru producția separată de energie electrică şi căldură, în aplicarea Directivei 2004/8/CE a Parlamentului European şi a Consiliului, şi de abrogare a Deciziei 2007/74/CE a Comisiei (notificată cu nr. C (2011) 9523)</w:t>
      </w:r>
      <w:r w:rsidRPr="003B286C">
        <w:rPr>
          <w:iCs/>
          <w:sz w:val="28"/>
          <w:szCs w:val="28"/>
          <w:lang w:val="en-US"/>
        </w:rPr>
        <w:t xml:space="preserve">, </w:t>
      </w:r>
      <w:proofErr w:type="spellStart"/>
      <w:r w:rsidRPr="003B286C">
        <w:rPr>
          <w:iCs/>
          <w:sz w:val="28"/>
          <w:szCs w:val="28"/>
          <w:lang w:val="en-US"/>
        </w:rPr>
        <w:t>publicată</w:t>
      </w:r>
      <w:proofErr w:type="spellEnd"/>
      <w:r w:rsidRPr="003B286C">
        <w:rPr>
          <w:iCs/>
          <w:sz w:val="28"/>
          <w:szCs w:val="28"/>
          <w:lang w:val="en-US"/>
        </w:rPr>
        <w:t xml:space="preserve"> </w:t>
      </w:r>
      <w:proofErr w:type="spellStart"/>
      <w:r w:rsidRPr="003B286C">
        <w:rPr>
          <w:iCs/>
          <w:sz w:val="28"/>
          <w:szCs w:val="28"/>
          <w:lang w:val="en-US"/>
        </w:rPr>
        <w:t>în</w:t>
      </w:r>
      <w:proofErr w:type="spellEnd"/>
      <w:r w:rsidRPr="003B286C">
        <w:rPr>
          <w:iCs/>
          <w:sz w:val="28"/>
          <w:szCs w:val="28"/>
          <w:lang w:val="en-US"/>
        </w:rPr>
        <w:t xml:space="preserve"> </w:t>
      </w:r>
      <w:proofErr w:type="spellStart"/>
      <w:r w:rsidRPr="003B286C">
        <w:rPr>
          <w:iCs/>
          <w:sz w:val="28"/>
          <w:szCs w:val="28"/>
          <w:lang w:val="en-US"/>
        </w:rPr>
        <w:t>Jurnalul</w:t>
      </w:r>
      <w:proofErr w:type="spellEnd"/>
      <w:r w:rsidRPr="003B286C">
        <w:rPr>
          <w:iCs/>
          <w:sz w:val="28"/>
          <w:szCs w:val="28"/>
          <w:lang w:val="en-US"/>
        </w:rPr>
        <w:t xml:space="preserve"> </w:t>
      </w:r>
      <w:proofErr w:type="spellStart"/>
      <w:r w:rsidRPr="003B286C">
        <w:rPr>
          <w:iCs/>
          <w:sz w:val="28"/>
          <w:szCs w:val="28"/>
          <w:lang w:val="en-US"/>
        </w:rPr>
        <w:t>Oficial</w:t>
      </w:r>
      <w:proofErr w:type="spellEnd"/>
      <w:r w:rsidRPr="003B286C">
        <w:rPr>
          <w:iCs/>
          <w:sz w:val="28"/>
          <w:szCs w:val="28"/>
          <w:lang w:val="en-US"/>
        </w:rPr>
        <w:t xml:space="preserve"> al </w:t>
      </w:r>
      <w:proofErr w:type="spellStart"/>
      <w:r w:rsidRPr="003B286C">
        <w:rPr>
          <w:iCs/>
          <w:sz w:val="28"/>
          <w:szCs w:val="28"/>
          <w:lang w:val="en-US"/>
        </w:rPr>
        <w:t>Uniunii</w:t>
      </w:r>
      <w:proofErr w:type="spellEnd"/>
      <w:r w:rsidRPr="003B286C">
        <w:rPr>
          <w:iCs/>
          <w:sz w:val="28"/>
          <w:szCs w:val="28"/>
          <w:lang w:val="en-US"/>
        </w:rPr>
        <w:t xml:space="preserve"> </w:t>
      </w:r>
      <w:proofErr w:type="spellStart"/>
      <w:r w:rsidRPr="003B286C">
        <w:rPr>
          <w:iCs/>
          <w:sz w:val="28"/>
          <w:szCs w:val="28"/>
          <w:lang w:val="en-US"/>
        </w:rPr>
        <w:t>Europene</w:t>
      </w:r>
      <w:proofErr w:type="spellEnd"/>
      <w:r w:rsidRPr="003B286C">
        <w:rPr>
          <w:iCs/>
          <w:sz w:val="28"/>
          <w:szCs w:val="28"/>
          <w:lang w:val="en-US"/>
        </w:rPr>
        <w:t xml:space="preserve"> (JO) </w:t>
      </w:r>
      <w:proofErr w:type="spellStart"/>
      <w:r w:rsidRPr="003B286C">
        <w:rPr>
          <w:iCs/>
          <w:sz w:val="28"/>
          <w:szCs w:val="28"/>
          <w:lang w:val="en-US"/>
        </w:rPr>
        <w:t>nr</w:t>
      </w:r>
      <w:proofErr w:type="spellEnd"/>
      <w:r w:rsidRPr="003B286C">
        <w:rPr>
          <w:iCs/>
          <w:sz w:val="28"/>
          <w:szCs w:val="28"/>
          <w:lang w:val="en-US"/>
        </w:rPr>
        <w:t xml:space="preserve">. </w:t>
      </w:r>
      <w:proofErr w:type="gramStart"/>
      <w:r w:rsidRPr="003B286C">
        <w:rPr>
          <w:iCs/>
          <w:sz w:val="28"/>
          <w:szCs w:val="28"/>
          <w:lang w:val="en-US"/>
        </w:rPr>
        <w:t>L 343/91.</w:t>
      </w:r>
      <w:proofErr w:type="gramEnd"/>
      <w:r w:rsidRPr="007C3FF8">
        <w:rPr>
          <w:sz w:val="28"/>
          <w:szCs w:val="28"/>
          <w:lang w:val="en-US"/>
        </w:rPr>
        <w:t xml:space="preserve"> </w:t>
      </w:r>
    </w:p>
    <w:p w:rsidR="001077B8" w:rsidRPr="00C923B1" w:rsidRDefault="001077B8" w:rsidP="001077B8">
      <w:pPr>
        <w:spacing w:before="120" w:after="120"/>
        <w:ind w:left="-425"/>
        <w:jc w:val="both"/>
        <w:rPr>
          <w:sz w:val="28"/>
          <w:szCs w:val="28"/>
        </w:rPr>
      </w:pPr>
      <w:r w:rsidRPr="00C923B1">
        <w:rPr>
          <w:sz w:val="28"/>
          <w:szCs w:val="28"/>
          <w:lang w:val="en-US"/>
        </w:rPr>
        <w:t xml:space="preserve">2. </w:t>
      </w:r>
      <w:r w:rsidRPr="007C3FF8">
        <w:rPr>
          <w:sz w:val="28"/>
        </w:rPr>
        <w:t>Valorile de referință armonizate ale eficienței pentru producerea separată de energie electrică</w:t>
      </w:r>
      <w:r w:rsidRPr="00C923B1">
        <w:rPr>
          <w:sz w:val="28"/>
        </w:rPr>
        <w:t xml:space="preserve"> sunt prezentate în </w:t>
      </w:r>
      <w:r w:rsidRPr="007C3FF8">
        <w:rPr>
          <w:sz w:val="28"/>
          <w:szCs w:val="28"/>
        </w:rPr>
        <w:t>T</w:t>
      </w:r>
      <w:r w:rsidRPr="00C923B1">
        <w:rPr>
          <w:sz w:val="28"/>
          <w:szCs w:val="28"/>
        </w:rPr>
        <w:t xml:space="preserve">abelul </w:t>
      </w:r>
      <w:r w:rsidRPr="007C3FF8">
        <w:rPr>
          <w:sz w:val="28"/>
          <w:szCs w:val="28"/>
        </w:rPr>
        <w:t>nr. 1</w:t>
      </w:r>
      <w:r w:rsidRPr="00C923B1">
        <w:rPr>
          <w:sz w:val="28"/>
          <w:szCs w:val="28"/>
        </w:rPr>
        <w:t xml:space="preserve">: </w:t>
      </w:r>
    </w:p>
    <w:p w:rsidR="001077B8" w:rsidRPr="007C3FF8" w:rsidRDefault="001077B8" w:rsidP="001077B8">
      <w:pPr>
        <w:spacing w:before="120" w:after="120"/>
        <w:ind w:left="-425"/>
        <w:jc w:val="right"/>
        <w:rPr>
          <w:b/>
          <w:sz w:val="28"/>
          <w:szCs w:val="28"/>
        </w:rPr>
      </w:pPr>
      <w:r w:rsidRPr="007C3FF8">
        <w:rPr>
          <w:b/>
          <w:sz w:val="28"/>
          <w:szCs w:val="28"/>
        </w:rPr>
        <w:t>Tabelul nr. 1</w:t>
      </w:r>
    </w:p>
    <w:tbl>
      <w:tblPr>
        <w:tblStyle w:val="TableGrid"/>
        <w:tblW w:w="10049" w:type="dxa"/>
        <w:tblInd w:w="-426" w:type="dxa"/>
        <w:tblLayout w:type="fixed"/>
        <w:tblLook w:val="04A0" w:firstRow="1" w:lastRow="0" w:firstColumn="1" w:lastColumn="0" w:noHBand="0" w:noVBand="1"/>
      </w:tblPr>
      <w:tblGrid>
        <w:gridCol w:w="568"/>
        <w:gridCol w:w="3675"/>
        <w:gridCol w:w="861"/>
        <w:gridCol w:w="788"/>
        <w:gridCol w:w="857"/>
        <w:gridCol w:w="824"/>
        <w:gridCol w:w="825"/>
        <w:gridCol w:w="824"/>
        <w:gridCol w:w="827"/>
      </w:tblGrid>
      <w:tr w:rsidR="001077B8" w:rsidRPr="00C923B1" w:rsidTr="008A53A6">
        <w:trPr>
          <w:trHeight w:val="254"/>
        </w:trPr>
        <w:tc>
          <w:tcPr>
            <w:tcW w:w="4243" w:type="dxa"/>
            <w:gridSpan w:val="2"/>
            <w:tcBorders>
              <w:top w:val="nil"/>
              <w:left w:val="nil"/>
            </w:tcBorders>
          </w:tcPr>
          <w:p w:rsidR="001077B8" w:rsidRPr="00C923B1" w:rsidRDefault="001077B8" w:rsidP="008A53A6">
            <w:pPr>
              <w:jc w:val="center"/>
              <w:rPr>
                <w:rFonts w:cs="Times New Roman"/>
              </w:rPr>
            </w:pPr>
          </w:p>
        </w:tc>
        <w:tc>
          <w:tcPr>
            <w:tcW w:w="5806" w:type="dxa"/>
            <w:gridSpan w:val="7"/>
          </w:tcPr>
          <w:p w:rsidR="001077B8" w:rsidRPr="00C923B1" w:rsidRDefault="001077B8" w:rsidP="008A53A6">
            <w:pPr>
              <w:jc w:val="center"/>
              <w:rPr>
                <w:rFonts w:cs="Times New Roman"/>
                <w:b/>
              </w:rPr>
            </w:pPr>
            <w:r w:rsidRPr="00C923B1">
              <w:rPr>
                <w:b/>
              </w:rPr>
              <w:t>Valoarea eficienței, %*</w:t>
            </w:r>
          </w:p>
        </w:tc>
      </w:tr>
      <w:tr w:rsidR="001077B8" w:rsidRPr="00C923B1" w:rsidTr="008A53A6">
        <w:trPr>
          <w:trHeight w:val="691"/>
        </w:trPr>
        <w:tc>
          <w:tcPr>
            <w:tcW w:w="4243" w:type="dxa"/>
            <w:gridSpan w:val="2"/>
            <w:tcBorders>
              <w:tl2br w:val="single" w:sz="4" w:space="0" w:color="auto"/>
            </w:tcBorders>
          </w:tcPr>
          <w:p w:rsidR="001077B8" w:rsidRPr="00C923B1" w:rsidRDefault="001077B8" w:rsidP="008A53A6">
            <w:pPr>
              <w:jc w:val="right"/>
              <w:rPr>
                <w:rFonts w:cs="Times New Roman"/>
                <w:b/>
                <w:lang w:val="en-US"/>
              </w:rPr>
            </w:pPr>
            <w:proofErr w:type="spellStart"/>
            <w:r w:rsidRPr="007C3FF8">
              <w:rPr>
                <w:b/>
                <w:lang w:val="en-US"/>
              </w:rPr>
              <w:t>Anul</w:t>
            </w:r>
            <w:proofErr w:type="spellEnd"/>
            <w:r w:rsidRPr="007C3FF8">
              <w:rPr>
                <w:b/>
                <w:lang w:val="en-US"/>
              </w:rPr>
              <w:t xml:space="preserve"> de </w:t>
            </w:r>
            <w:proofErr w:type="spellStart"/>
            <w:r w:rsidRPr="007C3FF8">
              <w:rPr>
                <w:b/>
                <w:lang w:val="en-US"/>
              </w:rPr>
              <w:t>punere</w:t>
            </w:r>
            <w:proofErr w:type="spellEnd"/>
            <w:r w:rsidRPr="00C923B1">
              <w:rPr>
                <w:b/>
                <w:lang w:val="en-US"/>
              </w:rPr>
              <w:t xml:space="preserve"> </w:t>
            </w:r>
            <w:proofErr w:type="spellStart"/>
            <w:r w:rsidRPr="00C923B1">
              <w:rPr>
                <w:b/>
                <w:lang w:val="en-US"/>
              </w:rPr>
              <w:t>în</w:t>
            </w:r>
            <w:proofErr w:type="spellEnd"/>
            <w:r w:rsidRPr="00C923B1">
              <w:rPr>
                <w:b/>
                <w:lang w:val="en-US"/>
              </w:rPr>
              <w:t xml:space="preserve"> </w:t>
            </w:r>
            <w:proofErr w:type="spellStart"/>
            <w:r w:rsidRPr="00C923B1">
              <w:rPr>
                <w:b/>
                <w:lang w:val="en-US"/>
              </w:rPr>
              <w:t>funcţiune</w:t>
            </w:r>
            <w:proofErr w:type="spellEnd"/>
          </w:p>
          <w:p w:rsidR="001077B8" w:rsidRPr="00C923B1" w:rsidRDefault="001077B8" w:rsidP="008A53A6">
            <w:pPr>
              <w:jc w:val="right"/>
              <w:rPr>
                <w:rFonts w:cs="Times New Roman"/>
                <w:b/>
                <w:lang w:val="en-US"/>
              </w:rPr>
            </w:pPr>
            <w:r w:rsidRPr="007C3FF8">
              <w:rPr>
                <w:b/>
                <w:lang w:val="en-US"/>
              </w:rPr>
              <w:t xml:space="preserve">a </w:t>
            </w:r>
            <w:proofErr w:type="spellStart"/>
            <w:r w:rsidRPr="007C3FF8">
              <w:rPr>
                <w:b/>
                <w:lang w:val="en-US"/>
              </w:rPr>
              <w:t>instalaţiei</w:t>
            </w:r>
            <w:proofErr w:type="spellEnd"/>
          </w:p>
          <w:p w:rsidR="001077B8" w:rsidRPr="007C3FF8" w:rsidRDefault="001077B8" w:rsidP="008A53A6">
            <w:pPr>
              <w:jc w:val="center"/>
              <w:rPr>
                <w:rFonts w:cs="Times New Roman"/>
                <w:b/>
                <w:lang w:val="en-US"/>
              </w:rPr>
            </w:pPr>
          </w:p>
          <w:p w:rsidR="001077B8" w:rsidRPr="00C923B1" w:rsidRDefault="001077B8" w:rsidP="008A53A6">
            <w:pPr>
              <w:jc w:val="center"/>
              <w:rPr>
                <w:rFonts w:cs="Times New Roman"/>
                <w:b/>
              </w:rPr>
            </w:pPr>
            <w:r w:rsidRPr="00C923B1">
              <w:rPr>
                <w:b/>
              </w:rPr>
              <w:t>Tipul de combustibil</w:t>
            </w:r>
          </w:p>
        </w:tc>
        <w:tc>
          <w:tcPr>
            <w:tcW w:w="861" w:type="dxa"/>
            <w:vAlign w:val="center"/>
          </w:tcPr>
          <w:p w:rsidR="001077B8" w:rsidRPr="00C923B1" w:rsidRDefault="001077B8" w:rsidP="008A53A6">
            <w:pPr>
              <w:spacing w:before="80"/>
              <w:jc w:val="center"/>
              <w:rPr>
                <w:rFonts w:cs="Times New Roman"/>
                <w:b/>
              </w:rPr>
            </w:pPr>
            <w:r w:rsidRPr="00C923B1">
              <w:rPr>
                <w:b/>
              </w:rPr>
              <w:t>≤2001</w:t>
            </w:r>
          </w:p>
        </w:tc>
        <w:tc>
          <w:tcPr>
            <w:tcW w:w="788" w:type="dxa"/>
            <w:vAlign w:val="center"/>
          </w:tcPr>
          <w:p w:rsidR="001077B8" w:rsidRPr="00C923B1" w:rsidRDefault="001077B8" w:rsidP="008A53A6">
            <w:pPr>
              <w:spacing w:before="80"/>
              <w:jc w:val="center"/>
              <w:rPr>
                <w:rFonts w:cs="Times New Roman"/>
                <w:b/>
              </w:rPr>
            </w:pPr>
            <w:r w:rsidRPr="00C923B1">
              <w:rPr>
                <w:b/>
              </w:rPr>
              <w:t>2002</w:t>
            </w:r>
          </w:p>
        </w:tc>
        <w:tc>
          <w:tcPr>
            <w:tcW w:w="857" w:type="dxa"/>
            <w:vAlign w:val="center"/>
          </w:tcPr>
          <w:p w:rsidR="001077B8" w:rsidRPr="00C923B1" w:rsidRDefault="001077B8" w:rsidP="008A53A6">
            <w:pPr>
              <w:spacing w:before="80"/>
              <w:jc w:val="center"/>
              <w:rPr>
                <w:rFonts w:cs="Times New Roman"/>
                <w:b/>
              </w:rPr>
            </w:pPr>
            <w:r w:rsidRPr="00C923B1">
              <w:rPr>
                <w:b/>
              </w:rPr>
              <w:t>2003</w:t>
            </w:r>
          </w:p>
        </w:tc>
        <w:tc>
          <w:tcPr>
            <w:tcW w:w="824" w:type="dxa"/>
            <w:vAlign w:val="center"/>
          </w:tcPr>
          <w:p w:rsidR="001077B8" w:rsidRPr="00C923B1" w:rsidRDefault="001077B8" w:rsidP="008A53A6">
            <w:pPr>
              <w:spacing w:before="80"/>
              <w:jc w:val="center"/>
              <w:rPr>
                <w:rFonts w:cs="Times New Roman"/>
                <w:b/>
              </w:rPr>
            </w:pPr>
            <w:r w:rsidRPr="00C923B1">
              <w:rPr>
                <w:b/>
              </w:rPr>
              <w:t>2004</w:t>
            </w:r>
          </w:p>
        </w:tc>
        <w:tc>
          <w:tcPr>
            <w:tcW w:w="825" w:type="dxa"/>
            <w:vAlign w:val="center"/>
          </w:tcPr>
          <w:p w:rsidR="001077B8" w:rsidRPr="00C923B1" w:rsidRDefault="001077B8" w:rsidP="008A53A6">
            <w:pPr>
              <w:spacing w:before="80"/>
              <w:jc w:val="center"/>
              <w:rPr>
                <w:rFonts w:cs="Times New Roman"/>
                <w:b/>
              </w:rPr>
            </w:pPr>
            <w:r w:rsidRPr="00C923B1">
              <w:rPr>
                <w:b/>
              </w:rPr>
              <w:t>2005</w:t>
            </w:r>
          </w:p>
        </w:tc>
        <w:tc>
          <w:tcPr>
            <w:tcW w:w="824" w:type="dxa"/>
            <w:vAlign w:val="center"/>
          </w:tcPr>
          <w:p w:rsidR="001077B8" w:rsidRPr="00C923B1" w:rsidRDefault="001077B8" w:rsidP="008A53A6">
            <w:pPr>
              <w:jc w:val="center"/>
              <w:rPr>
                <w:rFonts w:cs="Times New Roman"/>
                <w:b/>
              </w:rPr>
            </w:pPr>
            <w:r w:rsidRPr="00C923B1">
              <w:rPr>
                <w:b/>
              </w:rPr>
              <w:t>2006-2011</w:t>
            </w:r>
          </w:p>
        </w:tc>
        <w:tc>
          <w:tcPr>
            <w:tcW w:w="827" w:type="dxa"/>
            <w:vAlign w:val="center"/>
          </w:tcPr>
          <w:p w:rsidR="001077B8" w:rsidRPr="00C923B1" w:rsidRDefault="001077B8" w:rsidP="008A53A6">
            <w:pPr>
              <w:jc w:val="center"/>
              <w:rPr>
                <w:rFonts w:cs="Times New Roman"/>
                <w:b/>
              </w:rPr>
            </w:pPr>
            <w:r w:rsidRPr="00C923B1">
              <w:rPr>
                <w:b/>
              </w:rPr>
              <w:t>2012-2015</w:t>
            </w:r>
          </w:p>
        </w:tc>
      </w:tr>
      <w:tr w:rsidR="001077B8" w:rsidRPr="00C923B1" w:rsidTr="008A53A6">
        <w:trPr>
          <w:trHeight w:val="508"/>
        </w:trPr>
        <w:tc>
          <w:tcPr>
            <w:tcW w:w="568" w:type="dxa"/>
            <w:vMerge w:val="restart"/>
            <w:textDirection w:val="btLr"/>
          </w:tcPr>
          <w:p w:rsidR="001077B8" w:rsidRPr="00C923B1" w:rsidRDefault="001077B8" w:rsidP="008A53A6">
            <w:pPr>
              <w:ind w:left="113" w:right="113"/>
              <w:jc w:val="center"/>
              <w:rPr>
                <w:rFonts w:cs="Times New Roman"/>
                <w:b/>
              </w:rPr>
            </w:pPr>
            <w:r w:rsidRPr="00C923B1">
              <w:rPr>
                <w:b/>
              </w:rPr>
              <w:t>Solid</w:t>
            </w:r>
          </w:p>
        </w:tc>
        <w:tc>
          <w:tcPr>
            <w:tcW w:w="3675" w:type="dxa"/>
            <w:vAlign w:val="center"/>
          </w:tcPr>
          <w:p w:rsidR="001077B8" w:rsidRPr="00C923B1" w:rsidRDefault="001077B8" w:rsidP="008A53A6">
            <w:pPr>
              <w:jc w:val="both"/>
              <w:rPr>
                <w:rFonts w:cs="Times New Roman"/>
              </w:rPr>
            </w:pPr>
            <w:r w:rsidRPr="00C923B1">
              <w:t>Huilă (antracit, cărbuni bituminoşi)</w:t>
            </w:r>
          </w:p>
        </w:tc>
        <w:tc>
          <w:tcPr>
            <w:tcW w:w="861" w:type="dxa"/>
            <w:vAlign w:val="center"/>
          </w:tcPr>
          <w:p w:rsidR="001077B8" w:rsidRPr="00C923B1" w:rsidRDefault="001077B8" w:rsidP="008A53A6">
            <w:pPr>
              <w:jc w:val="center"/>
              <w:rPr>
                <w:rFonts w:cs="Times New Roman"/>
              </w:rPr>
            </w:pPr>
            <w:r w:rsidRPr="00C923B1">
              <w:t>42,7</w:t>
            </w:r>
          </w:p>
        </w:tc>
        <w:tc>
          <w:tcPr>
            <w:tcW w:w="788" w:type="dxa"/>
            <w:vAlign w:val="center"/>
          </w:tcPr>
          <w:p w:rsidR="001077B8" w:rsidRPr="00C923B1" w:rsidRDefault="001077B8" w:rsidP="008A53A6">
            <w:pPr>
              <w:jc w:val="center"/>
              <w:rPr>
                <w:rFonts w:cs="Times New Roman"/>
              </w:rPr>
            </w:pPr>
            <w:r w:rsidRPr="00C923B1">
              <w:t>43,1</w:t>
            </w:r>
          </w:p>
        </w:tc>
        <w:tc>
          <w:tcPr>
            <w:tcW w:w="857" w:type="dxa"/>
            <w:vAlign w:val="center"/>
          </w:tcPr>
          <w:p w:rsidR="001077B8" w:rsidRPr="00C923B1" w:rsidRDefault="001077B8" w:rsidP="008A53A6">
            <w:pPr>
              <w:jc w:val="center"/>
              <w:rPr>
                <w:rFonts w:cs="Times New Roman"/>
              </w:rPr>
            </w:pPr>
            <w:r w:rsidRPr="00C923B1">
              <w:t>43,5</w:t>
            </w:r>
          </w:p>
        </w:tc>
        <w:tc>
          <w:tcPr>
            <w:tcW w:w="824" w:type="dxa"/>
            <w:vAlign w:val="center"/>
          </w:tcPr>
          <w:p w:rsidR="001077B8" w:rsidRPr="00C923B1" w:rsidRDefault="001077B8" w:rsidP="008A53A6">
            <w:pPr>
              <w:jc w:val="center"/>
              <w:rPr>
                <w:rFonts w:cs="Times New Roman"/>
              </w:rPr>
            </w:pPr>
            <w:r w:rsidRPr="00C923B1">
              <w:t>43,8</w:t>
            </w:r>
          </w:p>
        </w:tc>
        <w:tc>
          <w:tcPr>
            <w:tcW w:w="825" w:type="dxa"/>
            <w:vAlign w:val="center"/>
          </w:tcPr>
          <w:p w:rsidR="001077B8" w:rsidRPr="00C923B1" w:rsidRDefault="001077B8" w:rsidP="008A53A6">
            <w:pPr>
              <w:jc w:val="center"/>
              <w:rPr>
                <w:rFonts w:cs="Times New Roman"/>
              </w:rPr>
            </w:pPr>
            <w:r w:rsidRPr="00C923B1">
              <w:t>44,0</w:t>
            </w:r>
          </w:p>
        </w:tc>
        <w:tc>
          <w:tcPr>
            <w:tcW w:w="824" w:type="dxa"/>
            <w:vAlign w:val="center"/>
          </w:tcPr>
          <w:p w:rsidR="001077B8" w:rsidRPr="00C923B1" w:rsidRDefault="001077B8" w:rsidP="008A53A6">
            <w:pPr>
              <w:jc w:val="center"/>
              <w:rPr>
                <w:rFonts w:cs="Times New Roman"/>
              </w:rPr>
            </w:pPr>
            <w:r w:rsidRPr="00C923B1">
              <w:t>44,2</w:t>
            </w:r>
          </w:p>
        </w:tc>
        <w:tc>
          <w:tcPr>
            <w:tcW w:w="827" w:type="dxa"/>
            <w:vAlign w:val="center"/>
          </w:tcPr>
          <w:p w:rsidR="001077B8" w:rsidRPr="00C923B1" w:rsidRDefault="001077B8" w:rsidP="008A53A6">
            <w:pPr>
              <w:jc w:val="center"/>
              <w:rPr>
                <w:rFonts w:cs="Times New Roman"/>
              </w:rPr>
            </w:pPr>
            <w:r w:rsidRPr="00C923B1">
              <w:t>44,2</w:t>
            </w:r>
          </w:p>
        </w:tc>
      </w:tr>
      <w:tr w:rsidR="001077B8" w:rsidRPr="00C923B1" w:rsidTr="008A53A6">
        <w:trPr>
          <w:trHeight w:val="417"/>
        </w:trPr>
        <w:tc>
          <w:tcPr>
            <w:tcW w:w="568" w:type="dxa"/>
            <w:vMerge/>
          </w:tcPr>
          <w:p w:rsidR="001077B8" w:rsidRPr="00C923B1" w:rsidRDefault="001077B8" w:rsidP="008A53A6">
            <w:pPr>
              <w:jc w:val="center"/>
              <w:rPr>
                <w:rFonts w:cs="Times New Roman"/>
                <w:b/>
              </w:rPr>
            </w:pPr>
          </w:p>
        </w:tc>
        <w:tc>
          <w:tcPr>
            <w:tcW w:w="3675" w:type="dxa"/>
            <w:vAlign w:val="center"/>
          </w:tcPr>
          <w:p w:rsidR="001077B8" w:rsidRPr="00C923B1" w:rsidRDefault="001077B8" w:rsidP="008A53A6">
            <w:pPr>
              <w:rPr>
                <w:rFonts w:cs="Times New Roman"/>
              </w:rPr>
            </w:pPr>
            <w:r w:rsidRPr="00C923B1">
              <w:t>Combustibil lemnos</w:t>
            </w:r>
          </w:p>
        </w:tc>
        <w:tc>
          <w:tcPr>
            <w:tcW w:w="861" w:type="dxa"/>
            <w:vAlign w:val="center"/>
          </w:tcPr>
          <w:p w:rsidR="001077B8" w:rsidRPr="00C923B1" w:rsidRDefault="001077B8" w:rsidP="008A53A6">
            <w:pPr>
              <w:jc w:val="center"/>
              <w:rPr>
                <w:rFonts w:cs="Times New Roman"/>
              </w:rPr>
            </w:pPr>
            <w:r w:rsidRPr="00C923B1">
              <w:t>30,4</w:t>
            </w:r>
          </w:p>
        </w:tc>
        <w:tc>
          <w:tcPr>
            <w:tcW w:w="788" w:type="dxa"/>
            <w:vAlign w:val="center"/>
          </w:tcPr>
          <w:p w:rsidR="001077B8" w:rsidRPr="00C923B1" w:rsidRDefault="001077B8" w:rsidP="008A53A6">
            <w:pPr>
              <w:jc w:val="center"/>
              <w:rPr>
                <w:rFonts w:cs="Times New Roman"/>
              </w:rPr>
            </w:pPr>
            <w:r w:rsidRPr="00C923B1">
              <w:t>31,1</w:t>
            </w:r>
          </w:p>
        </w:tc>
        <w:tc>
          <w:tcPr>
            <w:tcW w:w="857" w:type="dxa"/>
            <w:vAlign w:val="center"/>
          </w:tcPr>
          <w:p w:rsidR="001077B8" w:rsidRPr="00C923B1" w:rsidRDefault="001077B8" w:rsidP="008A53A6">
            <w:pPr>
              <w:jc w:val="center"/>
              <w:rPr>
                <w:rFonts w:cs="Times New Roman"/>
              </w:rPr>
            </w:pPr>
            <w:r w:rsidRPr="00C923B1">
              <w:t>31,7</w:t>
            </w:r>
          </w:p>
        </w:tc>
        <w:tc>
          <w:tcPr>
            <w:tcW w:w="824" w:type="dxa"/>
            <w:vAlign w:val="center"/>
          </w:tcPr>
          <w:p w:rsidR="001077B8" w:rsidRPr="00C923B1" w:rsidRDefault="001077B8" w:rsidP="008A53A6">
            <w:pPr>
              <w:jc w:val="center"/>
              <w:rPr>
                <w:rFonts w:cs="Times New Roman"/>
              </w:rPr>
            </w:pPr>
            <w:r w:rsidRPr="00C923B1">
              <w:t>32,2</w:t>
            </w:r>
          </w:p>
        </w:tc>
        <w:tc>
          <w:tcPr>
            <w:tcW w:w="825" w:type="dxa"/>
            <w:vAlign w:val="center"/>
          </w:tcPr>
          <w:p w:rsidR="001077B8" w:rsidRPr="00C923B1" w:rsidRDefault="001077B8" w:rsidP="008A53A6">
            <w:pPr>
              <w:jc w:val="center"/>
              <w:rPr>
                <w:rFonts w:cs="Times New Roman"/>
              </w:rPr>
            </w:pPr>
            <w:r w:rsidRPr="00C923B1">
              <w:t>32,6</w:t>
            </w:r>
          </w:p>
        </w:tc>
        <w:tc>
          <w:tcPr>
            <w:tcW w:w="824" w:type="dxa"/>
            <w:vAlign w:val="center"/>
          </w:tcPr>
          <w:p w:rsidR="001077B8" w:rsidRPr="00C923B1" w:rsidRDefault="001077B8" w:rsidP="008A53A6">
            <w:pPr>
              <w:jc w:val="center"/>
              <w:rPr>
                <w:rFonts w:cs="Times New Roman"/>
              </w:rPr>
            </w:pPr>
            <w:r w:rsidRPr="00C923B1">
              <w:t>33,0</w:t>
            </w:r>
          </w:p>
        </w:tc>
        <w:tc>
          <w:tcPr>
            <w:tcW w:w="827" w:type="dxa"/>
            <w:vAlign w:val="center"/>
          </w:tcPr>
          <w:p w:rsidR="001077B8" w:rsidRPr="00C923B1" w:rsidRDefault="001077B8" w:rsidP="008A53A6">
            <w:pPr>
              <w:jc w:val="center"/>
              <w:rPr>
                <w:rFonts w:cs="Times New Roman"/>
              </w:rPr>
            </w:pPr>
            <w:r w:rsidRPr="00C923B1">
              <w:t>33,0</w:t>
            </w:r>
          </w:p>
        </w:tc>
      </w:tr>
      <w:tr w:rsidR="001077B8" w:rsidRPr="00C923B1" w:rsidTr="008A53A6">
        <w:trPr>
          <w:trHeight w:val="423"/>
        </w:trPr>
        <w:tc>
          <w:tcPr>
            <w:tcW w:w="568" w:type="dxa"/>
            <w:vMerge/>
          </w:tcPr>
          <w:p w:rsidR="001077B8" w:rsidRPr="00C923B1" w:rsidRDefault="001077B8" w:rsidP="008A53A6">
            <w:pPr>
              <w:jc w:val="center"/>
              <w:rPr>
                <w:rFonts w:cs="Times New Roman"/>
                <w:b/>
              </w:rPr>
            </w:pPr>
          </w:p>
        </w:tc>
        <w:tc>
          <w:tcPr>
            <w:tcW w:w="3675" w:type="dxa"/>
            <w:vAlign w:val="center"/>
          </w:tcPr>
          <w:p w:rsidR="001077B8" w:rsidRPr="00C923B1" w:rsidRDefault="001077B8" w:rsidP="008A53A6">
            <w:pPr>
              <w:rPr>
                <w:rFonts w:cs="Times New Roman"/>
              </w:rPr>
            </w:pPr>
            <w:r w:rsidRPr="00C923B1">
              <w:t>Biomasă agricolă</w:t>
            </w:r>
          </w:p>
        </w:tc>
        <w:tc>
          <w:tcPr>
            <w:tcW w:w="861" w:type="dxa"/>
            <w:vAlign w:val="center"/>
          </w:tcPr>
          <w:p w:rsidR="001077B8" w:rsidRPr="00C923B1" w:rsidRDefault="001077B8" w:rsidP="008A53A6">
            <w:pPr>
              <w:jc w:val="center"/>
              <w:rPr>
                <w:rFonts w:cs="Times New Roman"/>
              </w:rPr>
            </w:pPr>
            <w:r w:rsidRPr="00C923B1">
              <w:t>23,1</w:t>
            </w:r>
          </w:p>
        </w:tc>
        <w:tc>
          <w:tcPr>
            <w:tcW w:w="788" w:type="dxa"/>
            <w:vAlign w:val="center"/>
          </w:tcPr>
          <w:p w:rsidR="001077B8" w:rsidRPr="00C923B1" w:rsidRDefault="001077B8" w:rsidP="008A53A6">
            <w:pPr>
              <w:jc w:val="center"/>
              <w:rPr>
                <w:rFonts w:cs="Times New Roman"/>
              </w:rPr>
            </w:pPr>
            <w:r w:rsidRPr="00C923B1">
              <w:t>23,5</w:t>
            </w:r>
          </w:p>
        </w:tc>
        <w:tc>
          <w:tcPr>
            <w:tcW w:w="857" w:type="dxa"/>
            <w:vAlign w:val="center"/>
          </w:tcPr>
          <w:p w:rsidR="001077B8" w:rsidRPr="00C923B1" w:rsidRDefault="001077B8" w:rsidP="008A53A6">
            <w:pPr>
              <w:jc w:val="center"/>
              <w:rPr>
                <w:rFonts w:cs="Times New Roman"/>
              </w:rPr>
            </w:pPr>
            <w:r w:rsidRPr="00C923B1">
              <w:t>24,0</w:t>
            </w:r>
          </w:p>
        </w:tc>
        <w:tc>
          <w:tcPr>
            <w:tcW w:w="824" w:type="dxa"/>
            <w:vAlign w:val="center"/>
          </w:tcPr>
          <w:p w:rsidR="001077B8" w:rsidRPr="00C923B1" w:rsidRDefault="001077B8" w:rsidP="008A53A6">
            <w:pPr>
              <w:jc w:val="center"/>
              <w:rPr>
                <w:rFonts w:cs="Times New Roman"/>
              </w:rPr>
            </w:pPr>
            <w:r w:rsidRPr="00C923B1">
              <w:t>24,4</w:t>
            </w:r>
          </w:p>
        </w:tc>
        <w:tc>
          <w:tcPr>
            <w:tcW w:w="825" w:type="dxa"/>
            <w:vAlign w:val="center"/>
          </w:tcPr>
          <w:p w:rsidR="001077B8" w:rsidRPr="00C923B1" w:rsidRDefault="001077B8" w:rsidP="008A53A6">
            <w:pPr>
              <w:jc w:val="center"/>
              <w:rPr>
                <w:rFonts w:cs="Times New Roman"/>
              </w:rPr>
            </w:pPr>
            <w:r w:rsidRPr="00C923B1">
              <w:t>24,7</w:t>
            </w:r>
          </w:p>
        </w:tc>
        <w:tc>
          <w:tcPr>
            <w:tcW w:w="824" w:type="dxa"/>
            <w:vAlign w:val="center"/>
          </w:tcPr>
          <w:p w:rsidR="001077B8" w:rsidRPr="00C923B1" w:rsidRDefault="001077B8" w:rsidP="008A53A6">
            <w:pPr>
              <w:jc w:val="center"/>
              <w:rPr>
                <w:rFonts w:cs="Times New Roman"/>
              </w:rPr>
            </w:pPr>
            <w:r w:rsidRPr="00C923B1">
              <w:t>25,0</w:t>
            </w:r>
          </w:p>
        </w:tc>
        <w:tc>
          <w:tcPr>
            <w:tcW w:w="827" w:type="dxa"/>
            <w:vAlign w:val="center"/>
          </w:tcPr>
          <w:p w:rsidR="001077B8" w:rsidRPr="00C923B1" w:rsidRDefault="001077B8" w:rsidP="008A53A6">
            <w:pPr>
              <w:jc w:val="center"/>
              <w:rPr>
                <w:rFonts w:cs="Times New Roman"/>
              </w:rPr>
            </w:pPr>
            <w:r w:rsidRPr="00C923B1">
              <w:t>25,0</w:t>
            </w:r>
          </w:p>
        </w:tc>
      </w:tr>
      <w:tr w:rsidR="001077B8" w:rsidRPr="00C923B1" w:rsidTr="008A53A6">
        <w:trPr>
          <w:trHeight w:val="409"/>
        </w:trPr>
        <w:tc>
          <w:tcPr>
            <w:tcW w:w="568" w:type="dxa"/>
            <w:vMerge w:val="restart"/>
            <w:textDirection w:val="btLr"/>
          </w:tcPr>
          <w:p w:rsidR="001077B8" w:rsidRPr="00C923B1" w:rsidRDefault="001077B8" w:rsidP="008A53A6">
            <w:pPr>
              <w:ind w:left="113" w:right="113"/>
              <w:jc w:val="center"/>
              <w:rPr>
                <w:rFonts w:cs="Times New Roman"/>
                <w:b/>
              </w:rPr>
            </w:pPr>
            <w:r w:rsidRPr="00C923B1">
              <w:rPr>
                <w:b/>
              </w:rPr>
              <w:t>Lichid</w:t>
            </w:r>
          </w:p>
        </w:tc>
        <w:tc>
          <w:tcPr>
            <w:tcW w:w="3675" w:type="dxa"/>
            <w:vAlign w:val="center"/>
          </w:tcPr>
          <w:p w:rsidR="001077B8" w:rsidRPr="00C923B1" w:rsidRDefault="001077B8" w:rsidP="008A53A6">
            <w:pPr>
              <w:rPr>
                <w:rFonts w:cs="Times New Roman"/>
              </w:rPr>
            </w:pPr>
            <w:r w:rsidRPr="00C923B1">
              <w:t>Păcură, motorină</w:t>
            </w:r>
          </w:p>
        </w:tc>
        <w:tc>
          <w:tcPr>
            <w:tcW w:w="861" w:type="dxa"/>
            <w:vAlign w:val="center"/>
          </w:tcPr>
          <w:p w:rsidR="001077B8" w:rsidRPr="00C923B1" w:rsidRDefault="001077B8" w:rsidP="008A53A6">
            <w:pPr>
              <w:jc w:val="center"/>
              <w:rPr>
                <w:rFonts w:cs="Times New Roman"/>
              </w:rPr>
            </w:pPr>
            <w:r w:rsidRPr="00C923B1">
              <w:t>42,7</w:t>
            </w:r>
          </w:p>
        </w:tc>
        <w:tc>
          <w:tcPr>
            <w:tcW w:w="788" w:type="dxa"/>
            <w:vAlign w:val="center"/>
          </w:tcPr>
          <w:p w:rsidR="001077B8" w:rsidRPr="00C923B1" w:rsidRDefault="001077B8" w:rsidP="008A53A6">
            <w:pPr>
              <w:jc w:val="center"/>
              <w:rPr>
                <w:rFonts w:cs="Times New Roman"/>
              </w:rPr>
            </w:pPr>
            <w:r w:rsidRPr="00C923B1">
              <w:t>43,1</w:t>
            </w:r>
          </w:p>
        </w:tc>
        <w:tc>
          <w:tcPr>
            <w:tcW w:w="857" w:type="dxa"/>
            <w:vAlign w:val="center"/>
          </w:tcPr>
          <w:p w:rsidR="001077B8" w:rsidRPr="00C923B1" w:rsidRDefault="001077B8" w:rsidP="008A53A6">
            <w:pPr>
              <w:jc w:val="center"/>
              <w:rPr>
                <w:rFonts w:cs="Times New Roman"/>
              </w:rPr>
            </w:pPr>
            <w:r w:rsidRPr="00C923B1">
              <w:t>43,5</w:t>
            </w:r>
          </w:p>
        </w:tc>
        <w:tc>
          <w:tcPr>
            <w:tcW w:w="824" w:type="dxa"/>
            <w:vAlign w:val="center"/>
          </w:tcPr>
          <w:p w:rsidR="001077B8" w:rsidRPr="00C923B1" w:rsidRDefault="001077B8" w:rsidP="008A53A6">
            <w:pPr>
              <w:jc w:val="center"/>
              <w:rPr>
                <w:rFonts w:cs="Times New Roman"/>
              </w:rPr>
            </w:pPr>
            <w:r w:rsidRPr="00C923B1">
              <w:t>43,8</w:t>
            </w:r>
          </w:p>
        </w:tc>
        <w:tc>
          <w:tcPr>
            <w:tcW w:w="825" w:type="dxa"/>
            <w:vAlign w:val="center"/>
          </w:tcPr>
          <w:p w:rsidR="001077B8" w:rsidRPr="00C923B1" w:rsidRDefault="001077B8" w:rsidP="008A53A6">
            <w:pPr>
              <w:jc w:val="center"/>
              <w:rPr>
                <w:rFonts w:cs="Times New Roman"/>
              </w:rPr>
            </w:pPr>
            <w:r w:rsidRPr="00C923B1">
              <w:t>44,0</w:t>
            </w:r>
          </w:p>
        </w:tc>
        <w:tc>
          <w:tcPr>
            <w:tcW w:w="824" w:type="dxa"/>
            <w:vAlign w:val="center"/>
          </w:tcPr>
          <w:p w:rsidR="001077B8" w:rsidRPr="00C923B1" w:rsidRDefault="001077B8" w:rsidP="008A53A6">
            <w:pPr>
              <w:jc w:val="center"/>
              <w:rPr>
                <w:rFonts w:cs="Times New Roman"/>
              </w:rPr>
            </w:pPr>
            <w:r w:rsidRPr="00C923B1">
              <w:t>44,2</w:t>
            </w:r>
          </w:p>
        </w:tc>
        <w:tc>
          <w:tcPr>
            <w:tcW w:w="827" w:type="dxa"/>
            <w:vAlign w:val="center"/>
          </w:tcPr>
          <w:p w:rsidR="001077B8" w:rsidRPr="00C923B1" w:rsidRDefault="001077B8" w:rsidP="008A53A6">
            <w:pPr>
              <w:jc w:val="center"/>
              <w:rPr>
                <w:rFonts w:cs="Times New Roman"/>
              </w:rPr>
            </w:pPr>
            <w:r w:rsidRPr="00C923B1">
              <w:t>44,2</w:t>
            </w:r>
          </w:p>
        </w:tc>
      </w:tr>
      <w:tr w:rsidR="001077B8" w:rsidRPr="00C923B1" w:rsidTr="008A53A6">
        <w:trPr>
          <w:trHeight w:val="535"/>
        </w:trPr>
        <w:tc>
          <w:tcPr>
            <w:tcW w:w="568" w:type="dxa"/>
            <w:vMerge/>
          </w:tcPr>
          <w:p w:rsidR="001077B8" w:rsidRPr="00C923B1" w:rsidRDefault="001077B8" w:rsidP="008A53A6">
            <w:pPr>
              <w:jc w:val="center"/>
              <w:rPr>
                <w:rFonts w:cs="Times New Roman"/>
                <w:b/>
              </w:rPr>
            </w:pPr>
          </w:p>
        </w:tc>
        <w:tc>
          <w:tcPr>
            <w:tcW w:w="3675" w:type="dxa"/>
            <w:vAlign w:val="center"/>
          </w:tcPr>
          <w:p w:rsidR="001077B8" w:rsidRPr="00C923B1" w:rsidRDefault="001077B8" w:rsidP="008A53A6">
            <w:pPr>
              <w:rPr>
                <w:rFonts w:cs="Times New Roman"/>
              </w:rPr>
            </w:pPr>
            <w:r w:rsidRPr="00C923B1">
              <w:t>Biocombustibil</w:t>
            </w:r>
          </w:p>
        </w:tc>
        <w:tc>
          <w:tcPr>
            <w:tcW w:w="861" w:type="dxa"/>
            <w:vAlign w:val="center"/>
          </w:tcPr>
          <w:p w:rsidR="001077B8" w:rsidRPr="00C923B1" w:rsidRDefault="001077B8" w:rsidP="008A53A6">
            <w:pPr>
              <w:jc w:val="center"/>
              <w:rPr>
                <w:rFonts w:cs="Times New Roman"/>
              </w:rPr>
            </w:pPr>
            <w:r w:rsidRPr="00C923B1">
              <w:t>42,7</w:t>
            </w:r>
          </w:p>
        </w:tc>
        <w:tc>
          <w:tcPr>
            <w:tcW w:w="788" w:type="dxa"/>
            <w:vAlign w:val="center"/>
          </w:tcPr>
          <w:p w:rsidR="001077B8" w:rsidRPr="00C923B1" w:rsidRDefault="001077B8" w:rsidP="008A53A6">
            <w:pPr>
              <w:jc w:val="center"/>
              <w:rPr>
                <w:rFonts w:cs="Times New Roman"/>
              </w:rPr>
            </w:pPr>
            <w:r w:rsidRPr="00C923B1">
              <w:t>43,1</w:t>
            </w:r>
          </w:p>
        </w:tc>
        <w:tc>
          <w:tcPr>
            <w:tcW w:w="857" w:type="dxa"/>
            <w:vAlign w:val="center"/>
          </w:tcPr>
          <w:p w:rsidR="001077B8" w:rsidRPr="00C923B1" w:rsidRDefault="001077B8" w:rsidP="008A53A6">
            <w:pPr>
              <w:jc w:val="center"/>
              <w:rPr>
                <w:rFonts w:cs="Times New Roman"/>
              </w:rPr>
            </w:pPr>
            <w:r w:rsidRPr="00C923B1">
              <w:t>43,5</w:t>
            </w:r>
          </w:p>
        </w:tc>
        <w:tc>
          <w:tcPr>
            <w:tcW w:w="824" w:type="dxa"/>
            <w:vAlign w:val="center"/>
          </w:tcPr>
          <w:p w:rsidR="001077B8" w:rsidRPr="00C923B1" w:rsidRDefault="001077B8" w:rsidP="008A53A6">
            <w:pPr>
              <w:jc w:val="center"/>
              <w:rPr>
                <w:rFonts w:cs="Times New Roman"/>
              </w:rPr>
            </w:pPr>
            <w:r w:rsidRPr="00C923B1">
              <w:t>43,8</w:t>
            </w:r>
          </w:p>
        </w:tc>
        <w:tc>
          <w:tcPr>
            <w:tcW w:w="825" w:type="dxa"/>
            <w:vAlign w:val="center"/>
          </w:tcPr>
          <w:p w:rsidR="001077B8" w:rsidRPr="00C923B1" w:rsidRDefault="001077B8" w:rsidP="008A53A6">
            <w:pPr>
              <w:jc w:val="center"/>
              <w:rPr>
                <w:rFonts w:cs="Times New Roman"/>
              </w:rPr>
            </w:pPr>
            <w:r w:rsidRPr="00C923B1">
              <w:t>44,0</w:t>
            </w:r>
          </w:p>
        </w:tc>
        <w:tc>
          <w:tcPr>
            <w:tcW w:w="824" w:type="dxa"/>
            <w:vAlign w:val="center"/>
          </w:tcPr>
          <w:p w:rsidR="001077B8" w:rsidRPr="00C923B1" w:rsidRDefault="001077B8" w:rsidP="008A53A6">
            <w:pPr>
              <w:jc w:val="center"/>
              <w:rPr>
                <w:rFonts w:cs="Times New Roman"/>
              </w:rPr>
            </w:pPr>
            <w:r w:rsidRPr="00C923B1">
              <w:t>44,2</w:t>
            </w:r>
          </w:p>
        </w:tc>
        <w:tc>
          <w:tcPr>
            <w:tcW w:w="827" w:type="dxa"/>
            <w:vAlign w:val="center"/>
          </w:tcPr>
          <w:p w:rsidR="001077B8" w:rsidRPr="00C923B1" w:rsidRDefault="001077B8" w:rsidP="008A53A6">
            <w:pPr>
              <w:jc w:val="center"/>
              <w:rPr>
                <w:rFonts w:cs="Times New Roman"/>
              </w:rPr>
            </w:pPr>
            <w:r w:rsidRPr="00C923B1">
              <w:t>44,2</w:t>
            </w:r>
          </w:p>
        </w:tc>
      </w:tr>
      <w:tr w:rsidR="001077B8" w:rsidRPr="00C923B1" w:rsidTr="008A53A6">
        <w:trPr>
          <w:trHeight w:val="394"/>
        </w:trPr>
        <w:tc>
          <w:tcPr>
            <w:tcW w:w="568" w:type="dxa"/>
            <w:vMerge w:val="restart"/>
            <w:textDirection w:val="btLr"/>
          </w:tcPr>
          <w:p w:rsidR="001077B8" w:rsidRPr="00C923B1" w:rsidRDefault="001077B8" w:rsidP="008A53A6">
            <w:pPr>
              <w:ind w:left="113" w:right="113"/>
              <w:jc w:val="center"/>
              <w:rPr>
                <w:rFonts w:cs="Times New Roman"/>
                <w:b/>
              </w:rPr>
            </w:pPr>
            <w:r w:rsidRPr="00C923B1">
              <w:rPr>
                <w:b/>
              </w:rPr>
              <w:t>Gazos</w:t>
            </w:r>
          </w:p>
        </w:tc>
        <w:tc>
          <w:tcPr>
            <w:tcW w:w="3675" w:type="dxa"/>
            <w:vAlign w:val="center"/>
          </w:tcPr>
          <w:p w:rsidR="001077B8" w:rsidRPr="00C923B1" w:rsidRDefault="001077B8" w:rsidP="008A53A6">
            <w:pPr>
              <w:rPr>
                <w:rFonts w:cs="Times New Roman"/>
              </w:rPr>
            </w:pPr>
            <w:r w:rsidRPr="00C923B1">
              <w:t>Gaz natural</w:t>
            </w:r>
          </w:p>
        </w:tc>
        <w:tc>
          <w:tcPr>
            <w:tcW w:w="861" w:type="dxa"/>
            <w:vAlign w:val="center"/>
          </w:tcPr>
          <w:p w:rsidR="001077B8" w:rsidRPr="00C923B1" w:rsidRDefault="001077B8" w:rsidP="008A53A6">
            <w:pPr>
              <w:jc w:val="center"/>
              <w:rPr>
                <w:rFonts w:cs="Times New Roman"/>
              </w:rPr>
            </w:pPr>
            <w:r w:rsidRPr="00C923B1">
              <w:t>51,7</w:t>
            </w:r>
          </w:p>
        </w:tc>
        <w:tc>
          <w:tcPr>
            <w:tcW w:w="788" w:type="dxa"/>
            <w:vAlign w:val="center"/>
          </w:tcPr>
          <w:p w:rsidR="001077B8" w:rsidRPr="00C923B1" w:rsidRDefault="001077B8" w:rsidP="008A53A6">
            <w:pPr>
              <w:jc w:val="center"/>
              <w:rPr>
                <w:rFonts w:cs="Times New Roman"/>
              </w:rPr>
            </w:pPr>
            <w:r w:rsidRPr="00C923B1">
              <w:t>51,9</w:t>
            </w:r>
          </w:p>
        </w:tc>
        <w:tc>
          <w:tcPr>
            <w:tcW w:w="857" w:type="dxa"/>
            <w:vAlign w:val="center"/>
          </w:tcPr>
          <w:p w:rsidR="001077B8" w:rsidRPr="00C923B1" w:rsidRDefault="001077B8" w:rsidP="008A53A6">
            <w:pPr>
              <w:jc w:val="center"/>
              <w:rPr>
                <w:rFonts w:cs="Times New Roman"/>
              </w:rPr>
            </w:pPr>
            <w:r w:rsidRPr="00C923B1">
              <w:t>52,1</w:t>
            </w:r>
          </w:p>
        </w:tc>
        <w:tc>
          <w:tcPr>
            <w:tcW w:w="824" w:type="dxa"/>
            <w:vAlign w:val="center"/>
          </w:tcPr>
          <w:p w:rsidR="001077B8" w:rsidRPr="00C923B1" w:rsidRDefault="001077B8" w:rsidP="008A53A6">
            <w:pPr>
              <w:jc w:val="center"/>
              <w:rPr>
                <w:rFonts w:cs="Times New Roman"/>
              </w:rPr>
            </w:pPr>
            <w:r w:rsidRPr="00C923B1">
              <w:t>52,3</w:t>
            </w:r>
          </w:p>
        </w:tc>
        <w:tc>
          <w:tcPr>
            <w:tcW w:w="825" w:type="dxa"/>
            <w:vAlign w:val="center"/>
          </w:tcPr>
          <w:p w:rsidR="001077B8" w:rsidRPr="00C923B1" w:rsidRDefault="001077B8" w:rsidP="008A53A6">
            <w:pPr>
              <w:jc w:val="center"/>
              <w:rPr>
                <w:rFonts w:cs="Times New Roman"/>
              </w:rPr>
            </w:pPr>
            <w:r w:rsidRPr="00C923B1">
              <w:t>52,4</w:t>
            </w:r>
          </w:p>
        </w:tc>
        <w:tc>
          <w:tcPr>
            <w:tcW w:w="824" w:type="dxa"/>
            <w:vAlign w:val="center"/>
          </w:tcPr>
          <w:p w:rsidR="001077B8" w:rsidRPr="00C923B1" w:rsidRDefault="001077B8" w:rsidP="008A53A6">
            <w:pPr>
              <w:jc w:val="center"/>
              <w:rPr>
                <w:rFonts w:cs="Times New Roman"/>
              </w:rPr>
            </w:pPr>
            <w:r w:rsidRPr="00C923B1">
              <w:t>52,5</w:t>
            </w:r>
          </w:p>
        </w:tc>
        <w:tc>
          <w:tcPr>
            <w:tcW w:w="827" w:type="dxa"/>
            <w:vAlign w:val="center"/>
          </w:tcPr>
          <w:p w:rsidR="001077B8" w:rsidRPr="00C923B1" w:rsidRDefault="001077B8" w:rsidP="008A53A6">
            <w:pPr>
              <w:jc w:val="center"/>
              <w:rPr>
                <w:rFonts w:cs="Times New Roman"/>
              </w:rPr>
            </w:pPr>
            <w:r w:rsidRPr="00C923B1">
              <w:t>52,5</w:t>
            </w:r>
          </w:p>
        </w:tc>
      </w:tr>
      <w:tr w:rsidR="001077B8" w:rsidRPr="00C923B1" w:rsidTr="008A53A6">
        <w:trPr>
          <w:trHeight w:val="520"/>
        </w:trPr>
        <w:tc>
          <w:tcPr>
            <w:tcW w:w="568" w:type="dxa"/>
            <w:vMerge/>
          </w:tcPr>
          <w:p w:rsidR="001077B8" w:rsidRPr="00C923B1" w:rsidRDefault="001077B8" w:rsidP="008A53A6">
            <w:pPr>
              <w:jc w:val="center"/>
              <w:rPr>
                <w:rFonts w:cs="Times New Roman"/>
              </w:rPr>
            </w:pPr>
          </w:p>
        </w:tc>
        <w:tc>
          <w:tcPr>
            <w:tcW w:w="3675" w:type="dxa"/>
            <w:vAlign w:val="center"/>
          </w:tcPr>
          <w:p w:rsidR="001077B8" w:rsidRPr="00C923B1" w:rsidRDefault="001077B8" w:rsidP="008A53A6">
            <w:pPr>
              <w:rPr>
                <w:rFonts w:cs="Times New Roman"/>
              </w:rPr>
            </w:pPr>
            <w:r w:rsidRPr="00C923B1">
              <w:t>Biogaz</w:t>
            </w:r>
          </w:p>
        </w:tc>
        <w:tc>
          <w:tcPr>
            <w:tcW w:w="861" w:type="dxa"/>
            <w:vAlign w:val="center"/>
          </w:tcPr>
          <w:p w:rsidR="001077B8" w:rsidRPr="00C923B1" w:rsidRDefault="001077B8" w:rsidP="008A53A6">
            <w:pPr>
              <w:jc w:val="center"/>
              <w:rPr>
                <w:rFonts w:cs="Times New Roman"/>
              </w:rPr>
            </w:pPr>
            <w:r w:rsidRPr="00C923B1">
              <w:t>40,1</w:t>
            </w:r>
          </w:p>
        </w:tc>
        <w:tc>
          <w:tcPr>
            <w:tcW w:w="788" w:type="dxa"/>
            <w:vAlign w:val="center"/>
          </w:tcPr>
          <w:p w:rsidR="001077B8" w:rsidRPr="00C923B1" w:rsidRDefault="001077B8" w:rsidP="008A53A6">
            <w:pPr>
              <w:jc w:val="center"/>
              <w:rPr>
                <w:rFonts w:cs="Times New Roman"/>
              </w:rPr>
            </w:pPr>
            <w:r w:rsidRPr="00C923B1">
              <w:t>40,6</w:t>
            </w:r>
          </w:p>
        </w:tc>
        <w:tc>
          <w:tcPr>
            <w:tcW w:w="857" w:type="dxa"/>
            <w:vAlign w:val="center"/>
          </w:tcPr>
          <w:p w:rsidR="001077B8" w:rsidRPr="00C923B1" w:rsidRDefault="001077B8" w:rsidP="008A53A6">
            <w:pPr>
              <w:jc w:val="center"/>
              <w:rPr>
                <w:rFonts w:cs="Times New Roman"/>
              </w:rPr>
            </w:pPr>
            <w:r w:rsidRPr="00C923B1">
              <w:t>41,0</w:t>
            </w:r>
          </w:p>
        </w:tc>
        <w:tc>
          <w:tcPr>
            <w:tcW w:w="824" w:type="dxa"/>
            <w:vAlign w:val="center"/>
          </w:tcPr>
          <w:p w:rsidR="001077B8" w:rsidRPr="00C923B1" w:rsidRDefault="001077B8" w:rsidP="008A53A6">
            <w:pPr>
              <w:jc w:val="center"/>
              <w:rPr>
                <w:rFonts w:cs="Times New Roman"/>
              </w:rPr>
            </w:pPr>
            <w:r w:rsidRPr="00C923B1">
              <w:t>41,4</w:t>
            </w:r>
          </w:p>
        </w:tc>
        <w:tc>
          <w:tcPr>
            <w:tcW w:w="825" w:type="dxa"/>
            <w:vAlign w:val="center"/>
          </w:tcPr>
          <w:p w:rsidR="001077B8" w:rsidRPr="00C923B1" w:rsidRDefault="001077B8" w:rsidP="008A53A6">
            <w:pPr>
              <w:jc w:val="center"/>
              <w:rPr>
                <w:rFonts w:cs="Times New Roman"/>
              </w:rPr>
            </w:pPr>
            <w:r w:rsidRPr="00C923B1">
              <w:t>41,7</w:t>
            </w:r>
          </w:p>
        </w:tc>
        <w:tc>
          <w:tcPr>
            <w:tcW w:w="824" w:type="dxa"/>
            <w:vAlign w:val="center"/>
          </w:tcPr>
          <w:p w:rsidR="001077B8" w:rsidRPr="00C923B1" w:rsidRDefault="001077B8" w:rsidP="008A53A6">
            <w:pPr>
              <w:jc w:val="center"/>
              <w:rPr>
                <w:rFonts w:cs="Times New Roman"/>
              </w:rPr>
            </w:pPr>
            <w:r w:rsidRPr="00C923B1">
              <w:t>42,0</w:t>
            </w:r>
          </w:p>
        </w:tc>
        <w:tc>
          <w:tcPr>
            <w:tcW w:w="827" w:type="dxa"/>
            <w:vAlign w:val="center"/>
          </w:tcPr>
          <w:p w:rsidR="001077B8" w:rsidRPr="00C923B1" w:rsidRDefault="001077B8" w:rsidP="008A53A6">
            <w:pPr>
              <w:jc w:val="center"/>
              <w:rPr>
                <w:rFonts w:cs="Times New Roman"/>
              </w:rPr>
            </w:pPr>
            <w:r w:rsidRPr="00C923B1">
              <w:t>42,0</w:t>
            </w:r>
          </w:p>
        </w:tc>
      </w:tr>
    </w:tbl>
    <w:p w:rsidR="001077B8" w:rsidRPr="00C923B1" w:rsidRDefault="001077B8" w:rsidP="001077B8">
      <w:pPr>
        <w:ind w:left="-426" w:firstLine="1134"/>
        <w:jc w:val="both"/>
        <w:rPr>
          <w:sz w:val="12"/>
        </w:rPr>
      </w:pPr>
    </w:p>
    <w:p w:rsidR="001077B8" w:rsidRDefault="001077B8" w:rsidP="005F7275">
      <w:pPr>
        <w:spacing w:after="120"/>
        <w:ind w:left="-425"/>
        <w:jc w:val="both"/>
      </w:pPr>
      <w:r w:rsidRPr="007C3FF8">
        <w:t>* Notă: În tabel valorile de referință armonizate ale eficienței producerii separate de energie electrică au la bază puterea calorifică inferioară a combustibilului și condițiile standard (15</w:t>
      </w:r>
      <w:r w:rsidRPr="00C923B1">
        <w:t xml:space="preserve"> </w:t>
      </w:r>
      <w:r w:rsidRPr="007C3FF8">
        <w:t>°C temperatura exterioară, 1,013 bar, 60</w:t>
      </w:r>
      <w:r w:rsidRPr="00C923B1">
        <w:t xml:space="preserve"> </w:t>
      </w:r>
      <w:r w:rsidRPr="007C3FF8">
        <w:t>% umiditate relativă)</w:t>
      </w:r>
      <w:r w:rsidRPr="00C923B1">
        <w:t>.</w:t>
      </w:r>
    </w:p>
    <w:p w:rsidR="001077B8" w:rsidRDefault="005F7275" w:rsidP="0031578A">
      <w:pPr>
        <w:spacing w:after="240"/>
        <w:ind w:left="-425"/>
        <w:jc w:val="both"/>
      </w:pPr>
      <w:r w:rsidRPr="00C923B1">
        <w:rPr>
          <w:b/>
        </w:rPr>
        <w:t>**</w:t>
      </w:r>
      <w:r>
        <w:rPr>
          <w:b/>
        </w:rPr>
        <w:t xml:space="preserve"> </w:t>
      </w:r>
      <w:r w:rsidRPr="007C3FF8">
        <w:t>Notă:</w:t>
      </w:r>
      <w:r>
        <w:t xml:space="preserve"> În cazul în care condițiile standard menționate mai sus nu corespund cu condițiile utilizate pe </w:t>
      </w:r>
      <w:r w:rsidR="003B286C">
        <w:t>teritoriul Republicii Moldova, valoarea eficienței urmează a fi recalculată.</w:t>
      </w:r>
    </w:p>
    <w:p w:rsidR="001077B8" w:rsidRDefault="001077B8" w:rsidP="001077B8">
      <w:pPr>
        <w:ind w:left="-426"/>
        <w:jc w:val="both"/>
        <w:rPr>
          <w:rFonts w:cs="EUAlbertina"/>
          <w:color w:val="000000"/>
          <w:sz w:val="19"/>
          <w:szCs w:val="19"/>
          <w:lang w:val="en-US"/>
        </w:rPr>
      </w:pPr>
      <w:r w:rsidRPr="00CD0E9E">
        <w:rPr>
          <w:sz w:val="28"/>
          <w:szCs w:val="28"/>
        </w:rPr>
        <w:t>3.</w:t>
      </w:r>
      <w:r>
        <w:t xml:space="preserve"> </w:t>
      </w:r>
      <w:proofErr w:type="spellStart"/>
      <w:r w:rsidRPr="001077B8">
        <w:rPr>
          <w:sz w:val="28"/>
          <w:szCs w:val="28"/>
          <w:lang w:val="en-US"/>
        </w:rPr>
        <w:t>Pentru</w:t>
      </w:r>
      <w:proofErr w:type="spellEnd"/>
      <w:r w:rsidRPr="001077B8">
        <w:rPr>
          <w:sz w:val="28"/>
          <w:szCs w:val="28"/>
          <w:lang w:val="en-US"/>
        </w:rPr>
        <w:t xml:space="preserve"> o </w:t>
      </w:r>
      <w:proofErr w:type="spellStart"/>
      <w:r w:rsidRPr="001077B8">
        <w:rPr>
          <w:sz w:val="28"/>
          <w:szCs w:val="28"/>
          <w:lang w:val="en-US"/>
        </w:rPr>
        <w:t>unitate</w:t>
      </w:r>
      <w:proofErr w:type="spellEnd"/>
      <w:r w:rsidRPr="001077B8">
        <w:rPr>
          <w:sz w:val="28"/>
          <w:szCs w:val="28"/>
          <w:lang w:val="en-US"/>
        </w:rPr>
        <w:t xml:space="preserve"> de </w:t>
      </w:r>
      <w:proofErr w:type="spellStart"/>
      <w:r w:rsidRPr="001077B8">
        <w:rPr>
          <w:sz w:val="28"/>
          <w:szCs w:val="28"/>
          <w:lang w:val="en-US"/>
        </w:rPr>
        <w:t>cogenerare</w:t>
      </w:r>
      <w:proofErr w:type="spellEnd"/>
      <w:r w:rsidRPr="001077B8">
        <w:rPr>
          <w:sz w:val="28"/>
          <w:szCs w:val="28"/>
          <w:lang w:val="en-US"/>
        </w:rPr>
        <w:t xml:space="preserve">, </w:t>
      </w:r>
      <w:proofErr w:type="spellStart"/>
      <w:r w:rsidRPr="001077B8">
        <w:rPr>
          <w:sz w:val="28"/>
          <w:szCs w:val="28"/>
          <w:lang w:val="en-US"/>
        </w:rPr>
        <w:t>valorile</w:t>
      </w:r>
      <w:proofErr w:type="spellEnd"/>
      <w:r w:rsidRPr="001077B8">
        <w:rPr>
          <w:sz w:val="28"/>
          <w:szCs w:val="28"/>
          <w:lang w:val="en-US"/>
        </w:rPr>
        <w:t xml:space="preserve"> de </w:t>
      </w:r>
      <w:proofErr w:type="spellStart"/>
      <w:r w:rsidRPr="001077B8">
        <w:rPr>
          <w:sz w:val="28"/>
          <w:szCs w:val="28"/>
          <w:lang w:val="en-US"/>
        </w:rPr>
        <w:t>referinţă</w:t>
      </w:r>
      <w:proofErr w:type="spellEnd"/>
      <w:r w:rsidRPr="001077B8">
        <w:rPr>
          <w:sz w:val="28"/>
          <w:szCs w:val="28"/>
          <w:lang w:val="en-US"/>
        </w:rPr>
        <w:t xml:space="preserve"> </w:t>
      </w:r>
      <w:proofErr w:type="spellStart"/>
      <w:r w:rsidRPr="001077B8">
        <w:rPr>
          <w:sz w:val="28"/>
          <w:szCs w:val="28"/>
          <w:lang w:val="en-US"/>
        </w:rPr>
        <w:t>pentru</w:t>
      </w:r>
      <w:proofErr w:type="spellEnd"/>
      <w:r w:rsidRPr="001077B8">
        <w:rPr>
          <w:sz w:val="28"/>
          <w:szCs w:val="28"/>
          <w:lang w:val="en-US"/>
        </w:rPr>
        <w:t xml:space="preserve"> </w:t>
      </w:r>
      <w:proofErr w:type="spellStart"/>
      <w:r w:rsidRPr="001077B8">
        <w:rPr>
          <w:sz w:val="28"/>
          <w:szCs w:val="28"/>
          <w:lang w:val="en-US"/>
        </w:rPr>
        <w:t>producerea</w:t>
      </w:r>
      <w:proofErr w:type="spellEnd"/>
      <w:r w:rsidRPr="001077B8">
        <w:rPr>
          <w:sz w:val="28"/>
          <w:szCs w:val="28"/>
          <w:lang w:val="en-US"/>
        </w:rPr>
        <w:t xml:space="preserve"> </w:t>
      </w:r>
      <w:proofErr w:type="spellStart"/>
      <w:r w:rsidRPr="001077B8">
        <w:rPr>
          <w:sz w:val="28"/>
          <w:szCs w:val="28"/>
          <w:lang w:val="en-US"/>
        </w:rPr>
        <w:t>separată</w:t>
      </w:r>
      <w:proofErr w:type="spellEnd"/>
      <w:r w:rsidRPr="001077B8">
        <w:rPr>
          <w:sz w:val="28"/>
          <w:szCs w:val="28"/>
          <w:lang w:val="en-US"/>
        </w:rPr>
        <w:t xml:space="preserve"> de </w:t>
      </w:r>
      <w:proofErr w:type="spellStart"/>
      <w:r w:rsidRPr="001077B8">
        <w:rPr>
          <w:sz w:val="28"/>
          <w:szCs w:val="28"/>
          <w:lang w:val="en-US"/>
        </w:rPr>
        <w:t>energie</w:t>
      </w:r>
      <w:proofErr w:type="spellEnd"/>
      <w:r w:rsidRPr="001077B8">
        <w:rPr>
          <w:sz w:val="28"/>
          <w:szCs w:val="28"/>
          <w:lang w:val="en-US"/>
        </w:rPr>
        <w:t xml:space="preserve"> </w:t>
      </w:r>
      <w:proofErr w:type="spellStart"/>
      <w:r w:rsidRPr="001077B8">
        <w:rPr>
          <w:sz w:val="28"/>
          <w:szCs w:val="28"/>
          <w:lang w:val="en-US"/>
        </w:rPr>
        <w:t>electrică</w:t>
      </w:r>
      <w:proofErr w:type="spellEnd"/>
      <w:r w:rsidRPr="001077B8">
        <w:rPr>
          <w:sz w:val="28"/>
          <w:szCs w:val="28"/>
          <w:lang w:val="en-US"/>
        </w:rPr>
        <w:t xml:space="preserve"> se </w:t>
      </w:r>
      <w:proofErr w:type="spellStart"/>
      <w:r w:rsidRPr="001077B8">
        <w:rPr>
          <w:sz w:val="28"/>
          <w:szCs w:val="28"/>
          <w:lang w:val="en-US"/>
        </w:rPr>
        <w:t>stabilesc</w:t>
      </w:r>
      <w:proofErr w:type="spellEnd"/>
      <w:r w:rsidRPr="001077B8">
        <w:rPr>
          <w:sz w:val="28"/>
          <w:szCs w:val="28"/>
          <w:lang w:val="en-US"/>
        </w:rPr>
        <w:t xml:space="preserve"> </w:t>
      </w:r>
      <w:proofErr w:type="spellStart"/>
      <w:r w:rsidRPr="001077B8">
        <w:rPr>
          <w:sz w:val="28"/>
          <w:szCs w:val="28"/>
          <w:lang w:val="en-US"/>
        </w:rPr>
        <w:t>în</w:t>
      </w:r>
      <w:proofErr w:type="spellEnd"/>
      <w:r w:rsidRPr="001077B8">
        <w:rPr>
          <w:sz w:val="28"/>
          <w:szCs w:val="28"/>
          <w:lang w:val="en-US"/>
        </w:rPr>
        <w:t xml:space="preserve"> </w:t>
      </w:r>
      <w:proofErr w:type="spellStart"/>
      <w:r w:rsidRPr="001077B8">
        <w:rPr>
          <w:sz w:val="28"/>
          <w:szCs w:val="28"/>
          <w:lang w:val="en-US"/>
        </w:rPr>
        <w:t>funcţie</w:t>
      </w:r>
      <w:proofErr w:type="spellEnd"/>
      <w:r w:rsidRPr="001077B8">
        <w:rPr>
          <w:sz w:val="28"/>
          <w:szCs w:val="28"/>
          <w:lang w:val="en-US"/>
        </w:rPr>
        <w:t xml:space="preserve"> de </w:t>
      </w:r>
      <w:proofErr w:type="spellStart"/>
      <w:r w:rsidRPr="001077B8">
        <w:rPr>
          <w:sz w:val="28"/>
          <w:szCs w:val="28"/>
          <w:lang w:val="en-US"/>
        </w:rPr>
        <w:t>anul</w:t>
      </w:r>
      <w:proofErr w:type="spellEnd"/>
      <w:r w:rsidRPr="001077B8">
        <w:rPr>
          <w:sz w:val="28"/>
          <w:szCs w:val="28"/>
          <w:lang w:val="en-US"/>
        </w:rPr>
        <w:t xml:space="preserve"> de </w:t>
      </w:r>
      <w:proofErr w:type="spellStart"/>
      <w:r w:rsidRPr="001077B8">
        <w:rPr>
          <w:sz w:val="28"/>
          <w:szCs w:val="28"/>
          <w:lang w:val="en-US"/>
        </w:rPr>
        <w:t>punere</w:t>
      </w:r>
      <w:proofErr w:type="spellEnd"/>
      <w:r w:rsidRPr="001077B8">
        <w:rPr>
          <w:sz w:val="28"/>
          <w:szCs w:val="28"/>
          <w:lang w:val="en-US"/>
        </w:rPr>
        <w:t xml:space="preserve"> </w:t>
      </w:r>
      <w:proofErr w:type="spellStart"/>
      <w:r w:rsidRPr="001077B8">
        <w:rPr>
          <w:sz w:val="28"/>
          <w:szCs w:val="28"/>
          <w:lang w:val="en-US"/>
        </w:rPr>
        <w:t>în</w:t>
      </w:r>
      <w:proofErr w:type="spellEnd"/>
      <w:r w:rsidRPr="001077B8">
        <w:rPr>
          <w:sz w:val="28"/>
          <w:szCs w:val="28"/>
          <w:lang w:val="en-US"/>
        </w:rPr>
        <w:t xml:space="preserve"> </w:t>
      </w:r>
      <w:proofErr w:type="spellStart"/>
      <w:r w:rsidRPr="001077B8">
        <w:rPr>
          <w:sz w:val="28"/>
          <w:szCs w:val="28"/>
          <w:lang w:val="en-US"/>
        </w:rPr>
        <w:t>funcţiune</w:t>
      </w:r>
      <w:proofErr w:type="spellEnd"/>
      <w:r w:rsidRPr="001077B8">
        <w:rPr>
          <w:sz w:val="28"/>
          <w:szCs w:val="28"/>
          <w:lang w:val="en-US"/>
        </w:rPr>
        <w:t xml:space="preserve"> </w:t>
      </w:r>
      <w:proofErr w:type="gramStart"/>
      <w:r w:rsidRPr="001077B8">
        <w:rPr>
          <w:sz w:val="28"/>
          <w:szCs w:val="28"/>
          <w:lang w:val="en-US"/>
        </w:rPr>
        <w:t>a</w:t>
      </w:r>
      <w:proofErr w:type="gramEnd"/>
      <w:r w:rsidRPr="001077B8">
        <w:rPr>
          <w:sz w:val="28"/>
          <w:szCs w:val="28"/>
          <w:lang w:val="en-US"/>
        </w:rPr>
        <w:t xml:space="preserve"> </w:t>
      </w:r>
      <w:proofErr w:type="spellStart"/>
      <w:r w:rsidRPr="001077B8">
        <w:rPr>
          <w:sz w:val="28"/>
          <w:szCs w:val="28"/>
          <w:lang w:val="en-US"/>
        </w:rPr>
        <w:t>acesteia</w:t>
      </w:r>
      <w:proofErr w:type="spellEnd"/>
      <w:r w:rsidRPr="001077B8">
        <w:rPr>
          <w:sz w:val="28"/>
          <w:szCs w:val="28"/>
          <w:lang w:val="en-US"/>
        </w:rPr>
        <w:t>.</w:t>
      </w:r>
      <w:r>
        <w:rPr>
          <w:sz w:val="28"/>
          <w:szCs w:val="28"/>
          <w:lang w:val="en-US"/>
        </w:rPr>
        <w:t xml:space="preserve"> </w:t>
      </w:r>
      <w:proofErr w:type="spellStart"/>
      <w:proofErr w:type="gramStart"/>
      <w:r w:rsidRPr="001077B8">
        <w:rPr>
          <w:rFonts w:cs="EUAlbertina"/>
          <w:color w:val="000000"/>
          <w:sz w:val="28"/>
          <w:szCs w:val="28"/>
          <w:lang w:val="en-US"/>
        </w:rPr>
        <w:t>Aceste</w:t>
      </w:r>
      <w:proofErr w:type="spellEnd"/>
      <w:r w:rsidRPr="001077B8">
        <w:rPr>
          <w:rFonts w:cs="EUAlbertina"/>
          <w:color w:val="000000"/>
          <w:sz w:val="28"/>
          <w:szCs w:val="28"/>
          <w:lang w:val="en-US"/>
        </w:rPr>
        <w:t xml:space="preserve"> </w:t>
      </w:r>
      <w:proofErr w:type="spellStart"/>
      <w:r w:rsidRPr="001077B8">
        <w:rPr>
          <w:rFonts w:cs="EUAlbertina"/>
          <w:color w:val="000000"/>
          <w:sz w:val="28"/>
          <w:szCs w:val="28"/>
          <w:lang w:val="en-US"/>
        </w:rPr>
        <w:t>valori</w:t>
      </w:r>
      <w:proofErr w:type="spellEnd"/>
      <w:r w:rsidRPr="001077B8">
        <w:rPr>
          <w:rFonts w:cs="EUAlbertina"/>
          <w:color w:val="000000"/>
          <w:sz w:val="28"/>
          <w:szCs w:val="28"/>
          <w:lang w:val="en-US"/>
        </w:rPr>
        <w:t xml:space="preserve"> de </w:t>
      </w:r>
      <w:proofErr w:type="spellStart"/>
      <w:r w:rsidRPr="001077B8">
        <w:rPr>
          <w:rFonts w:cs="EUAlbertina"/>
          <w:color w:val="000000"/>
          <w:sz w:val="28"/>
          <w:szCs w:val="28"/>
          <w:lang w:val="en-US"/>
        </w:rPr>
        <w:t>referință</w:t>
      </w:r>
      <w:proofErr w:type="spellEnd"/>
      <w:r w:rsidRPr="001077B8">
        <w:rPr>
          <w:rFonts w:cs="EUAlbertina"/>
          <w:color w:val="000000"/>
          <w:sz w:val="28"/>
          <w:szCs w:val="28"/>
          <w:lang w:val="en-US"/>
        </w:rPr>
        <w:t xml:space="preserve"> </w:t>
      </w:r>
      <w:proofErr w:type="spellStart"/>
      <w:r w:rsidRPr="001077B8">
        <w:rPr>
          <w:rFonts w:cs="EUAlbertina"/>
          <w:color w:val="000000"/>
          <w:sz w:val="28"/>
          <w:szCs w:val="28"/>
          <w:lang w:val="en-US"/>
        </w:rPr>
        <w:t>armonizate</w:t>
      </w:r>
      <w:proofErr w:type="spellEnd"/>
      <w:r w:rsidRPr="001077B8">
        <w:rPr>
          <w:rFonts w:cs="EUAlbertina"/>
          <w:color w:val="000000"/>
          <w:sz w:val="28"/>
          <w:szCs w:val="28"/>
          <w:lang w:val="en-US"/>
        </w:rPr>
        <w:t xml:space="preserve"> ale </w:t>
      </w:r>
      <w:proofErr w:type="spellStart"/>
      <w:r w:rsidRPr="001077B8">
        <w:rPr>
          <w:rFonts w:cs="EUAlbertina"/>
          <w:color w:val="000000"/>
          <w:sz w:val="28"/>
          <w:szCs w:val="28"/>
          <w:lang w:val="en-US"/>
        </w:rPr>
        <w:t>randamentului</w:t>
      </w:r>
      <w:proofErr w:type="spellEnd"/>
      <w:r w:rsidRPr="001077B8">
        <w:rPr>
          <w:rFonts w:cs="EUAlbertina"/>
          <w:color w:val="000000"/>
          <w:sz w:val="28"/>
          <w:szCs w:val="28"/>
          <w:lang w:val="en-US"/>
        </w:rPr>
        <w:t xml:space="preserve"> se </w:t>
      </w:r>
      <w:proofErr w:type="spellStart"/>
      <w:r w:rsidRPr="001077B8">
        <w:rPr>
          <w:rFonts w:cs="EUAlbertina"/>
          <w:color w:val="000000"/>
          <w:sz w:val="28"/>
          <w:szCs w:val="28"/>
          <w:lang w:val="en-US"/>
        </w:rPr>
        <w:t>aplică</w:t>
      </w:r>
      <w:proofErr w:type="spellEnd"/>
      <w:r w:rsidRPr="001077B8">
        <w:rPr>
          <w:rFonts w:cs="EUAlbertina"/>
          <w:color w:val="000000"/>
          <w:sz w:val="28"/>
          <w:szCs w:val="28"/>
          <w:lang w:val="en-US"/>
        </w:rPr>
        <w:t xml:space="preserve"> </w:t>
      </w:r>
      <w:proofErr w:type="spellStart"/>
      <w:r w:rsidRPr="001077B8">
        <w:rPr>
          <w:rFonts w:cs="EUAlbertina"/>
          <w:color w:val="000000"/>
          <w:sz w:val="28"/>
          <w:szCs w:val="28"/>
          <w:lang w:val="en-US"/>
        </w:rPr>
        <w:t>timp</w:t>
      </w:r>
      <w:proofErr w:type="spellEnd"/>
      <w:r w:rsidRPr="001077B8">
        <w:rPr>
          <w:rFonts w:cs="EUAlbertina"/>
          <w:color w:val="000000"/>
          <w:sz w:val="28"/>
          <w:szCs w:val="28"/>
          <w:lang w:val="en-US"/>
        </w:rPr>
        <w:t xml:space="preserve"> de 10 </w:t>
      </w:r>
      <w:proofErr w:type="spellStart"/>
      <w:r w:rsidRPr="001077B8">
        <w:rPr>
          <w:rFonts w:cs="EUAlbertina"/>
          <w:color w:val="000000"/>
          <w:sz w:val="28"/>
          <w:szCs w:val="28"/>
          <w:lang w:val="en-US"/>
        </w:rPr>
        <w:t>ani</w:t>
      </w:r>
      <w:proofErr w:type="spellEnd"/>
      <w:r w:rsidRPr="001077B8">
        <w:rPr>
          <w:rFonts w:cs="EUAlbertina"/>
          <w:color w:val="000000"/>
          <w:sz w:val="28"/>
          <w:szCs w:val="28"/>
          <w:lang w:val="en-US"/>
        </w:rPr>
        <w:t xml:space="preserve"> </w:t>
      </w:r>
      <w:proofErr w:type="spellStart"/>
      <w:r w:rsidRPr="001077B8">
        <w:rPr>
          <w:rFonts w:cs="EUAlbertina"/>
          <w:color w:val="000000"/>
          <w:sz w:val="28"/>
          <w:szCs w:val="28"/>
          <w:lang w:val="en-US"/>
        </w:rPr>
        <w:t>după</w:t>
      </w:r>
      <w:proofErr w:type="spellEnd"/>
      <w:r w:rsidRPr="001077B8">
        <w:rPr>
          <w:rFonts w:cs="EUAlbertina"/>
          <w:color w:val="000000"/>
          <w:sz w:val="28"/>
          <w:szCs w:val="28"/>
          <w:lang w:val="en-US"/>
        </w:rPr>
        <w:t xml:space="preserve"> </w:t>
      </w:r>
      <w:proofErr w:type="spellStart"/>
      <w:r w:rsidRPr="001077B8">
        <w:rPr>
          <w:rFonts w:cs="EUAlbertina"/>
          <w:color w:val="000000"/>
          <w:sz w:val="28"/>
          <w:szCs w:val="28"/>
          <w:lang w:val="en-US"/>
        </w:rPr>
        <w:t>anul</w:t>
      </w:r>
      <w:proofErr w:type="spellEnd"/>
      <w:r w:rsidRPr="001077B8">
        <w:rPr>
          <w:rFonts w:cs="EUAlbertina"/>
          <w:color w:val="000000"/>
          <w:sz w:val="28"/>
          <w:szCs w:val="28"/>
          <w:lang w:val="en-US"/>
        </w:rPr>
        <w:t xml:space="preserve"> </w:t>
      </w:r>
      <w:proofErr w:type="spellStart"/>
      <w:r w:rsidRPr="001077B8">
        <w:rPr>
          <w:rFonts w:cs="EUAlbertina"/>
          <w:color w:val="000000"/>
          <w:sz w:val="28"/>
          <w:szCs w:val="28"/>
          <w:lang w:val="en-US"/>
        </w:rPr>
        <w:t>construcției</w:t>
      </w:r>
      <w:proofErr w:type="spellEnd"/>
      <w:r w:rsidRPr="001077B8">
        <w:rPr>
          <w:rFonts w:cs="EUAlbertina"/>
          <w:color w:val="000000"/>
          <w:sz w:val="28"/>
          <w:szCs w:val="28"/>
          <w:lang w:val="en-US"/>
        </w:rPr>
        <w:t xml:space="preserve"> </w:t>
      </w:r>
      <w:proofErr w:type="spellStart"/>
      <w:r w:rsidRPr="001077B8">
        <w:rPr>
          <w:rFonts w:cs="EUAlbertina"/>
          <w:color w:val="000000"/>
          <w:sz w:val="28"/>
          <w:szCs w:val="28"/>
          <w:lang w:val="en-US"/>
        </w:rPr>
        <w:t>unei</w:t>
      </w:r>
      <w:proofErr w:type="spellEnd"/>
      <w:r w:rsidRPr="001077B8">
        <w:rPr>
          <w:rFonts w:cs="EUAlbertina"/>
          <w:color w:val="000000"/>
          <w:sz w:val="28"/>
          <w:szCs w:val="28"/>
          <w:lang w:val="en-US"/>
        </w:rPr>
        <w:t xml:space="preserve"> </w:t>
      </w:r>
      <w:proofErr w:type="spellStart"/>
      <w:r w:rsidRPr="001077B8">
        <w:rPr>
          <w:rFonts w:cs="EUAlbertina"/>
          <w:color w:val="000000"/>
          <w:sz w:val="28"/>
          <w:szCs w:val="28"/>
          <w:lang w:val="en-US"/>
        </w:rPr>
        <w:t>unități</w:t>
      </w:r>
      <w:proofErr w:type="spellEnd"/>
      <w:r w:rsidRPr="001077B8">
        <w:rPr>
          <w:rFonts w:cs="EUAlbertina"/>
          <w:color w:val="000000"/>
          <w:sz w:val="28"/>
          <w:szCs w:val="28"/>
          <w:lang w:val="en-US"/>
        </w:rPr>
        <w:t xml:space="preserve"> de </w:t>
      </w:r>
      <w:proofErr w:type="spellStart"/>
      <w:r w:rsidRPr="001077B8">
        <w:rPr>
          <w:rFonts w:cs="EUAlbertina"/>
          <w:color w:val="000000"/>
          <w:sz w:val="28"/>
          <w:szCs w:val="28"/>
          <w:lang w:val="en-US"/>
        </w:rPr>
        <w:t>cogenerare</w:t>
      </w:r>
      <w:proofErr w:type="spellEnd"/>
      <w:r w:rsidRPr="001077B8">
        <w:rPr>
          <w:rFonts w:cs="EUAlbertina"/>
          <w:color w:val="000000"/>
          <w:sz w:val="28"/>
          <w:szCs w:val="28"/>
          <w:lang w:val="en-US"/>
        </w:rPr>
        <w:t>.</w:t>
      </w:r>
      <w:proofErr w:type="gramEnd"/>
      <w:r w:rsidRPr="001077B8">
        <w:rPr>
          <w:rFonts w:cs="EUAlbertina"/>
          <w:color w:val="000000"/>
          <w:sz w:val="19"/>
          <w:szCs w:val="19"/>
          <w:lang w:val="en-US"/>
        </w:rPr>
        <w:t xml:space="preserve"> </w:t>
      </w:r>
    </w:p>
    <w:p w:rsidR="001077B8" w:rsidRPr="001077B8" w:rsidRDefault="001077B8" w:rsidP="001077B8">
      <w:pPr>
        <w:ind w:left="-426"/>
        <w:jc w:val="both"/>
      </w:pPr>
    </w:p>
    <w:p w:rsidR="001077B8" w:rsidRPr="000B0F18" w:rsidRDefault="001077B8" w:rsidP="00DD6748">
      <w:pPr>
        <w:pStyle w:val="NormalWeb"/>
        <w:spacing w:after="120" w:line="276" w:lineRule="auto"/>
        <w:ind w:left="-499" w:firstLine="0"/>
        <w:rPr>
          <w:sz w:val="28"/>
          <w:szCs w:val="28"/>
        </w:rPr>
      </w:pPr>
      <w:r w:rsidRPr="00C923B1">
        <w:rPr>
          <w:sz w:val="28"/>
          <w:szCs w:val="28"/>
        </w:rPr>
        <w:t xml:space="preserve">4. </w:t>
      </w:r>
      <w:r w:rsidR="000B0F18" w:rsidRPr="000B0F18">
        <w:rPr>
          <w:sz w:val="28"/>
          <w:szCs w:val="28"/>
        </w:rPr>
        <w:t>Î</w:t>
      </w:r>
      <w:proofErr w:type="spellStart"/>
      <w:r w:rsidRPr="000B0F18">
        <w:rPr>
          <w:sz w:val="28"/>
          <w:szCs w:val="28"/>
          <w:lang w:val="en-US"/>
        </w:rPr>
        <w:t>ncepînd</w:t>
      </w:r>
      <w:proofErr w:type="spellEnd"/>
      <w:r w:rsidRPr="000B0F18">
        <w:rPr>
          <w:sz w:val="28"/>
          <w:szCs w:val="28"/>
          <w:lang w:val="en-US"/>
        </w:rPr>
        <w:t xml:space="preserve"> cu al </w:t>
      </w:r>
      <w:proofErr w:type="spellStart"/>
      <w:r w:rsidRPr="000B0F18">
        <w:rPr>
          <w:sz w:val="28"/>
          <w:szCs w:val="28"/>
          <w:lang w:val="en-US"/>
        </w:rPr>
        <w:t>unsprezecelea</w:t>
      </w:r>
      <w:proofErr w:type="spellEnd"/>
      <w:r w:rsidRPr="000B0F18">
        <w:rPr>
          <w:sz w:val="28"/>
          <w:szCs w:val="28"/>
          <w:lang w:val="en-US"/>
        </w:rPr>
        <w:t xml:space="preserve"> an de la </w:t>
      </w:r>
      <w:proofErr w:type="spellStart"/>
      <w:r w:rsidR="00DD6748" w:rsidRPr="001077B8">
        <w:rPr>
          <w:sz w:val="28"/>
          <w:szCs w:val="28"/>
          <w:lang w:val="en-US"/>
        </w:rPr>
        <w:t>anul</w:t>
      </w:r>
      <w:proofErr w:type="spellEnd"/>
      <w:r w:rsidR="00DD6748" w:rsidRPr="001077B8">
        <w:rPr>
          <w:sz w:val="28"/>
          <w:szCs w:val="28"/>
          <w:lang w:val="en-US"/>
        </w:rPr>
        <w:t xml:space="preserve"> de </w:t>
      </w:r>
      <w:proofErr w:type="spellStart"/>
      <w:r w:rsidR="00DD6748" w:rsidRPr="001077B8">
        <w:rPr>
          <w:sz w:val="28"/>
          <w:szCs w:val="28"/>
          <w:lang w:val="en-US"/>
        </w:rPr>
        <w:t>punere</w:t>
      </w:r>
      <w:proofErr w:type="spellEnd"/>
      <w:r w:rsidR="00DD6748" w:rsidRPr="001077B8">
        <w:rPr>
          <w:sz w:val="28"/>
          <w:szCs w:val="28"/>
          <w:lang w:val="en-US"/>
        </w:rPr>
        <w:t xml:space="preserve"> </w:t>
      </w:r>
      <w:proofErr w:type="spellStart"/>
      <w:r w:rsidR="00DD6748" w:rsidRPr="001077B8">
        <w:rPr>
          <w:sz w:val="28"/>
          <w:szCs w:val="28"/>
          <w:lang w:val="en-US"/>
        </w:rPr>
        <w:t>în</w:t>
      </w:r>
      <w:proofErr w:type="spellEnd"/>
      <w:r w:rsidR="00DD6748" w:rsidRPr="001077B8">
        <w:rPr>
          <w:sz w:val="28"/>
          <w:szCs w:val="28"/>
          <w:lang w:val="en-US"/>
        </w:rPr>
        <w:t xml:space="preserve"> </w:t>
      </w:r>
      <w:proofErr w:type="spellStart"/>
      <w:r w:rsidR="00DD6748" w:rsidRPr="001077B8">
        <w:rPr>
          <w:sz w:val="28"/>
          <w:szCs w:val="28"/>
          <w:lang w:val="en-US"/>
        </w:rPr>
        <w:t>funcţiune</w:t>
      </w:r>
      <w:proofErr w:type="spellEnd"/>
      <w:r w:rsidR="00DD6748" w:rsidRPr="001077B8">
        <w:rPr>
          <w:sz w:val="28"/>
          <w:szCs w:val="28"/>
          <w:lang w:val="en-US"/>
        </w:rPr>
        <w:t xml:space="preserve"> a </w:t>
      </w:r>
      <w:proofErr w:type="spellStart"/>
      <w:r w:rsidR="00DD6748" w:rsidRPr="000B0F18">
        <w:rPr>
          <w:sz w:val="28"/>
          <w:szCs w:val="28"/>
          <w:lang w:val="en-US"/>
        </w:rPr>
        <w:t>unită</w:t>
      </w:r>
      <w:r w:rsidR="00DD6748">
        <w:rPr>
          <w:sz w:val="28"/>
          <w:szCs w:val="28"/>
          <w:lang w:val="en-US"/>
        </w:rPr>
        <w:t>ții</w:t>
      </w:r>
      <w:proofErr w:type="spellEnd"/>
      <w:r w:rsidR="00DD6748">
        <w:rPr>
          <w:sz w:val="28"/>
          <w:szCs w:val="28"/>
          <w:lang w:val="en-US"/>
        </w:rPr>
        <w:t xml:space="preserve"> de </w:t>
      </w:r>
      <w:proofErr w:type="spellStart"/>
      <w:r w:rsidR="00DD6748">
        <w:rPr>
          <w:sz w:val="28"/>
          <w:szCs w:val="28"/>
          <w:lang w:val="en-US"/>
        </w:rPr>
        <w:t>cogenerare</w:t>
      </w:r>
      <w:proofErr w:type="spellEnd"/>
      <w:r w:rsidRPr="000B0F18">
        <w:rPr>
          <w:sz w:val="28"/>
          <w:szCs w:val="28"/>
          <w:lang w:val="en-US"/>
        </w:rPr>
        <w:t xml:space="preserve">, se </w:t>
      </w:r>
      <w:proofErr w:type="spellStart"/>
      <w:r w:rsidRPr="000B0F18">
        <w:rPr>
          <w:sz w:val="28"/>
          <w:szCs w:val="28"/>
          <w:lang w:val="en-US"/>
        </w:rPr>
        <w:t>aplic</w:t>
      </w:r>
      <w:r w:rsidR="000B0F18">
        <w:rPr>
          <w:sz w:val="28"/>
          <w:szCs w:val="28"/>
          <w:lang w:val="en-US"/>
        </w:rPr>
        <w:t>ă</w:t>
      </w:r>
      <w:proofErr w:type="spellEnd"/>
      <w:r w:rsidRPr="000B0F18">
        <w:rPr>
          <w:sz w:val="28"/>
          <w:szCs w:val="28"/>
          <w:lang w:val="en-US"/>
        </w:rPr>
        <w:t xml:space="preserve"> </w:t>
      </w:r>
      <w:proofErr w:type="spellStart"/>
      <w:r w:rsidRPr="000B0F18">
        <w:rPr>
          <w:sz w:val="28"/>
          <w:szCs w:val="28"/>
          <w:lang w:val="en-US"/>
        </w:rPr>
        <w:t>valorile</w:t>
      </w:r>
      <w:proofErr w:type="spellEnd"/>
      <w:r w:rsidRPr="000B0F18">
        <w:rPr>
          <w:sz w:val="28"/>
          <w:szCs w:val="28"/>
          <w:lang w:val="en-US"/>
        </w:rPr>
        <w:t xml:space="preserve"> de </w:t>
      </w:r>
      <w:proofErr w:type="spellStart"/>
      <w:r w:rsidRPr="000B0F18">
        <w:rPr>
          <w:sz w:val="28"/>
          <w:szCs w:val="28"/>
          <w:lang w:val="en-US"/>
        </w:rPr>
        <w:t>referință</w:t>
      </w:r>
      <w:proofErr w:type="spellEnd"/>
      <w:r w:rsidRPr="000B0F18">
        <w:rPr>
          <w:sz w:val="28"/>
          <w:szCs w:val="28"/>
          <w:lang w:val="en-US"/>
        </w:rPr>
        <w:t xml:space="preserve"> </w:t>
      </w:r>
      <w:proofErr w:type="spellStart"/>
      <w:r w:rsidRPr="000B0F18">
        <w:rPr>
          <w:sz w:val="28"/>
          <w:szCs w:val="28"/>
          <w:lang w:val="en-US"/>
        </w:rPr>
        <w:t>armonizate</w:t>
      </w:r>
      <w:proofErr w:type="spellEnd"/>
      <w:r w:rsidRPr="000B0F18">
        <w:rPr>
          <w:sz w:val="28"/>
          <w:szCs w:val="28"/>
          <w:lang w:val="en-US"/>
        </w:rPr>
        <w:t xml:space="preserve"> ale </w:t>
      </w:r>
      <w:proofErr w:type="spellStart"/>
      <w:r w:rsidRPr="000B0F18">
        <w:rPr>
          <w:sz w:val="28"/>
          <w:szCs w:val="28"/>
          <w:lang w:val="en-US"/>
        </w:rPr>
        <w:t>randamentului</w:t>
      </w:r>
      <w:proofErr w:type="spellEnd"/>
      <w:r w:rsidRPr="000B0F18">
        <w:rPr>
          <w:sz w:val="28"/>
          <w:szCs w:val="28"/>
          <w:lang w:val="en-US"/>
        </w:rPr>
        <w:t xml:space="preserve"> </w:t>
      </w:r>
      <w:proofErr w:type="spellStart"/>
      <w:r w:rsidRPr="000B0F18">
        <w:rPr>
          <w:sz w:val="28"/>
          <w:szCs w:val="28"/>
          <w:lang w:val="en-US"/>
        </w:rPr>
        <w:t>aplicabile</w:t>
      </w:r>
      <w:proofErr w:type="spellEnd"/>
      <w:r w:rsidRPr="000B0F18">
        <w:rPr>
          <w:sz w:val="28"/>
          <w:szCs w:val="28"/>
          <w:lang w:val="en-US"/>
        </w:rPr>
        <w:t xml:space="preserve"> </w:t>
      </w:r>
      <w:proofErr w:type="spellStart"/>
      <w:r w:rsidRPr="000B0F18">
        <w:rPr>
          <w:sz w:val="28"/>
          <w:szCs w:val="28"/>
          <w:lang w:val="en-US"/>
        </w:rPr>
        <w:t>pentru</w:t>
      </w:r>
      <w:proofErr w:type="spellEnd"/>
      <w:r w:rsidRPr="000B0F18">
        <w:rPr>
          <w:sz w:val="28"/>
          <w:szCs w:val="28"/>
          <w:lang w:val="en-US"/>
        </w:rPr>
        <w:t xml:space="preserve"> </w:t>
      </w:r>
      <w:proofErr w:type="spellStart"/>
      <w:r w:rsidRPr="000B0F18">
        <w:rPr>
          <w:sz w:val="28"/>
          <w:szCs w:val="28"/>
          <w:lang w:val="en-US"/>
        </w:rPr>
        <w:t>unit</w:t>
      </w:r>
      <w:r w:rsidR="00DD6748">
        <w:rPr>
          <w:sz w:val="28"/>
          <w:szCs w:val="28"/>
          <w:lang w:val="en-US"/>
        </w:rPr>
        <w:t>atea</w:t>
      </w:r>
      <w:proofErr w:type="spellEnd"/>
      <w:r w:rsidR="00DD6748">
        <w:rPr>
          <w:sz w:val="28"/>
          <w:szCs w:val="28"/>
          <w:lang w:val="en-US"/>
        </w:rPr>
        <w:t xml:space="preserve"> </w:t>
      </w:r>
      <w:r w:rsidR="000B0F18">
        <w:rPr>
          <w:sz w:val="28"/>
          <w:szCs w:val="28"/>
          <w:lang w:val="en-US"/>
        </w:rPr>
        <w:t xml:space="preserve">care </w:t>
      </w:r>
      <w:r w:rsidR="00DD6748">
        <w:rPr>
          <w:sz w:val="28"/>
          <w:szCs w:val="28"/>
          <w:lang w:val="en-US"/>
        </w:rPr>
        <w:t xml:space="preserve">are o </w:t>
      </w:r>
      <w:proofErr w:type="spellStart"/>
      <w:r w:rsidR="00DD6748">
        <w:rPr>
          <w:sz w:val="28"/>
          <w:szCs w:val="28"/>
          <w:lang w:val="en-US"/>
        </w:rPr>
        <w:t>vechime</w:t>
      </w:r>
      <w:proofErr w:type="spellEnd"/>
      <w:r w:rsidR="00DD6748">
        <w:rPr>
          <w:sz w:val="28"/>
          <w:szCs w:val="28"/>
          <w:lang w:val="en-US"/>
        </w:rPr>
        <w:t xml:space="preserve"> de</w:t>
      </w:r>
      <w:r w:rsidR="000B0F18">
        <w:rPr>
          <w:sz w:val="28"/>
          <w:szCs w:val="28"/>
          <w:lang w:val="en-US"/>
        </w:rPr>
        <w:t xml:space="preserve"> 10 </w:t>
      </w:r>
      <w:proofErr w:type="spellStart"/>
      <w:r w:rsidR="000B0F18">
        <w:rPr>
          <w:sz w:val="28"/>
          <w:szCs w:val="28"/>
          <w:lang w:val="en-US"/>
        </w:rPr>
        <w:t>ani</w:t>
      </w:r>
      <w:proofErr w:type="spellEnd"/>
      <w:r w:rsidR="000B0F18">
        <w:rPr>
          <w:sz w:val="28"/>
          <w:szCs w:val="28"/>
          <w:lang w:val="en-US"/>
        </w:rPr>
        <w:t xml:space="preserve">, </w:t>
      </w:r>
      <w:proofErr w:type="spellStart"/>
      <w:r w:rsidR="000B0F18">
        <w:rPr>
          <w:sz w:val="28"/>
          <w:szCs w:val="28"/>
          <w:lang w:val="en-US"/>
        </w:rPr>
        <w:t>timp</w:t>
      </w:r>
      <w:proofErr w:type="spellEnd"/>
      <w:r w:rsidR="000B0F18">
        <w:rPr>
          <w:sz w:val="28"/>
          <w:szCs w:val="28"/>
          <w:lang w:val="en-US"/>
        </w:rPr>
        <w:t xml:space="preserve"> de un an.</w:t>
      </w:r>
      <w:r w:rsidR="00DD6748">
        <w:rPr>
          <w:sz w:val="28"/>
          <w:szCs w:val="28"/>
          <w:lang w:val="en-US"/>
        </w:rPr>
        <w:t xml:space="preserve"> </w:t>
      </w:r>
    </w:p>
    <w:p w:rsidR="001077B8" w:rsidRPr="00C923B1" w:rsidRDefault="001077B8" w:rsidP="001077B8">
      <w:pPr>
        <w:pStyle w:val="NormalWeb"/>
        <w:spacing w:after="120" w:line="276" w:lineRule="auto"/>
        <w:ind w:left="-499" w:firstLine="0"/>
        <w:rPr>
          <w:sz w:val="28"/>
          <w:szCs w:val="28"/>
        </w:rPr>
      </w:pPr>
      <w:r w:rsidRPr="00C923B1">
        <w:rPr>
          <w:sz w:val="28"/>
          <w:szCs w:val="28"/>
        </w:rPr>
        <w:lastRenderedPageBreak/>
        <w:t xml:space="preserve">5. </w:t>
      </w:r>
      <w:r w:rsidR="005F7275" w:rsidRPr="005F7275">
        <w:rPr>
          <w:sz w:val="28"/>
          <w:szCs w:val="28"/>
        </w:rPr>
        <w:t>Dacă o unitate de cogenerare existentă este retehnologizată, iar costul de investiţie pentru retehnologizare depăşeşte 50 % din costul de investiţie pentru o unitate de cogenerare de înaltă eficiență nouă, echivalentă, la aplicarea prevederilor punctelor 3 și 4 din prezenta Anexă se va considera ca anul punerii în funcţiune anul în care se finalizează încercările privind  punerea în funcţiune a unităţii de cogenerare după retehnologizare.</w:t>
      </w:r>
    </w:p>
    <w:p w:rsidR="00D21A02" w:rsidRDefault="001077B8" w:rsidP="00D21A02">
      <w:pPr>
        <w:pStyle w:val="NormalWeb"/>
        <w:spacing w:after="120" w:line="276" w:lineRule="auto"/>
        <w:ind w:left="-499" w:firstLine="0"/>
        <w:rPr>
          <w:sz w:val="28"/>
          <w:szCs w:val="28"/>
        </w:rPr>
      </w:pPr>
      <w:r w:rsidRPr="00C923B1">
        <w:rPr>
          <w:sz w:val="28"/>
          <w:szCs w:val="28"/>
        </w:rPr>
        <w:t>6. Valorile de referinţă armonizate ale eficienţei pentru producerea separată de energie electrică se aleg în funcţie de tipul combustibilului utilizat. Dacă o unitate de cogenerare funcţionează cu mai multe tipuri de combustibili, se aplică media valorilor de referinţă corespunzătoare fiecărui tip de combustibil, ponderate cu energia consumată de respectiva unitate din fiecare tip de combustibil.</w:t>
      </w:r>
    </w:p>
    <w:p w:rsidR="00D21A02" w:rsidRDefault="001077B8" w:rsidP="00D21A02">
      <w:pPr>
        <w:pStyle w:val="NormalWeb"/>
        <w:spacing w:after="120" w:line="276" w:lineRule="auto"/>
        <w:ind w:left="-499" w:firstLine="0"/>
        <w:rPr>
          <w:color w:val="000000"/>
          <w:sz w:val="28"/>
          <w:szCs w:val="28"/>
          <w:lang w:val="en-US"/>
        </w:rPr>
      </w:pPr>
      <w:r w:rsidRPr="00D21A02">
        <w:rPr>
          <w:sz w:val="28"/>
          <w:szCs w:val="28"/>
          <w:lang w:val="en-US"/>
        </w:rPr>
        <w:t xml:space="preserve">7. </w:t>
      </w:r>
      <w:proofErr w:type="spellStart"/>
      <w:r w:rsidRPr="00D21A02">
        <w:rPr>
          <w:sz w:val="28"/>
          <w:szCs w:val="28"/>
          <w:lang w:val="en-US"/>
        </w:rPr>
        <w:t>În</w:t>
      </w:r>
      <w:proofErr w:type="spellEnd"/>
      <w:r w:rsidRPr="00D21A02">
        <w:rPr>
          <w:sz w:val="28"/>
          <w:szCs w:val="28"/>
          <w:lang w:val="en-US"/>
        </w:rPr>
        <w:t xml:space="preserve"> </w:t>
      </w:r>
      <w:proofErr w:type="spellStart"/>
      <w:r w:rsidRPr="00D21A02">
        <w:rPr>
          <w:sz w:val="28"/>
          <w:szCs w:val="28"/>
          <w:lang w:val="en-US"/>
        </w:rPr>
        <w:t>vederea</w:t>
      </w:r>
      <w:proofErr w:type="spellEnd"/>
      <w:r w:rsidRPr="00D21A02">
        <w:rPr>
          <w:sz w:val="28"/>
          <w:szCs w:val="28"/>
          <w:lang w:val="en-US"/>
        </w:rPr>
        <w:t xml:space="preserve"> </w:t>
      </w:r>
      <w:proofErr w:type="spellStart"/>
      <w:r w:rsidRPr="00D21A02">
        <w:rPr>
          <w:sz w:val="28"/>
          <w:szCs w:val="28"/>
          <w:lang w:val="en-US"/>
        </w:rPr>
        <w:t>adaptării</w:t>
      </w:r>
      <w:proofErr w:type="spellEnd"/>
      <w:r w:rsidRPr="00D21A02">
        <w:rPr>
          <w:sz w:val="28"/>
          <w:szCs w:val="28"/>
          <w:lang w:val="en-US"/>
        </w:rPr>
        <w:t xml:space="preserve"> </w:t>
      </w:r>
      <w:proofErr w:type="spellStart"/>
      <w:r w:rsidRPr="00D21A02">
        <w:rPr>
          <w:sz w:val="28"/>
          <w:szCs w:val="28"/>
          <w:lang w:val="en-US"/>
        </w:rPr>
        <w:t>valorilor</w:t>
      </w:r>
      <w:proofErr w:type="spellEnd"/>
      <w:r w:rsidRPr="00D21A02">
        <w:rPr>
          <w:sz w:val="28"/>
          <w:szCs w:val="28"/>
          <w:lang w:val="en-US"/>
        </w:rPr>
        <w:t xml:space="preserve"> de </w:t>
      </w:r>
      <w:proofErr w:type="spellStart"/>
      <w:r w:rsidRPr="00D21A02">
        <w:rPr>
          <w:sz w:val="28"/>
          <w:szCs w:val="28"/>
          <w:lang w:val="en-US"/>
        </w:rPr>
        <w:t>referinţă</w:t>
      </w:r>
      <w:proofErr w:type="spellEnd"/>
      <w:r w:rsidRPr="00D21A02">
        <w:rPr>
          <w:sz w:val="28"/>
          <w:szCs w:val="28"/>
          <w:lang w:val="en-US"/>
        </w:rPr>
        <w:t xml:space="preserve"> </w:t>
      </w:r>
      <w:proofErr w:type="spellStart"/>
      <w:r w:rsidRPr="00D21A02">
        <w:rPr>
          <w:sz w:val="28"/>
          <w:szCs w:val="28"/>
          <w:lang w:val="en-US"/>
        </w:rPr>
        <w:t>armonizate</w:t>
      </w:r>
      <w:proofErr w:type="spellEnd"/>
      <w:r w:rsidRPr="00D21A02">
        <w:rPr>
          <w:sz w:val="28"/>
          <w:szCs w:val="28"/>
          <w:lang w:val="en-US"/>
        </w:rPr>
        <w:t xml:space="preserve"> ale </w:t>
      </w:r>
      <w:proofErr w:type="spellStart"/>
      <w:r w:rsidRPr="00D21A02">
        <w:rPr>
          <w:sz w:val="28"/>
          <w:szCs w:val="28"/>
          <w:lang w:val="en-US"/>
        </w:rPr>
        <w:t>eficienţei</w:t>
      </w:r>
      <w:proofErr w:type="spellEnd"/>
      <w:r w:rsidRPr="00D21A02">
        <w:rPr>
          <w:sz w:val="28"/>
          <w:szCs w:val="28"/>
          <w:lang w:val="en-US"/>
        </w:rPr>
        <w:t xml:space="preserve"> </w:t>
      </w:r>
      <w:proofErr w:type="spellStart"/>
      <w:r w:rsidRPr="00D21A02">
        <w:rPr>
          <w:sz w:val="28"/>
          <w:szCs w:val="28"/>
          <w:lang w:val="en-US"/>
        </w:rPr>
        <w:t>pentru</w:t>
      </w:r>
      <w:proofErr w:type="spellEnd"/>
      <w:r w:rsidRPr="00D21A02">
        <w:rPr>
          <w:sz w:val="28"/>
          <w:szCs w:val="28"/>
          <w:lang w:val="en-US"/>
        </w:rPr>
        <w:t xml:space="preserve"> </w:t>
      </w:r>
      <w:proofErr w:type="spellStart"/>
      <w:r w:rsidRPr="00D21A02">
        <w:rPr>
          <w:sz w:val="28"/>
          <w:szCs w:val="28"/>
          <w:lang w:val="en-US"/>
        </w:rPr>
        <w:t>producerea</w:t>
      </w:r>
      <w:proofErr w:type="spellEnd"/>
      <w:r w:rsidRPr="00D21A02">
        <w:rPr>
          <w:sz w:val="28"/>
          <w:szCs w:val="28"/>
          <w:lang w:val="en-US"/>
        </w:rPr>
        <w:t xml:space="preserve"> </w:t>
      </w:r>
      <w:proofErr w:type="spellStart"/>
      <w:r w:rsidRPr="00D21A02">
        <w:rPr>
          <w:sz w:val="28"/>
          <w:szCs w:val="28"/>
          <w:lang w:val="en-US"/>
        </w:rPr>
        <w:t>separată</w:t>
      </w:r>
      <w:proofErr w:type="spellEnd"/>
      <w:r w:rsidRPr="00D21A02">
        <w:rPr>
          <w:sz w:val="28"/>
          <w:szCs w:val="28"/>
          <w:lang w:val="en-US"/>
        </w:rPr>
        <w:t xml:space="preserve"> de </w:t>
      </w:r>
      <w:proofErr w:type="spellStart"/>
      <w:r w:rsidRPr="00D21A02">
        <w:rPr>
          <w:sz w:val="28"/>
          <w:szCs w:val="28"/>
          <w:lang w:val="en-US"/>
        </w:rPr>
        <w:t>energie</w:t>
      </w:r>
      <w:proofErr w:type="spellEnd"/>
      <w:r w:rsidRPr="00D21A02">
        <w:rPr>
          <w:sz w:val="28"/>
          <w:szCs w:val="28"/>
          <w:lang w:val="en-US"/>
        </w:rPr>
        <w:t xml:space="preserve"> </w:t>
      </w:r>
      <w:proofErr w:type="spellStart"/>
      <w:r w:rsidRPr="00D21A02">
        <w:rPr>
          <w:sz w:val="28"/>
          <w:szCs w:val="28"/>
          <w:lang w:val="en-US"/>
        </w:rPr>
        <w:t>electrică</w:t>
      </w:r>
      <w:proofErr w:type="spellEnd"/>
      <w:r w:rsidRPr="00D21A02">
        <w:rPr>
          <w:sz w:val="28"/>
          <w:szCs w:val="28"/>
          <w:lang w:val="en-US"/>
        </w:rPr>
        <w:t xml:space="preserve"> la </w:t>
      </w:r>
      <w:proofErr w:type="spellStart"/>
      <w:r w:rsidRPr="00D21A02">
        <w:rPr>
          <w:sz w:val="28"/>
          <w:szCs w:val="28"/>
          <w:lang w:val="en-US"/>
        </w:rPr>
        <w:t>situația</w:t>
      </w:r>
      <w:proofErr w:type="spellEnd"/>
      <w:r w:rsidRPr="00D21A02">
        <w:rPr>
          <w:sz w:val="28"/>
          <w:szCs w:val="28"/>
          <w:lang w:val="en-US"/>
        </w:rPr>
        <w:t xml:space="preserve"> </w:t>
      </w:r>
      <w:proofErr w:type="spellStart"/>
      <w:r w:rsidRPr="00D21A02">
        <w:rPr>
          <w:sz w:val="28"/>
          <w:szCs w:val="28"/>
          <w:lang w:val="en-US"/>
        </w:rPr>
        <w:t>climatică</w:t>
      </w:r>
      <w:proofErr w:type="spellEnd"/>
      <w:r w:rsidRPr="00D21A02">
        <w:rPr>
          <w:sz w:val="28"/>
          <w:szCs w:val="28"/>
          <w:lang w:val="en-US"/>
        </w:rPr>
        <w:t xml:space="preserve"> </w:t>
      </w:r>
      <w:proofErr w:type="spellStart"/>
      <w:r w:rsidRPr="00D21A02">
        <w:rPr>
          <w:sz w:val="28"/>
          <w:szCs w:val="28"/>
          <w:lang w:val="en-US"/>
        </w:rPr>
        <w:t>medie</w:t>
      </w:r>
      <w:proofErr w:type="spellEnd"/>
      <w:r w:rsidRPr="00D21A02">
        <w:rPr>
          <w:sz w:val="28"/>
          <w:szCs w:val="28"/>
          <w:lang w:val="en-US"/>
        </w:rPr>
        <w:t xml:space="preserve"> din </w:t>
      </w:r>
      <w:proofErr w:type="spellStart"/>
      <w:r w:rsidRPr="00D21A02">
        <w:rPr>
          <w:sz w:val="28"/>
          <w:szCs w:val="28"/>
          <w:lang w:val="en-US"/>
        </w:rPr>
        <w:t>Republica</w:t>
      </w:r>
      <w:proofErr w:type="spellEnd"/>
      <w:r w:rsidRPr="00D21A02">
        <w:rPr>
          <w:sz w:val="28"/>
          <w:szCs w:val="28"/>
          <w:lang w:val="en-US"/>
        </w:rPr>
        <w:t xml:space="preserve"> Moldova cu </w:t>
      </w:r>
      <w:proofErr w:type="spellStart"/>
      <w:r w:rsidRPr="00D21A02">
        <w:rPr>
          <w:sz w:val="28"/>
          <w:szCs w:val="28"/>
          <w:lang w:val="en-US"/>
        </w:rPr>
        <w:t>abaterea</w:t>
      </w:r>
      <w:proofErr w:type="spellEnd"/>
      <w:r w:rsidRPr="00D21A02">
        <w:rPr>
          <w:sz w:val="28"/>
          <w:szCs w:val="28"/>
          <w:lang w:val="en-US"/>
        </w:rPr>
        <w:t xml:space="preserve"> </w:t>
      </w:r>
      <w:proofErr w:type="spellStart"/>
      <w:r w:rsidRPr="00D21A02">
        <w:rPr>
          <w:sz w:val="28"/>
          <w:szCs w:val="28"/>
          <w:lang w:val="en-US"/>
        </w:rPr>
        <w:t>temperaturii</w:t>
      </w:r>
      <w:proofErr w:type="spellEnd"/>
      <w:r w:rsidRPr="00D21A02">
        <w:rPr>
          <w:sz w:val="28"/>
          <w:szCs w:val="28"/>
          <w:lang w:val="en-US"/>
        </w:rPr>
        <w:t xml:space="preserve"> </w:t>
      </w:r>
      <w:proofErr w:type="spellStart"/>
      <w:r w:rsidRPr="00D21A02">
        <w:rPr>
          <w:sz w:val="28"/>
          <w:szCs w:val="28"/>
          <w:lang w:val="en-US"/>
        </w:rPr>
        <w:t>exterioare</w:t>
      </w:r>
      <w:proofErr w:type="spellEnd"/>
      <w:r w:rsidRPr="00D21A02">
        <w:rPr>
          <w:sz w:val="28"/>
          <w:szCs w:val="28"/>
          <w:lang w:val="en-US"/>
        </w:rPr>
        <w:t xml:space="preserve"> </w:t>
      </w:r>
      <w:proofErr w:type="spellStart"/>
      <w:r w:rsidRPr="00D21A02">
        <w:rPr>
          <w:sz w:val="28"/>
          <w:szCs w:val="28"/>
          <w:lang w:val="en-US"/>
        </w:rPr>
        <w:t>medii</w:t>
      </w:r>
      <w:proofErr w:type="spellEnd"/>
      <w:r w:rsidRPr="00D21A02">
        <w:rPr>
          <w:sz w:val="28"/>
          <w:szCs w:val="28"/>
          <w:lang w:val="en-US"/>
        </w:rPr>
        <w:t xml:space="preserve"> </w:t>
      </w:r>
      <w:proofErr w:type="spellStart"/>
      <w:r w:rsidRPr="00D21A02">
        <w:rPr>
          <w:sz w:val="28"/>
          <w:szCs w:val="28"/>
          <w:lang w:val="en-US"/>
        </w:rPr>
        <w:t>anuale</w:t>
      </w:r>
      <w:proofErr w:type="spellEnd"/>
      <w:r w:rsidRPr="00D21A02">
        <w:rPr>
          <w:sz w:val="28"/>
          <w:szCs w:val="28"/>
          <w:lang w:val="en-US"/>
        </w:rPr>
        <w:t xml:space="preserve"> </w:t>
      </w:r>
      <w:proofErr w:type="spellStart"/>
      <w:r w:rsidRPr="00D21A02">
        <w:rPr>
          <w:sz w:val="28"/>
          <w:szCs w:val="28"/>
          <w:lang w:val="en-US"/>
        </w:rPr>
        <w:t>faţă</w:t>
      </w:r>
      <w:proofErr w:type="spellEnd"/>
      <w:r w:rsidRPr="00D21A02">
        <w:rPr>
          <w:sz w:val="28"/>
          <w:szCs w:val="28"/>
          <w:lang w:val="en-US"/>
        </w:rPr>
        <w:t xml:space="preserve"> de </w:t>
      </w:r>
      <w:proofErr w:type="spellStart"/>
      <w:r w:rsidRPr="00D21A02">
        <w:rPr>
          <w:sz w:val="28"/>
          <w:szCs w:val="28"/>
          <w:lang w:val="en-US"/>
        </w:rPr>
        <w:t>condiţiile</w:t>
      </w:r>
      <w:proofErr w:type="spellEnd"/>
      <w:r w:rsidRPr="00D21A02">
        <w:rPr>
          <w:sz w:val="28"/>
          <w:szCs w:val="28"/>
          <w:lang w:val="en-US"/>
        </w:rPr>
        <w:t xml:space="preserve"> standard (15 ºC), se </w:t>
      </w:r>
      <w:proofErr w:type="spellStart"/>
      <w:r w:rsidRPr="00D21A02">
        <w:rPr>
          <w:sz w:val="28"/>
          <w:szCs w:val="28"/>
          <w:lang w:val="en-US"/>
        </w:rPr>
        <w:t>aplică</w:t>
      </w:r>
      <w:proofErr w:type="spellEnd"/>
      <w:r w:rsidRPr="00D21A02">
        <w:rPr>
          <w:sz w:val="28"/>
          <w:szCs w:val="28"/>
          <w:lang w:val="en-US"/>
        </w:rPr>
        <w:t xml:space="preserve"> </w:t>
      </w:r>
      <w:proofErr w:type="spellStart"/>
      <w:r w:rsidR="00D21A02" w:rsidRPr="00D21A02">
        <w:rPr>
          <w:color w:val="000000"/>
          <w:sz w:val="28"/>
          <w:szCs w:val="28"/>
          <w:lang w:val="en-US"/>
        </w:rPr>
        <w:t>corecția</w:t>
      </w:r>
      <w:proofErr w:type="spellEnd"/>
      <w:r w:rsidR="00D21A02" w:rsidRPr="00D21A02">
        <w:rPr>
          <w:color w:val="000000"/>
          <w:sz w:val="28"/>
          <w:szCs w:val="28"/>
          <w:lang w:val="en-US"/>
        </w:rPr>
        <w:t xml:space="preserve"> </w:t>
      </w:r>
      <w:proofErr w:type="spellStart"/>
      <w:r w:rsidR="00D21A02" w:rsidRPr="00D21A02">
        <w:rPr>
          <w:color w:val="000000"/>
          <w:sz w:val="28"/>
          <w:szCs w:val="28"/>
          <w:lang w:val="en-US"/>
        </w:rPr>
        <w:t>în</w:t>
      </w:r>
      <w:proofErr w:type="spellEnd"/>
      <w:r w:rsidR="00D21A02" w:rsidRPr="00D21A02">
        <w:rPr>
          <w:color w:val="000000"/>
          <w:sz w:val="28"/>
          <w:szCs w:val="28"/>
          <w:lang w:val="en-US"/>
        </w:rPr>
        <w:t xml:space="preserve"> </w:t>
      </w:r>
      <w:proofErr w:type="spellStart"/>
      <w:r w:rsidR="00D21A02" w:rsidRPr="00D21A02">
        <w:rPr>
          <w:color w:val="000000"/>
          <w:sz w:val="28"/>
          <w:szCs w:val="28"/>
          <w:lang w:val="en-US"/>
        </w:rPr>
        <w:t>felul</w:t>
      </w:r>
      <w:proofErr w:type="spellEnd"/>
      <w:r w:rsidR="00D21A02" w:rsidRPr="00D21A02">
        <w:rPr>
          <w:color w:val="000000"/>
          <w:sz w:val="28"/>
          <w:szCs w:val="28"/>
          <w:lang w:val="en-US"/>
        </w:rPr>
        <w:t xml:space="preserve"> </w:t>
      </w:r>
      <w:proofErr w:type="spellStart"/>
      <w:r w:rsidR="00D21A02" w:rsidRPr="00D21A02">
        <w:rPr>
          <w:color w:val="000000"/>
          <w:sz w:val="28"/>
          <w:szCs w:val="28"/>
          <w:lang w:val="en-US"/>
        </w:rPr>
        <w:t>următor</w:t>
      </w:r>
      <w:proofErr w:type="spellEnd"/>
      <w:r w:rsidR="00D21A02" w:rsidRPr="00D21A02">
        <w:rPr>
          <w:color w:val="000000"/>
          <w:sz w:val="28"/>
          <w:szCs w:val="28"/>
          <w:lang w:val="en-US"/>
        </w:rPr>
        <w:t>:</w:t>
      </w:r>
    </w:p>
    <w:p w:rsidR="00D21A02" w:rsidRPr="00D21A02" w:rsidRDefault="00D21A02" w:rsidP="00D21A02">
      <w:pPr>
        <w:pStyle w:val="NormalWeb"/>
        <w:spacing w:line="276" w:lineRule="auto"/>
        <w:ind w:left="-499" w:firstLine="0"/>
        <w:rPr>
          <w:sz w:val="28"/>
          <w:szCs w:val="28"/>
        </w:rPr>
      </w:pPr>
      <w:r w:rsidRPr="00D21A02">
        <w:rPr>
          <w:color w:val="000000"/>
          <w:sz w:val="28"/>
          <w:szCs w:val="28"/>
          <w:lang w:val="en-US"/>
        </w:rPr>
        <w:t xml:space="preserve">a) </w:t>
      </w:r>
      <w:proofErr w:type="spellStart"/>
      <w:proofErr w:type="gramStart"/>
      <w:r w:rsidRPr="00D21A02">
        <w:rPr>
          <w:color w:val="000000"/>
          <w:sz w:val="28"/>
          <w:szCs w:val="28"/>
          <w:lang w:val="en-US"/>
        </w:rPr>
        <w:t>pierdere</w:t>
      </w:r>
      <w:proofErr w:type="spellEnd"/>
      <w:proofErr w:type="gramEnd"/>
      <w:r w:rsidRPr="00D21A02">
        <w:rPr>
          <w:color w:val="000000"/>
          <w:sz w:val="28"/>
          <w:szCs w:val="28"/>
          <w:lang w:val="en-US"/>
        </w:rPr>
        <w:t xml:space="preserve"> de </w:t>
      </w:r>
      <w:proofErr w:type="spellStart"/>
      <w:r w:rsidRPr="00D21A02">
        <w:rPr>
          <w:color w:val="000000"/>
          <w:sz w:val="28"/>
          <w:szCs w:val="28"/>
          <w:lang w:val="en-US"/>
        </w:rPr>
        <w:t>randament</w:t>
      </w:r>
      <w:proofErr w:type="spellEnd"/>
      <w:r w:rsidRPr="00D21A02">
        <w:rPr>
          <w:color w:val="000000"/>
          <w:sz w:val="28"/>
          <w:szCs w:val="28"/>
          <w:lang w:val="en-US"/>
        </w:rPr>
        <w:t xml:space="preserve"> de 0,1 </w:t>
      </w:r>
      <w:proofErr w:type="spellStart"/>
      <w:r w:rsidRPr="00D21A02">
        <w:rPr>
          <w:color w:val="000000"/>
          <w:sz w:val="28"/>
          <w:szCs w:val="28"/>
          <w:lang w:val="en-US"/>
        </w:rPr>
        <w:t>puncte</w:t>
      </w:r>
      <w:proofErr w:type="spellEnd"/>
      <w:r w:rsidRPr="00D21A02">
        <w:rPr>
          <w:color w:val="000000"/>
          <w:sz w:val="28"/>
          <w:szCs w:val="28"/>
          <w:lang w:val="en-US"/>
        </w:rPr>
        <w:t xml:space="preserve"> </w:t>
      </w:r>
      <w:proofErr w:type="spellStart"/>
      <w:r w:rsidRPr="00D21A02">
        <w:rPr>
          <w:color w:val="000000"/>
          <w:sz w:val="28"/>
          <w:szCs w:val="28"/>
          <w:lang w:val="en-US"/>
        </w:rPr>
        <w:t>procentuale</w:t>
      </w:r>
      <w:proofErr w:type="spellEnd"/>
      <w:r w:rsidRPr="00D21A02">
        <w:rPr>
          <w:color w:val="000000"/>
          <w:sz w:val="28"/>
          <w:szCs w:val="28"/>
          <w:lang w:val="en-US"/>
        </w:rPr>
        <w:t xml:space="preserve"> </w:t>
      </w:r>
      <w:proofErr w:type="spellStart"/>
      <w:r w:rsidRPr="00D21A02">
        <w:rPr>
          <w:color w:val="000000"/>
          <w:sz w:val="28"/>
          <w:szCs w:val="28"/>
          <w:lang w:val="en-US"/>
        </w:rPr>
        <w:t>pentru</w:t>
      </w:r>
      <w:proofErr w:type="spellEnd"/>
      <w:r w:rsidRPr="00D21A02">
        <w:rPr>
          <w:color w:val="000000"/>
          <w:sz w:val="28"/>
          <w:szCs w:val="28"/>
          <w:lang w:val="en-US"/>
        </w:rPr>
        <w:t xml:space="preserve"> </w:t>
      </w:r>
      <w:proofErr w:type="spellStart"/>
      <w:r w:rsidRPr="00D21A02">
        <w:rPr>
          <w:color w:val="000000"/>
          <w:sz w:val="28"/>
          <w:szCs w:val="28"/>
          <w:lang w:val="en-US"/>
        </w:rPr>
        <w:t>fiecare</w:t>
      </w:r>
      <w:proofErr w:type="spellEnd"/>
      <w:r w:rsidRPr="00D21A02">
        <w:rPr>
          <w:color w:val="000000"/>
          <w:sz w:val="28"/>
          <w:szCs w:val="28"/>
          <w:lang w:val="en-US"/>
        </w:rPr>
        <w:t xml:space="preserve"> grad </w:t>
      </w:r>
      <w:proofErr w:type="spellStart"/>
      <w:r w:rsidRPr="00D21A02">
        <w:rPr>
          <w:color w:val="000000"/>
          <w:sz w:val="28"/>
          <w:szCs w:val="28"/>
          <w:lang w:val="en-US"/>
        </w:rPr>
        <w:t>peste</w:t>
      </w:r>
      <w:proofErr w:type="spellEnd"/>
      <w:r w:rsidRPr="00D21A02">
        <w:rPr>
          <w:color w:val="000000"/>
          <w:sz w:val="28"/>
          <w:szCs w:val="28"/>
          <w:lang w:val="en-US"/>
        </w:rPr>
        <w:t xml:space="preserve"> 15 °C; </w:t>
      </w:r>
    </w:p>
    <w:p w:rsidR="00D21A02" w:rsidRPr="00D21A02" w:rsidRDefault="00D21A02" w:rsidP="00D21A02">
      <w:pPr>
        <w:pStyle w:val="NormalWeb"/>
        <w:spacing w:after="120" w:line="276" w:lineRule="auto"/>
        <w:ind w:left="-499" w:firstLine="0"/>
        <w:rPr>
          <w:color w:val="000000"/>
          <w:sz w:val="28"/>
          <w:szCs w:val="28"/>
        </w:rPr>
      </w:pPr>
      <w:r w:rsidRPr="00D21A02">
        <w:rPr>
          <w:color w:val="000000"/>
          <w:sz w:val="28"/>
          <w:szCs w:val="28"/>
          <w:lang w:val="en-US"/>
        </w:rPr>
        <w:t>b</w:t>
      </w:r>
      <w:r w:rsidRPr="00D21A02">
        <w:rPr>
          <w:color w:val="000000"/>
          <w:sz w:val="28"/>
          <w:szCs w:val="28"/>
        </w:rPr>
        <w:t xml:space="preserve">) </w:t>
      </w:r>
      <w:proofErr w:type="gramStart"/>
      <w:r w:rsidRPr="00D21A02">
        <w:rPr>
          <w:color w:val="000000"/>
          <w:sz w:val="28"/>
          <w:szCs w:val="28"/>
        </w:rPr>
        <w:t>creștere</w:t>
      </w:r>
      <w:proofErr w:type="gramEnd"/>
      <w:r w:rsidRPr="00D21A02">
        <w:rPr>
          <w:color w:val="000000"/>
          <w:sz w:val="28"/>
          <w:szCs w:val="28"/>
        </w:rPr>
        <w:t xml:space="preserve"> de randament de 0,1 puncte procentuale pentru fiecare grad sub 15 °C. </w:t>
      </w:r>
    </w:p>
    <w:p w:rsidR="001077B8" w:rsidRPr="00C923B1" w:rsidRDefault="001077B8" w:rsidP="00D21A02">
      <w:pPr>
        <w:pStyle w:val="NormalWeb"/>
        <w:spacing w:after="120" w:line="276" w:lineRule="auto"/>
        <w:ind w:left="-499" w:firstLine="0"/>
        <w:rPr>
          <w:sz w:val="28"/>
          <w:szCs w:val="28"/>
        </w:rPr>
      </w:pPr>
      <w:r w:rsidRPr="007C3FF8">
        <w:rPr>
          <w:sz w:val="28"/>
          <w:szCs w:val="28"/>
        </w:rPr>
        <w:t xml:space="preserve">8. În vederea adaptării valorilor de referinţă armonizate ale eficienţei pentru producerea separată de energie electrică în funcție de pierderile </w:t>
      </w:r>
      <w:r w:rsidRPr="00C923B1">
        <w:rPr>
          <w:sz w:val="28"/>
          <w:szCs w:val="28"/>
        </w:rPr>
        <w:t xml:space="preserve">evitate în reţelele electrice </w:t>
      </w:r>
      <w:r w:rsidRPr="007C3FF8">
        <w:rPr>
          <w:sz w:val="28"/>
          <w:szCs w:val="28"/>
        </w:rPr>
        <w:t>se aplică factorul de corecție conform Tabelului nr. 2</w:t>
      </w:r>
      <w:r w:rsidRPr="00C923B1">
        <w:rPr>
          <w:sz w:val="28"/>
          <w:szCs w:val="28"/>
        </w:rPr>
        <w:t>:</w:t>
      </w:r>
    </w:p>
    <w:p w:rsidR="001077B8" w:rsidRPr="00C923B1" w:rsidRDefault="001077B8" w:rsidP="001077B8">
      <w:pPr>
        <w:spacing w:before="120" w:after="120"/>
        <w:ind w:left="-425"/>
        <w:jc w:val="right"/>
        <w:rPr>
          <w:b/>
          <w:sz w:val="28"/>
          <w:szCs w:val="28"/>
        </w:rPr>
      </w:pPr>
      <w:r w:rsidRPr="00C923B1">
        <w:rPr>
          <w:b/>
          <w:sz w:val="28"/>
          <w:szCs w:val="28"/>
        </w:rPr>
        <w:t>Tabelul nr. 2</w:t>
      </w:r>
    </w:p>
    <w:p w:rsidR="001077B8" w:rsidRPr="00C923B1" w:rsidRDefault="001077B8" w:rsidP="001077B8">
      <w:pPr>
        <w:jc w:val="center"/>
        <w:rPr>
          <w:b/>
          <w:sz w:val="12"/>
        </w:rPr>
      </w:pPr>
    </w:p>
    <w:tbl>
      <w:tblPr>
        <w:tblStyle w:val="TableGrid"/>
        <w:tblW w:w="10206" w:type="dxa"/>
        <w:tblInd w:w="-572" w:type="dxa"/>
        <w:tblLook w:val="04A0" w:firstRow="1" w:lastRow="0" w:firstColumn="1" w:lastColumn="0" w:noHBand="0" w:noVBand="1"/>
      </w:tblPr>
      <w:tblGrid>
        <w:gridCol w:w="3941"/>
        <w:gridCol w:w="2551"/>
        <w:gridCol w:w="3714"/>
      </w:tblGrid>
      <w:tr w:rsidR="001077B8" w:rsidRPr="00C923B1" w:rsidTr="008A53A6">
        <w:tc>
          <w:tcPr>
            <w:tcW w:w="3941" w:type="dxa"/>
          </w:tcPr>
          <w:p w:rsidR="001077B8" w:rsidRPr="00C923B1" w:rsidRDefault="001077B8" w:rsidP="008A53A6">
            <w:pPr>
              <w:spacing w:before="80"/>
              <w:jc w:val="center"/>
              <w:rPr>
                <w:rFonts w:cs="Times New Roman"/>
              </w:rPr>
            </w:pPr>
            <w:r w:rsidRPr="00C923B1">
              <w:t>Tensiunea</w:t>
            </w:r>
          </w:p>
        </w:tc>
        <w:tc>
          <w:tcPr>
            <w:tcW w:w="2551" w:type="dxa"/>
          </w:tcPr>
          <w:p w:rsidR="001077B8" w:rsidRPr="00C923B1" w:rsidRDefault="001077B8" w:rsidP="007B5D33">
            <w:pPr>
              <w:jc w:val="center"/>
              <w:rPr>
                <w:rFonts w:cs="Times New Roman"/>
              </w:rPr>
            </w:pPr>
            <w:r w:rsidRPr="00C923B1">
              <w:t>Pentru energia electrică livrată în rețea</w:t>
            </w:r>
            <w:r w:rsidR="007B5D33">
              <w:t xml:space="preserve">, </w:t>
            </w:r>
            <w:r w:rsidR="007B5D33">
              <w:rPr>
                <w:rFonts w:cs="Times New Roman"/>
              </w:rPr>
              <w:t>F</w:t>
            </w:r>
            <w:r w:rsidR="007B5D33" w:rsidRPr="007B5D33">
              <w:rPr>
                <w:rFonts w:cs="Times New Roman"/>
                <w:vertAlign w:val="subscript"/>
              </w:rPr>
              <w:t>e</w:t>
            </w:r>
          </w:p>
        </w:tc>
        <w:tc>
          <w:tcPr>
            <w:tcW w:w="3714" w:type="dxa"/>
          </w:tcPr>
          <w:p w:rsidR="001077B8" w:rsidRPr="00C923B1" w:rsidRDefault="001077B8" w:rsidP="007B5D33">
            <w:pPr>
              <w:jc w:val="center"/>
              <w:rPr>
                <w:rFonts w:cs="Times New Roman"/>
              </w:rPr>
            </w:pPr>
            <w:r w:rsidRPr="00C923B1">
              <w:t>Pentru energia electrică consumată la producător</w:t>
            </w:r>
            <w:r w:rsidR="007B5D33">
              <w:t xml:space="preserve">, </w:t>
            </w:r>
            <w:proofErr w:type="spellStart"/>
            <w:r w:rsidR="007B5D33">
              <w:rPr>
                <w:rFonts w:cs="Times New Roman"/>
              </w:rPr>
              <w:t>F</w:t>
            </w:r>
            <w:r w:rsidR="007B5D33" w:rsidRPr="007B5D33">
              <w:rPr>
                <w:rFonts w:cs="Times New Roman"/>
                <w:vertAlign w:val="subscript"/>
              </w:rPr>
              <w:t>cp</w:t>
            </w:r>
            <w:proofErr w:type="spellEnd"/>
          </w:p>
        </w:tc>
      </w:tr>
      <w:tr w:rsidR="001077B8" w:rsidRPr="00C923B1" w:rsidTr="008A53A6">
        <w:tc>
          <w:tcPr>
            <w:tcW w:w="3941" w:type="dxa"/>
          </w:tcPr>
          <w:p w:rsidR="001077B8" w:rsidRPr="00C923B1" w:rsidRDefault="001077B8" w:rsidP="008A53A6">
            <w:pPr>
              <w:jc w:val="center"/>
              <w:rPr>
                <w:rFonts w:cs="Times New Roman"/>
              </w:rPr>
            </w:pPr>
            <w:r w:rsidRPr="00C923B1">
              <w:t>≥200 kV</w:t>
            </w:r>
          </w:p>
        </w:tc>
        <w:tc>
          <w:tcPr>
            <w:tcW w:w="2551" w:type="dxa"/>
          </w:tcPr>
          <w:p w:rsidR="001077B8" w:rsidRPr="00C923B1" w:rsidRDefault="001077B8" w:rsidP="008A53A6">
            <w:pPr>
              <w:jc w:val="center"/>
              <w:rPr>
                <w:rFonts w:cs="Times New Roman"/>
              </w:rPr>
            </w:pPr>
            <w:r w:rsidRPr="00C923B1">
              <w:t>1</w:t>
            </w:r>
          </w:p>
        </w:tc>
        <w:tc>
          <w:tcPr>
            <w:tcW w:w="3714" w:type="dxa"/>
          </w:tcPr>
          <w:p w:rsidR="001077B8" w:rsidRPr="00C923B1" w:rsidRDefault="001077B8" w:rsidP="008A53A6">
            <w:pPr>
              <w:jc w:val="center"/>
              <w:rPr>
                <w:rFonts w:cs="Times New Roman"/>
              </w:rPr>
            </w:pPr>
            <w:r w:rsidRPr="00C923B1">
              <w:t>0,985</w:t>
            </w:r>
          </w:p>
        </w:tc>
      </w:tr>
      <w:tr w:rsidR="001077B8" w:rsidRPr="00C923B1" w:rsidTr="008A53A6">
        <w:tc>
          <w:tcPr>
            <w:tcW w:w="3941" w:type="dxa"/>
          </w:tcPr>
          <w:p w:rsidR="001077B8" w:rsidRPr="00C923B1" w:rsidRDefault="001077B8" w:rsidP="008A53A6">
            <w:pPr>
              <w:jc w:val="center"/>
              <w:rPr>
                <w:rFonts w:cs="Times New Roman"/>
              </w:rPr>
            </w:pPr>
            <w:r w:rsidRPr="00C923B1">
              <w:t>100-200 kV</w:t>
            </w:r>
          </w:p>
        </w:tc>
        <w:tc>
          <w:tcPr>
            <w:tcW w:w="2551" w:type="dxa"/>
          </w:tcPr>
          <w:p w:rsidR="001077B8" w:rsidRPr="00C923B1" w:rsidRDefault="001077B8" w:rsidP="008A53A6">
            <w:pPr>
              <w:jc w:val="center"/>
              <w:rPr>
                <w:rFonts w:cs="Times New Roman"/>
              </w:rPr>
            </w:pPr>
            <w:r w:rsidRPr="00C923B1">
              <w:t>0,985</w:t>
            </w:r>
          </w:p>
        </w:tc>
        <w:tc>
          <w:tcPr>
            <w:tcW w:w="3714" w:type="dxa"/>
          </w:tcPr>
          <w:p w:rsidR="001077B8" w:rsidRPr="00C923B1" w:rsidRDefault="001077B8" w:rsidP="008A53A6">
            <w:pPr>
              <w:jc w:val="center"/>
              <w:rPr>
                <w:rFonts w:cs="Times New Roman"/>
              </w:rPr>
            </w:pPr>
            <w:r w:rsidRPr="00C923B1">
              <w:t>0,965</w:t>
            </w:r>
          </w:p>
        </w:tc>
      </w:tr>
      <w:tr w:rsidR="001077B8" w:rsidRPr="00C923B1" w:rsidTr="008A53A6">
        <w:tc>
          <w:tcPr>
            <w:tcW w:w="3941" w:type="dxa"/>
          </w:tcPr>
          <w:p w:rsidR="001077B8" w:rsidRPr="00C923B1" w:rsidRDefault="001077B8" w:rsidP="008A53A6">
            <w:pPr>
              <w:jc w:val="center"/>
              <w:rPr>
                <w:rFonts w:cs="Times New Roman"/>
              </w:rPr>
            </w:pPr>
            <w:r w:rsidRPr="00C923B1">
              <w:t>5-100 kV</w:t>
            </w:r>
          </w:p>
        </w:tc>
        <w:tc>
          <w:tcPr>
            <w:tcW w:w="2551" w:type="dxa"/>
          </w:tcPr>
          <w:p w:rsidR="001077B8" w:rsidRPr="00C923B1" w:rsidRDefault="001077B8" w:rsidP="008A53A6">
            <w:pPr>
              <w:jc w:val="center"/>
              <w:rPr>
                <w:rFonts w:cs="Times New Roman"/>
              </w:rPr>
            </w:pPr>
            <w:r w:rsidRPr="00C923B1">
              <w:t>0,965</w:t>
            </w:r>
          </w:p>
        </w:tc>
        <w:tc>
          <w:tcPr>
            <w:tcW w:w="3714" w:type="dxa"/>
          </w:tcPr>
          <w:p w:rsidR="001077B8" w:rsidRPr="00C923B1" w:rsidRDefault="001077B8" w:rsidP="008A53A6">
            <w:pPr>
              <w:jc w:val="center"/>
              <w:rPr>
                <w:rFonts w:cs="Times New Roman"/>
              </w:rPr>
            </w:pPr>
            <w:r w:rsidRPr="00C923B1">
              <w:t>0,945</w:t>
            </w:r>
          </w:p>
        </w:tc>
      </w:tr>
      <w:tr w:rsidR="001077B8" w:rsidRPr="00C923B1" w:rsidTr="008A53A6">
        <w:tc>
          <w:tcPr>
            <w:tcW w:w="3941" w:type="dxa"/>
          </w:tcPr>
          <w:p w:rsidR="001077B8" w:rsidRPr="00C923B1" w:rsidRDefault="001077B8" w:rsidP="008A53A6">
            <w:pPr>
              <w:jc w:val="center"/>
              <w:rPr>
                <w:rFonts w:cs="Times New Roman"/>
              </w:rPr>
            </w:pPr>
            <w:r w:rsidRPr="00C923B1">
              <w:t>0,4-50 kV</w:t>
            </w:r>
          </w:p>
        </w:tc>
        <w:tc>
          <w:tcPr>
            <w:tcW w:w="2551" w:type="dxa"/>
          </w:tcPr>
          <w:p w:rsidR="001077B8" w:rsidRPr="00C923B1" w:rsidRDefault="001077B8" w:rsidP="008A53A6">
            <w:pPr>
              <w:jc w:val="center"/>
              <w:rPr>
                <w:rFonts w:cs="Times New Roman"/>
              </w:rPr>
            </w:pPr>
            <w:r w:rsidRPr="00C923B1">
              <w:t>0,945</w:t>
            </w:r>
          </w:p>
        </w:tc>
        <w:tc>
          <w:tcPr>
            <w:tcW w:w="3714" w:type="dxa"/>
          </w:tcPr>
          <w:p w:rsidR="001077B8" w:rsidRPr="00C923B1" w:rsidRDefault="001077B8" w:rsidP="008A53A6">
            <w:pPr>
              <w:jc w:val="center"/>
              <w:rPr>
                <w:rFonts w:cs="Times New Roman"/>
              </w:rPr>
            </w:pPr>
            <w:r w:rsidRPr="00C923B1">
              <w:t>0,925</w:t>
            </w:r>
          </w:p>
        </w:tc>
      </w:tr>
      <w:tr w:rsidR="001077B8" w:rsidRPr="00C923B1" w:rsidTr="008A53A6">
        <w:tc>
          <w:tcPr>
            <w:tcW w:w="3941" w:type="dxa"/>
          </w:tcPr>
          <w:p w:rsidR="001077B8" w:rsidRPr="00C923B1" w:rsidRDefault="001077B8" w:rsidP="008A53A6">
            <w:pPr>
              <w:jc w:val="center"/>
              <w:rPr>
                <w:rFonts w:cs="Times New Roman"/>
              </w:rPr>
            </w:pPr>
            <w:r w:rsidRPr="00C923B1">
              <w:t>&lt;0,4 kV</w:t>
            </w:r>
          </w:p>
        </w:tc>
        <w:tc>
          <w:tcPr>
            <w:tcW w:w="2551" w:type="dxa"/>
          </w:tcPr>
          <w:p w:rsidR="001077B8" w:rsidRPr="00C923B1" w:rsidRDefault="001077B8" w:rsidP="008A53A6">
            <w:pPr>
              <w:jc w:val="center"/>
              <w:rPr>
                <w:rFonts w:cs="Times New Roman"/>
              </w:rPr>
            </w:pPr>
            <w:r w:rsidRPr="00C923B1">
              <w:t>0,925</w:t>
            </w:r>
          </w:p>
        </w:tc>
        <w:tc>
          <w:tcPr>
            <w:tcW w:w="3714" w:type="dxa"/>
          </w:tcPr>
          <w:p w:rsidR="001077B8" w:rsidRPr="00C923B1" w:rsidRDefault="001077B8" w:rsidP="008A53A6">
            <w:pPr>
              <w:jc w:val="center"/>
              <w:rPr>
                <w:rFonts w:cs="Times New Roman"/>
              </w:rPr>
            </w:pPr>
            <w:r w:rsidRPr="00C923B1">
              <w:t>0,860</w:t>
            </w:r>
          </w:p>
        </w:tc>
      </w:tr>
    </w:tbl>
    <w:p w:rsidR="0031578A" w:rsidRPr="0031578A" w:rsidRDefault="0031578A" w:rsidP="0031578A">
      <w:pPr>
        <w:autoSpaceDE w:val="0"/>
        <w:autoSpaceDN w:val="0"/>
        <w:adjustRightInd w:val="0"/>
        <w:spacing w:before="120" w:after="240"/>
        <w:ind w:left="-425" w:firstLine="425"/>
        <w:jc w:val="both"/>
      </w:pPr>
      <w:r>
        <w:rPr>
          <w:rFonts w:ascii="EUAlbertina" w:eastAsia="Calibri" w:hAnsi="EUAlbertina" w:cs="EUAlbertina"/>
          <w:color w:val="000000"/>
          <w:sz w:val="28"/>
          <w:szCs w:val="28"/>
          <w:lang w:eastAsia="en-US"/>
        </w:rPr>
        <w:t xml:space="preserve">După corecția pentru pierderile în rețea, </w:t>
      </w:r>
      <w:r w:rsidRPr="0031578A">
        <w:rPr>
          <w:rFonts w:eastAsia="Calibri"/>
          <w:color w:val="000000"/>
          <w:sz w:val="28"/>
          <w:szCs w:val="28"/>
          <w:lang w:eastAsia="en-US"/>
        </w:rPr>
        <w:t xml:space="preserve">valoarea </w:t>
      </w:r>
      <w:r w:rsidRPr="0031578A">
        <w:rPr>
          <w:sz w:val="28"/>
          <w:szCs w:val="28"/>
          <w:lang w:val="en-US"/>
        </w:rPr>
        <w:t xml:space="preserve">de </w:t>
      </w:r>
      <w:proofErr w:type="spellStart"/>
      <w:r w:rsidRPr="0031578A">
        <w:rPr>
          <w:sz w:val="28"/>
          <w:szCs w:val="28"/>
          <w:lang w:val="en-US"/>
        </w:rPr>
        <w:t>referinţă</w:t>
      </w:r>
      <w:proofErr w:type="spellEnd"/>
      <w:r w:rsidRPr="0031578A">
        <w:rPr>
          <w:sz w:val="28"/>
          <w:szCs w:val="28"/>
          <w:lang w:val="en-US"/>
        </w:rPr>
        <w:t xml:space="preserve"> </w:t>
      </w:r>
      <w:proofErr w:type="spellStart"/>
      <w:r w:rsidRPr="0031578A">
        <w:rPr>
          <w:sz w:val="28"/>
          <w:szCs w:val="28"/>
          <w:lang w:val="en-US"/>
        </w:rPr>
        <w:t>armonizată</w:t>
      </w:r>
      <w:proofErr w:type="spellEnd"/>
      <w:r w:rsidRPr="0031578A">
        <w:rPr>
          <w:sz w:val="28"/>
          <w:szCs w:val="28"/>
          <w:lang w:val="en-US"/>
        </w:rPr>
        <w:t xml:space="preserve"> a </w:t>
      </w:r>
      <w:proofErr w:type="spellStart"/>
      <w:r w:rsidRPr="0031578A">
        <w:rPr>
          <w:sz w:val="28"/>
          <w:szCs w:val="28"/>
          <w:lang w:val="en-US"/>
        </w:rPr>
        <w:t>eficienţei</w:t>
      </w:r>
      <w:proofErr w:type="spellEnd"/>
      <w:r w:rsidRPr="0031578A">
        <w:rPr>
          <w:sz w:val="28"/>
          <w:szCs w:val="28"/>
          <w:lang w:val="en-US"/>
        </w:rPr>
        <w:t xml:space="preserve"> </w:t>
      </w:r>
      <w:proofErr w:type="spellStart"/>
      <w:r w:rsidRPr="0031578A">
        <w:rPr>
          <w:sz w:val="28"/>
          <w:szCs w:val="28"/>
          <w:lang w:val="en-US"/>
        </w:rPr>
        <w:t>pentru</w:t>
      </w:r>
      <w:proofErr w:type="spellEnd"/>
      <w:r w:rsidRPr="0031578A">
        <w:rPr>
          <w:sz w:val="28"/>
          <w:szCs w:val="28"/>
          <w:lang w:val="en-US"/>
        </w:rPr>
        <w:t xml:space="preserve"> </w:t>
      </w:r>
      <w:proofErr w:type="spellStart"/>
      <w:r w:rsidRPr="0031578A">
        <w:rPr>
          <w:sz w:val="28"/>
          <w:szCs w:val="28"/>
          <w:lang w:val="en-US"/>
        </w:rPr>
        <w:t>producerea</w:t>
      </w:r>
      <w:proofErr w:type="spellEnd"/>
      <w:r w:rsidRPr="0031578A">
        <w:rPr>
          <w:sz w:val="28"/>
          <w:szCs w:val="28"/>
          <w:lang w:val="en-US"/>
        </w:rPr>
        <w:t xml:space="preserve"> </w:t>
      </w:r>
      <w:proofErr w:type="spellStart"/>
      <w:r w:rsidRPr="0031578A">
        <w:rPr>
          <w:sz w:val="28"/>
          <w:szCs w:val="28"/>
          <w:lang w:val="en-US"/>
        </w:rPr>
        <w:t>separată</w:t>
      </w:r>
      <w:proofErr w:type="spellEnd"/>
      <w:r w:rsidRPr="0031578A">
        <w:rPr>
          <w:sz w:val="28"/>
          <w:szCs w:val="28"/>
          <w:lang w:val="en-US"/>
        </w:rPr>
        <w:t xml:space="preserve"> de </w:t>
      </w:r>
      <w:proofErr w:type="spellStart"/>
      <w:r w:rsidRPr="0031578A">
        <w:rPr>
          <w:sz w:val="28"/>
          <w:szCs w:val="28"/>
          <w:lang w:val="en-US"/>
        </w:rPr>
        <w:t>energie</w:t>
      </w:r>
      <w:proofErr w:type="spellEnd"/>
      <w:r w:rsidRPr="0031578A">
        <w:rPr>
          <w:sz w:val="28"/>
          <w:szCs w:val="28"/>
          <w:lang w:val="en-US"/>
        </w:rPr>
        <w:t xml:space="preserve"> </w:t>
      </w:r>
      <w:proofErr w:type="spellStart"/>
      <w:r w:rsidRPr="0031578A">
        <w:rPr>
          <w:sz w:val="28"/>
          <w:szCs w:val="28"/>
          <w:lang w:val="en-US"/>
        </w:rPr>
        <w:t>electrică</w:t>
      </w:r>
      <w:proofErr w:type="spellEnd"/>
      <w:r w:rsidRPr="0031578A">
        <w:rPr>
          <w:sz w:val="28"/>
          <w:szCs w:val="28"/>
          <w:lang w:val="en-US"/>
        </w:rPr>
        <w:t xml:space="preserve"> se </w:t>
      </w:r>
      <w:proofErr w:type="spellStart"/>
      <w:r w:rsidRPr="0031578A">
        <w:rPr>
          <w:sz w:val="28"/>
          <w:szCs w:val="28"/>
          <w:lang w:val="en-US"/>
        </w:rPr>
        <w:t>va</w:t>
      </w:r>
      <w:proofErr w:type="spellEnd"/>
      <w:r w:rsidRPr="0031578A">
        <w:rPr>
          <w:sz w:val="28"/>
          <w:szCs w:val="28"/>
          <w:lang w:val="en-US"/>
        </w:rPr>
        <w:t xml:space="preserve"> </w:t>
      </w:r>
      <w:proofErr w:type="spellStart"/>
      <w:r w:rsidRPr="0031578A">
        <w:rPr>
          <w:sz w:val="28"/>
          <w:szCs w:val="28"/>
          <w:lang w:val="en-US"/>
        </w:rPr>
        <w:t>determina</w:t>
      </w:r>
      <w:proofErr w:type="spellEnd"/>
      <w:r w:rsidRPr="0031578A">
        <w:rPr>
          <w:sz w:val="28"/>
          <w:szCs w:val="28"/>
          <w:lang w:val="en-US"/>
        </w:rPr>
        <w:t xml:space="preserve"> </w:t>
      </w:r>
      <w:proofErr w:type="spellStart"/>
      <w:r>
        <w:rPr>
          <w:sz w:val="28"/>
          <w:szCs w:val="28"/>
          <w:lang w:val="en-US"/>
        </w:rPr>
        <w:t>după</w:t>
      </w:r>
      <w:proofErr w:type="spellEnd"/>
      <w:r>
        <w:rPr>
          <w:sz w:val="28"/>
          <w:szCs w:val="28"/>
          <w:lang w:val="en-US"/>
        </w:rPr>
        <w:t xml:space="preserve"> cum </w:t>
      </w:r>
      <w:proofErr w:type="spellStart"/>
      <w:r>
        <w:rPr>
          <w:sz w:val="28"/>
          <w:szCs w:val="28"/>
          <w:lang w:val="en-US"/>
        </w:rPr>
        <w:t>urmează</w:t>
      </w:r>
      <w:proofErr w:type="spellEnd"/>
      <w:r w:rsidRPr="0031578A">
        <w:rPr>
          <w:sz w:val="28"/>
          <w:szCs w:val="28"/>
        </w:rPr>
        <w:t>:</w:t>
      </w:r>
    </w:p>
    <w:p w:rsidR="007B5D33" w:rsidRPr="0031578A" w:rsidRDefault="007B5D33" w:rsidP="0031578A">
      <w:pPr>
        <w:pStyle w:val="NormalWeb"/>
        <w:spacing w:before="120" w:after="120" w:line="276" w:lineRule="auto"/>
        <w:ind w:left="-499" w:firstLine="0"/>
        <w:jc w:val="center"/>
        <w:rPr>
          <w:i/>
          <w:sz w:val="28"/>
          <w:szCs w:val="28"/>
        </w:rPr>
      </w:pPr>
      <w:proofErr w:type="spellStart"/>
      <w:r w:rsidRPr="0031578A">
        <w:rPr>
          <w:rFonts w:eastAsia="Calibri"/>
          <w:i/>
          <w:color w:val="000000"/>
          <w:sz w:val="28"/>
          <w:szCs w:val="28"/>
          <w:lang w:eastAsia="en-US"/>
        </w:rPr>
        <w:t>Ref</w:t>
      </w:r>
      <w:proofErr w:type="spellEnd"/>
      <w:r w:rsidRPr="0031578A">
        <w:rPr>
          <w:rFonts w:eastAsia="Calibri"/>
          <w:i/>
          <w:color w:val="000000"/>
          <w:sz w:val="28"/>
          <w:szCs w:val="28"/>
          <w:lang w:eastAsia="en-US"/>
        </w:rPr>
        <w:t xml:space="preserve"> </w:t>
      </w:r>
      <w:proofErr w:type="spellStart"/>
      <w:r w:rsidRPr="0031578A">
        <w:rPr>
          <w:rFonts w:eastAsia="Calibri"/>
          <w:i/>
          <w:color w:val="000000"/>
          <w:sz w:val="28"/>
          <w:szCs w:val="28"/>
          <w:lang w:val="ru-RU" w:eastAsia="en-US"/>
        </w:rPr>
        <w:t>Εη</w:t>
      </w:r>
      <w:proofErr w:type="spellEnd"/>
      <w:r w:rsidRPr="0031578A">
        <w:rPr>
          <w:rFonts w:eastAsia="Calibri"/>
          <w:i/>
          <w:color w:val="000000"/>
          <w:sz w:val="28"/>
          <w:szCs w:val="28"/>
          <w:lang w:eastAsia="en-US"/>
        </w:rPr>
        <w:t xml:space="preserve"> = </w:t>
      </w:r>
      <w:proofErr w:type="spellStart"/>
      <w:r w:rsidRPr="0031578A">
        <w:rPr>
          <w:rFonts w:eastAsia="Calibri"/>
          <w:i/>
          <w:color w:val="000000"/>
          <w:sz w:val="28"/>
          <w:szCs w:val="28"/>
          <w:lang w:eastAsia="en-US"/>
        </w:rPr>
        <w:t>Ref</w:t>
      </w:r>
      <w:proofErr w:type="spellEnd"/>
      <w:r w:rsidR="0031578A">
        <w:rPr>
          <w:rFonts w:eastAsia="Calibri"/>
          <w:i/>
          <w:color w:val="000000"/>
          <w:sz w:val="28"/>
          <w:szCs w:val="28"/>
          <w:lang w:eastAsia="en-US"/>
        </w:rPr>
        <w:t xml:space="preserve"> </w:t>
      </w:r>
      <w:proofErr w:type="spellStart"/>
      <w:r w:rsidRPr="0031578A">
        <w:rPr>
          <w:rFonts w:eastAsia="Calibri"/>
          <w:i/>
          <w:color w:val="000000"/>
          <w:sz w:val="28"/>
          <w:szCs w:val="28"/>
          <w:lang w:val="ru-RU" w:eastAsia="en-US"/>
        </w:rPr>
        <w:t>Εη</w:t>
      </w:r>
      <w:proofErr w:type="spellEnd"/>
      <w:r w:rsidRPr="0031578A">
        <w:rPr>
          <w:rFonts w:eastAsia="Calibri"/>
          <w:i/>
          <w:color w:val="000000"/>
          <w:sz w:val="28"/>
          <w:szCs w:val="28"/>
          <w:vertAlign w:val="subscript"/>
          <w:lang w:eastAsia="en-US"/>
        </w:rPr>
        <w:t>0</w:t>
      </w:r>
      <w:r w:rsidRPr="0031578A">
        <w:rPr>
          <w:i/>
          <w:sz w:val="28"/>
          <w:szCs w:val="28"/>
        </w:rPr>
        <w:t>∙(</w:t>
      </w:r>
      <w:proofErr w:type="spellStart"/>
      <w:r w:rsidRPr="0031578A">
        <w:rPr>
          <w:i/>
          <w:sz w:val="28"/>
          <w:szCs w:val="28"/>
        </w:rPr>
        <w:t>F</w:t>
      </w:r>
      <w:r w:rsidRPr="0031578A">
        <w:rPr>
          <w:i/>
          <w:sz w:val="28"/>
          <w:szCs w:val="28"/>
          <w:vertAlign w:val="subscript"/>
        </w:rPr>
        <w:t>cp</w:t>
      </w:r>
      <w:proofErr w:type="spellEnd"/>
      <w:r w:rsidRPr="0031578A">
        <w:rPr>
          <w:i/>
          <w:sz w:val="28"/>
          <w:szCs w:val="28"/>
        </w:rPr>
        <w:t>∙</w:t>
      </w:r>
      <w:proofErr w:type="spellStart"/>
      <w:r w:rsidRPr="0031578A">
        <w:rPr>
          <w:i/>
          <w:sz w:val="28"/>
          <w:szCs w:val="28"/>
        </w:rPr>
        <w:t>E</w:t>
      </w:r>
      <w:r w:rsidRPr="0031578A">
        <w:rPr>
          <w:i/>
          <w:sz w:val="28"/>
          <w:szCs w:val="28"/>
          <w:vertAlign w:val="subscript"/>
        </w:rPr>
        <w:t>cp</w:t>
      </w:r>
      <w:proofErr w:type="spellEnd"/>
      <w:r w:rsidRPr="0031578A">
        <w:rPr>
          <w:i/>
          <w:sz w:val="28"/>
          <w:szCs w:val="28"/>
        </w:rPr>
        <w:t>+F</w:t>
      </w:r>
      <w:r w:rsidRPr="0031578A">
        <w:rPr>
          <w:i/>
          <w:sz w:val="28"/>
          <w:szCs w:val="28"/>
          <w:vertAlign w:val="subscript"/>
        </w:rPr>
        <w:t>e</w:t>
      </w:r>
      <w:r w:rsidRPr="0031578A">
        <w:rPr>
          <w:i/>
          <w:sz w:val="28"/>
          <w:szCs w:val="28"/>
        </w:rPr>
        <w:t>∙</w:t>
      </w:r>
      <w:proofErr w:type="spellStart"/>
      <w:r w:rsidRPr="0031578A">
        <w:rPr>
          <w:i/>
          <w:sz w:val="28"/>
          <w:szCs w:val="28"/>
        </w:rPr>
        <w:t>E</w:t>
      </w:r>
      <w:r w:rsidRPr="0031578A">
        <w:rPr>
          <w:i/>
          <w:sz w:val="28"/>
          <w:szCs w:val="28"/>
          <w:vertAlign w:val="subscript"/>
        </w:rPr>
        <w:t>e</w:t>
      </w:r>
      <w:proofErr w:type="spellEnd"/>
      <w:r w:rsidRPr="0031578A">
        <w:rPr>
          <w:i/>
          <w:sz w:val="28"/>
          <w:szCs w:val="28"/>
        </w:rPr>
        <w:t>)</w:t>
      </w:r>
      <w:r w:rsidR="00E95E22" w:rsidRPr="0031578A">
        <w:rPr>
          <w:i/>
          <w:sz w:val="28"/>
          <w:szCs w:val="28"/>
        </w:rPr>
        <w:t>,</w:t>
      </w:r>
    </w:p>
    <w:p w:rsidR="00E95E22" w:rsidRPr="0031578A" w:rsidRDefault="00E95E22" w:rsidP="00D90CDF">
      <w:pPr>
        <w:pStyle w:val="NormalWeb"/>
        <w:spacing w:after="120"/>
        <w:ind w:left="-499" w:firstLine="0"/>
        <w:rPr>
          <w:sz w:val="28"/>
          <w:szCs w:val="28"/>
        </w:rPr>
      </w:pPr>
      <w:r w:rsidRPr="0031578A">
        <w:rPr>
          <w:sz w:val="28"/>
          <w:szCs w:val="28"/>
        </w:rPr>
        <w:t>unde:</w:t>
      </w:r>
    </w:p>
    <w:p w:rsidR="00E95E22" w:rsidRPr="00CD0E9E" w:rsidRDefault="00E95E22" w:rsidP="00D90CDF">
      <w:pPr>
        <w:pStyle w:val="NormalWeb"/>
        <w:spacing w:after="120"/>
        <w:ind w:left="-499" w:firstLine="0"/>
        <w:rPr>
          <w:lang w:val="en-US"/>
        </w:rPr>
      </w:pPr>
      <w:proofErr w:type="spellStart"/>
      <w:r w:rsidRPr="00CD0E9E">
        <w:rPr>
          <w:rFonts w:eastAsia="Calibri"/>
          <w:color w:val="000000"/>
          <w:lang w:eastAsia="en-US"/>
        </w:rPr>
        <w:t>Ref</w:t>
      </w:r>
      <w:proofErr w:type="spellEnd"/>
      <w:r w:rsidRPr="00CD0E9E">
        <w:rPr>
          <w:rFonts w:eastAsia="Calibri"/>
          <w:color w:val="000000"/>
          <w:lang w:eastAsia="en-US"/>
        </w:rPr>
        <w:t xml:space="preserve"> </w:t>
      </w:r>
      <w:proofErr w:type="spellStart"/>
      <w:r w:rsidRPr="00CD0E9E">
        <w:rPr>
          <w:rFonts w:eastAsia="Calibri"/>
          <w:color w:val="000000"/>
          <w:lang w:val="ru-RU" w:eastAsia="en-US"/>
        </w:rPr>
        <w:t>Εη</w:t>
      </w:r>
      <w:proofErr w:type="spellEnd"/>
      <w:r w:rsidRPr="00CD0E9E">
        <w:rPr>
          <w:rFonts w:eastAsia="Calibri"/>
          <w:color w:val="000000"/>
          <w:lang w:eastAsia="en-US"/>
        </w:rPr>
        <w:t xml:space="preserve"> - </w:t>
      </w:r>
      <w:proofErr w:type="spellStart"/>
      <w:r w:rsidRPr="00CD0E9E">
        <w:rPr>
          <w:lang w:val="en-US"/>
        </w:rPr>
        <w:t>valoarea</w:t>
      </w:r>
      <w:proofErr w:type="spellEnd"/>
      <w:r w:rsidRPr="00CD0E9E">
        <w:rPr>
          <w:lang w:val="en-US"/>
        </w:rPr>
        <w:t xml:space="preserve"> de </w:t>
      </w:r>
      <w:proofErr w:type="spellStart"/>
      <w:r w:rsidRPr="00CD0E9E">
        <w:rPr>
          <w:lang w:val="en-US"/>
        </w:rPr>
        <w:t>referinţă</w:t>
      </w:r>
      <w:proofErr w:type="spellEnd"/>
      <w:r w:rsidRPr="00CD0E9E">
        <w:rPr>
          <w:lang w:val="en-US"/>
        </w:rPr>
        <w:t xml:space="preserve"> </w:t>
      </w:r>
      <w:proofErr w:type="spellStart"/>
      <w:r w:rsidRPr="00CD0E9E">
        <w:rPr>
          <w:lang w:val="en-US"/>
        </w:rPr>
        <w:t>armonizat</w:t>
      </w:r>
      <w:r w:rsidR="00CD0E9E">
        <w:rPr>
          <w:lang w:val="en-US"/>
        </w:rPr>
        <w:t>ă</w:t>
      </w:r>
      <w:proofErr w:type="spellEnd"/>
      <w:r w:rsidRPr="00CD0E9E">
        <w:rPr>
          <w:lang w:val="en-US"/>
        </w:rPr>
        <w:t xml:space="preserve"> a </w:t>
      </w:r>
      <w:proofErr w:type="spellStart"/>
      <w:r w:rsidRPr="00CD0E9E">
        <w:rPr>
          <w:lang w:val="en-US"/>
        </w:rPr>
        <w:t>eficienţei</w:t>
      </w:r>
      <w:proofErr w:type="spellEnd"/>
      <w:r w:rsidRPr="00CD0E9E">
        <w:rPr>
          <w:lang w:val="en-US"/>
        </w:rPr>
        <w:t xml:space="preserve"> </w:t>
      </w:r>
      <w:proofErr w:type="spellStart"/>
      <w:r w:rsidRPr="00CD0E9E">
        <w:rPr>
          <w:lang w:val="en-US"/>
        </w:rPr>
        <w:t>pentru</w:t>
      </w:r>
      <w:proofErr w:type="spellEnd"/>
      <w:r w:rsidRPr="00CD0E9E">
        <w:rPr>
          <w:lang w:val="en-US"/>
        </w:rPr>
        <w:t xml:space="preserve"> </w:t>
      </w:r>
      <w:proofErr w:type="spellStart"/>
      <w:r w:rsidRPr="00CD0E9E">
        <w:rPr>
          <w:lang w:val="en-US"/>
        </w:rPr>
        <w:t>producerea</w:t>
      </w:r>
      <w:proofErr w:type="spellEnd"/>
      <w:r w:rsidRPr="00CD0E9E">
        <w:rPr>
          <w:lang w:val="en-US"/>
        </w:rPr>
        <w:t xml:space="preserve"> </w:t>
      </w:r>
      <w:proofErr w:type="spellStart"/>
      <w:r w:rsidRPr="00CD0E9E">
        <w:rPr>
          <w:lang w:val="en-US"/>
        </w:rPr>
        <w:t>separată</w:t>
      </w:r>
      <w:proofErr w:type="spellEnd"/>
      <w:r w:rsidRPr="00CD0E9E">
        <w:rPr>
          <w:lang w:val="en-US"/>
        </w:rPr>
        <w:t xml:space="preserve"> de </w:t>
      </w:r>
      <w:proofErr w:type="spellStart"/>
      <w:r w:rsidRPr="00CD0E9E">
        <w:rPr>
          <w:lang w:val="en-US"/>
        </w:rPr>
        <w:t>energie</w:t>
      </w:r>
      <w:proofErr w:type="spellEnd"/>
      <w:r w:rsidRPr="00CD0E9E">
        <w:rPr>
          <w:lang w:val="en-US"/>
        </w:rPr>
        <w:t xml:space="preserve"> </w:t>
      </w:r>
      <w:proofErr w:type="spellStart"/>
      <w:r w:rsidRPr="00CD0E9E">
        <w:rPr>
          <w:lang w:val="en-US"/>
        </w:rPr>
        <w:t>electrică</w:t>
      </w:r>
      <w:proofErr w:type="spellEnd"/>
      <w:r w:rsidR="0031578A">
        <w:rPr>
          <w:lang w:val="en-US"/>
        </w:rPr>
        <w:t>, %</w:t>
      </w:r>
      <w:r w:rsidR="00D90CDF" w:rsidRPr="00CD0E9E">
        <w:rPr>
          <w:lang w:val="en-US"/>
        </w:rPr>
        <w:t>;</w:t>
      </w:r>
    </w:p>
    <w:p w:rsidR="0031578A" w:rsidRDefault="00D90CDF" w:rsidP="0031578A">
      <w:pPr>
        <w:pStyle w:val="NormalWeb"/>
        <w:spacing w:after="120"/>
        <w:ind w:left="-499" w:firstLine="0"/>
        <w:rPr>
          <w:lang w:val="en-US"/>
        </w:rPr>
      </w:pPr>
      <w:proofErr w:type="spellStart"/>
      <w:r w:rsidRPr="00CD0E9E">
        <w:rPr>
          <w:rFonts w:eastAsia="Calibri"/>
          <w:color w:val="000000"/>
          <w:lang w:eastAsia="en-US"/>
        </w:rPr>
        <w:t>Ref</w:t>
      </w:r>
      <w:proofErr w:type="spellEnd"/>
      <w:r w:rsidRPr="00CD0E9E">
        <w:rPr>
          <w:rFonts w:eastAsia="Calibri"/>
          <w:color w:val="000000"/>
          <w:lang w:eastAsia="en-US"/>
        </w:rPr>
        <w:t xml:space="preserve"> </w:t>
      </w:r>
      <w:proofErr w:type="spellStart"/>
      <w:r w:rsidRPr="00CD0E9E">
        <w:rPr>
          <w:rFonts w:eastAsia="Calibri"/>
          <w:color w:val="000000"/>
          <w:lang w:val="ru-RU" w:eastAsia="en-US"/>
        </w:rPr>
        <w:t>Εη</w:t>
      </w:r>
      <w:proofErr w:type="spellEnd"/>
      <w:r w:rsidRPr="00CD0E9E">
        <w:rPr>
          <w:rFonts w:eastAsia="Calibri"/>
          <w:color w:val="000000"/>
          <w:vertAlign w:val="subscript"/>
          <w:lang w:eastAsia="en-US"/>
        </w:rPr>
        <w:t>0</w:t>
      </w:r>
      <w:r w:rsidRPr="00CD0E9E">
        <w:rPr>
          <w:rFonts w:eastAsia="Calibri"/>
          <w:color w:val="000000"/>
          <w:lang w:eastAsia="en-US"/>
        </w:rPr>
        <w:t xml:space="preserve"> - </w:t>
      </w:r>
      <w:proofErr w:type="spellStart"/>
      <w:r w:rsidRPr="00CD0E9E">
        <w:rPr>
          <w:lang w:val="en-US"/>
        </w:rPr>
        <w:t>valoarea</w:t>
      </w:r>
      <w:proofErr w:type="spellEnd"/>
      <w:r w:rsidRPr="00CD0E9E">
        <w:rPr>
          <w:lang w:val="en-US"/>
        </w:rPr>
        <w:t xml:space="preserve"> de </w:t>
      </w:r>
      <w:proofErr w:type="spellStart"/>
      <w:r w:rsidRPr="00CD0E9E">
        <w:rPr>
          <w:lang w:val="en-US"/>
        </w:rPr>
        <w:t>referinţă</w:t>
      </w:r>
      <w:proofErr w:type="spellEnd"/>
      <w:r w:rsidRPr="00CD0E9E">
        <w:rPr>
          <w:lang w:val="en-US"/>
        </w:rPr>
        <w:t xml:space="preserve"> </w:t>
      </w:r>
      <w:proofErr w:type="spellStart"/>
      <w:r w:rsidRPr="00CD0E9E">
        <w:rPr>
          <w:lang w:val="en-US"/>
        </w:rPr>
        <w:t>armonizat</w:t>
      </w:r>
      <w:r w:rsidR="00CD0E9E">
        <w:rPr>
          <w:lang w:val="en-US"/>
        </w:rPr>
        <w:t>ă</w:t>
      </w:r>
      <w:proofErr w:type="spellEnd"/>
      <w:r w:rsidRPr="00CD0E9E">
        <w:rPr>
          <w:lang w:val="en-US"/>
        </w:rPr>
        <w:t xml:space="preserve"> a </w:t>
      </w:r>
      <w:proofErr w:type="spellStart"/>
      <w:r w:rsidRPr="00CD0E9E">
        <w:rPr>
          <w:lang w:val="en-US"/>
        </w:rPr>
        <w:t>eficienţei</w:t>
      </w:r>
      <w:proofErr w:type="spellEnd"/>
      <w:r w:rsidRPr="00CD0E9E">
        <w:rPr>
          <w:lang w:val="en-US"/>
        </w:rPr>
        <w:t xml:space="preserve"> </w:t>
      </w:r>
      <w:proofErr w:type="spellStart"/>
      <w:r w:rsidRPr="00CD0E9E">
        <w:rPr>
          <w:lang w:val="en-US"/>
        </w:rPr>
        <w:t>pentru</w:t>
      </w:r>
      <w:proofErr w:type="spellEnd"/>
      <w:r w:rsidRPr="00CD0E9E">
        <w:rPr>
          <w:lang w:val="en-US"/>
        </w:rPr>
        <w:t xml:space="preserve"> </w:t>
      </w:r>
      <w:proofErr w:type="spellStart"/>
      <w:r w:rsidRPr="00CD0E9E">
        <w:rPr>
          <w:lang w:val="en-US"/>
        </w:rPr>
        <w:t>producerea</w:t>
      </w:r>
      <w:proofErr w:type="spellEnd"/>
      <w:r w:rsidRPr="00CD0E9E">
        <w:rPr>
          <w:lang w:val="en-US"/>
        </w:rPr>
        <w:t xml:space="preserve"> </w:t>
      </w:r>
      <w:proofErr w:type="spellStart"/>
      <w:r w:rsidRPr="00CD0E9E">
        <w:rPr>
          <w:lang w:val="en-US"/>
        </w:rPr>
        <w:t>separată</w:t>
      </w:r>
      <w:proofErr w:type="spellEnd"/>
      <w:r w:rsidRPr="00CD0E9E">
        <w:rPr>
          <w:lang w:val="en-US"/>
        </w:rPr>
        <w:t xml:space="preserve"> de </w:t>
      </w:r>
      <w:proofErr w:type="spellStart"/>
      <w:r w:rsidRPr="00CD0E9E">
        <w:rPr>
          <w:lang w:val="en-US"/>
        </w:rPr>
        <w:t>energie</w:t>
      </w:r>
      <w:proofErr w:type="spellEnd"/>
      <w:r w:rsidRPr="00CD0E9E">
        <w:rPr>
          <w:lang w:val="en-US"/>
        </w:rPr>
        <w:t xml:space="preserve"> </w:t>
      </w:r>
      <w:proofErr w:type="spellStart"/>
      <w:r w:rsidRPr="00CD0E9E">
        <w:rPr>
          <w:lang w:val="en-US"/>
        </w:rPr>
        <w:t>electrică</w:t>
      </w:r>
      <w:proofErr w:type="spellEnd"/>
      <w:r w:rsidRPr="00CD0E9E">
        <w:rPr>
          <w:lang w:val="en-US"/>
        </w:rPr>
        <w:t xml:space="preserve">, conform </w:t>
      </w:r>
      <w:proofErr w:type="spellStart"/>
      <w:r w:rsidRPr="00CD0E9E">
        <w:rPr>
          <w:lang w:val="en-US"/>
        </w:rPr>
        <w:t>Tabelului</w:t>
      </w:r>
      <w:proofErr w:type="spellEnd"/>
      <w:r w:rsidRPr="00CD0E9E">
        <w:rPr>
          <w:lang w:val="en-US"/>
        </w:rPr>
        <w:t xml:space="preserve"> </w:t>
      </w:r>
      <w:proofErr w:type="spellStart"/>
      <w:r w:rsidRPr="00CD0E9E">
        <w:rPr>
          <w:lang w:val="en-US"/>
        </w:rPr>
        <w:t>nr</w:t>
      </w:r>
      <w:proofErr w:type="spellEnd"/>
      <w:r w:rsidRPr="00CD0E9E">
        <w:rPr>
          <w:lang w:val="en-US"/>
        </w:rPr>
        <w:t>. 1</w:t>
      </w:r>
      <w:r w:rsidR="00CD0E9E">
        <w:rPr>
          <w:lang w:val="en-US"/>
        </w:rPr>
        <w:t xml:space="preserve"> </w:t>
      </w:r>
      <w:r w:rsidR="00CD0E9E" w:rsidRPr="00464AFD">
        <w:rPr>
          <w:lang w:val="en-US"/>
        </w:rPr>
        <w:t>(</w:t>
      </w:r>
      <w:proofErr w:type="spellStart"/>
      <w:r w:rsidR="00CD0E9E" w:rsidRPr="00464AFD">
        <w:rPr>
          <w:lang w:val="en-US"/>
        </w:rPr>
        <w:t>ibidem</w:t>
      </w:r>
      <w:proofErr w:type="spellEnd"/>
      <w:r w:rsidR="00CD0E9E" w:rsidRPr="00464AFD">
        <w:rPr>
          <w:lang w:val="en-US"/>
        </w:rPr>
        <w:t>)</w:t>
      </w:r>
      <w:r w:rsidR="0031578A">
        <w:rPr>
          <w:lang w:val="en-US"/>
        </w:rPr>
        <w:t>, %</w:t>
      </w:r>
      <w:r w:rsidRPr="00CD0E9E">
        <w:rPr>
          <w:lang w:val="en-US"/>
        </w:rPr>
        <w:t>;</w:t>
      </w:r>
    </w:p>
    <w:p w:rsidR="00D90CDF" w:rsidRPr="00CD0E9E" w:rsidRDefault="00D90CDF" w:rsidP="0031578A">
      <w:pPr>
        <w:pStyle w:val="NormalWeb"/>
        <w:spacing w:after="120"/>
        <w:ind w:left="-499" w:firstLine="0"/>
        <w:rPr>
          <w:lang w:val="en-US"/>
        </w:rPr>
      </w:pPr>
      <w:proofErr w:type="spellStart"/>
      <w:r w:rsidRPr="00CD0E9E">
        <w:t>F</w:t>
      </w:r>
      <w:r w:rsidRPr="00CD0E9E">
        <w:rPr>
          <w:vertAlign w:val="subscript"/>
        </w:rPr>
        <w:t>cp</w:t>
      </w:r>
      <w:proofErr w:type="spellEnd"/>
      <w:r w:rsidRPr="00CD0E9E">
        <w:t xml:space="preserve"> - factorul de corecție </w:t>
      </w:r>
      <w:r w:rsidR="0031578A" w:rsidRPr="00CD0E9E">
        <w:t>pentru energia electrică consumată la fața locului</w:t>
      </w:r>
      <w:r w:rsidR="0031578A" w:rsidRPr="00CD0E9E">
        <w:t xml:space="preserve"> </w:t>
      </w:r>
      <w:r w:rsidRPr="00CD0E9E">
        <w:t xml:space="preserve">referitor la pierderile în rețea evitate, </w:t>
      </w:r>
      <w:proofErr w:type="spellStart"/>
      <w:r w:rsidR="0031578A">
        <w:rPr>
          <w:rFonts w:eastAsia="Calibri"/>
          <w:bCs/>
          <w:color w:val="000000"/>
          <w:lang w:val="en-US" w:eastAsia="en-US"/>
        </w:rPr>
        <w:t>utilizat</w:t>
      </w:r>
      <w:proofErr w:type="spellEnd"/>
      <w:r w:rsidR="0031578A" w:rsidRPr="0031578A">
        <w:rPr>
          <w:rFonts w:eastAsia="Calibri"/>
          <w:bCs/>
          <w:color w:val="000000"/>
          <w:lang w:val="en-US" w:eastAsia="en-US"/>
        </w:rPr>
        <w:t xml:space="preserve"> </w:t>
      </w:r>
      <w:proofErr w:type="spellStart"/>
      <w:r w:rsidR="0031578A" w:rsidRPr="0031578A">
        <w:rPr>
          <w:rFonts w:eastAsia="Calibri"/>
          <w:bCs/>
          <w:color w:val="000000"/>
          <w:lang w:val="en-US" w:eastAsia="en-US"/>
        </w:rPr>
        <w:t>pentru</w:t>
      </w:r>
      <w:proofErr w:type="spellEnd"/>
      <w:r w:rsidR="0031578A" w:rsidRPr="0031578A">
        <w:rPr>
          <w:rFonts w:eastAsia="Calibri"/>
          <w:bCs/>
          <w:color w:val="000000"/>
          <w:lang w:val="en-US" w:eastAsia="en-US"/>
        </w:rPr>
        <w:t xml:space="preserve"> </w:t>
      </w:r>
      <w:proofErr w:type="spellStart"/>
      <w:r w:rsidR="0031578A" w:rsidRPr="0031578A">
        <w:rPr>
          <w:rFonts w:eastAsia="Calibri"/>
          <w:bCs/>
          <w:color w:val="000000"/>
          <w:lang w:val="en-US" w:eastAsia="en-US"/>
        </w:rPr>
        <w:t>aplicarea</w:t>
      </w:r>
      <w:proofErr w:type="spellEnd"/>
      <w:r w:rsidR="0031578A" w:rsidRPr="0031578A">
        <w:rPr>
          <w:rFonts w:eastAsia="Calibri"/>
          <w:bCs/>
          <w:color w:val="000000"/>
          <w:lang w:val="en-US" w:eastAsia="en-US"/>
        </w:rPr>
        <w:t xml:space="preserve"> </w:t>
      </w:r>
      <w:proofErr w:type="spellStart"/>
      <w:r w:rsidR="0031578A" w:rsidRPr="0031578A">
        <w:rPr>
          <w:rFonts w:eastAsia="Calibri"/>
          <w:bCs/>
          <w:color w:val="000000"/>
          <w:lang w:val="en-US" w:eastAsia="en-US"/>
        </w:rPr>
        <w:t>valorilor</w:t>
      </w:r>
      <w:proofErr w:type="spellEnd"/>
      <w:r w:rsidR="0031578A" w:rsidRPr="0031578A">
        <w:rPr>
          <w:rFonts w:eastAsia="Calibri"/>
          <w:bCs/>
          <w:color w:val="000000"/>
          <w:lang w:val="en-US" w:eastAsia="en-US"/>
        </w:rPr>
        <w:t xml:space="preserve"> de </w:t>
      </w:r>
      <w:proofErr w:type="spellStart"/>
      <w:r w:rsidR="0031578A" w:rsidRPr="0031578A">
        <w:rPr>
          <w:rFonts w:eastAsia="Calibri"/>
          <w:bCs/>
          <w:color w:val="000000"/>
          <w:lang w:val="en-US" w:eastAsia="en-US"/>
        </w:rPr>
        <w:t>referință</w:t>
      </w:r>
      <w:proofErr w:type="spellEnd"/>
      <w:r w:rsidR="0031578A" w:rsidRPr="0031578A">
        <w:rPr>
          <w:rFonts w:eastAsia="Calibri"/>
          <w:bCs/>
          <w:color w:val="000000"/>
          <w:lang w:val="en-US" w:eastAsia="en-US"/>
        </w:rPr>
        <w:t xml:space="preserve"> </w:t>
      </w:r>
      <w:proofErr w:type="spellStart"/>
      <w:r w:rsidR="0031578A" w:rsidRPr="0031578A">
        <w:rPr>
          <w:rFonts w:eastAsia="Calibri"/>
          <w:bCs/>
          <w:color w:val="000000"/>
          <w:lang w:val="en-US" w:eastAsia="en-US"/>
        </w:rPr>
        <w:t>armonizate</w:t>
      </w:r>
      <w:proofErr w:type="spellEnd"/>
      <w:r w:rsidR="0031578A" w:rsidRPr="0031578A">
        <w:rPr>
          <w:rFonts w:eastAsia="Calibri"/>
          <w:bCs/>
          <w:color w:val="000000"/>
          <w:lang w:val="en-US" w:eastAsia="en-US"/>
        </w:rPr>
        <w:t xml:space="preserve"> ale </w:t>
      </w:r>
      <w:proofErr w:type="spellStart"/>
      <w:r w:rsidR="0031578A" w:rsidRPr="0031578A">
        <w:rPr>
          <w:rFonts w:eastAsia="Calibri"/>
          <w:bCs/>
          <w:color w:val="000000"/>
          <w:lang w:val="en-US" w:eastAsia="en-US"/>
        </w:rPr>
        <w:t>randamentului</w:t>
      </w:r>
      <w:proofErr w:type="spellEnd"/>
      <w:r w:rsidR="0031578A" w:rsidRPr="0031578A">
        <w:rPr>
          <w:rFonts w:eastAsia="Calibri"/>
          <w:bCs/>
          <w:color w:val="000000"/>
          <w:lang w:val="en-US" w:eastAsia="en-US"/>
        </w:rPr>
        <w:t xml:space="preserve"> </w:t>
      </w:r>
      <w:proofErr w:type="spellStart"/>
      <w:r w:rsidR="0031578A" w:rsidRPr="0031578A">
        <w:rPr>
          <w:rFonts w:eastAsia="Calibri"/>
          <w:bCs/>
          <w:color w:val="000000"/>
          <w:lang w:val="en-US" w:eastAsia="en-US"/>
        </w:rPr>
        <w:t>pentru</w:t>
      </w:r>
      <w:proofErr w:type="spellEnd"/>
      <w:r w:rsidR="0031578A" w:rsidRPr="0031578A">
        <w:rPr>
          <w:rFonts w:eastAsia="Calibri"/>
          <w:bCs/>
          <w:color w:val="000000"/>
          <w:lang w:val="en-US" w:eastAsia="en-US"/>
        </w:rPr>
        <w:t xml:space="preserve"> </w:t>
      </w:r>
      <w:proofErr w:type="spellStart"/>
      <w:r w:rsidR="0031578A" w:rsidRPr="0031578A">
        <w:rPr>
          <w:rFonts w:eastAsia="Calibri"/>
          <w:bCs/>
          <w:color w:val="000000"/>
          <w:lang w:val="en-US" w:eastAsia="en-US"/>
        </w:rPr>
        <w:t>produc</w:t>
      </w:r>
      <w:r w:rsidR="0031578A">
        <w:rPr>
          <w:rFonts w:eastAsia="Calibri"/>
          <w:bCs/>
          <w:color w:val="000000"/>
          <w:lang w:val="en-US" w:eastAsia="en-US"/>
        </w:rPr>
        <w:t>ere</w:t>
      </w:r>
      <w:r w:rsidR="0031578A" w:rsidRPr="0031578A">
        <w:rPr>
          <w:rFonts w:eastAsia="Calibri"/>
          <w:bCs/>
          <w:color w:val="000000"/>
          <w:lang w:val="en-US" w:eastAsia="en-US"/>
        </w:rPr>
        <w:t>a</w:t>
      </w:r>
      <w:proofErr w:type="spellEnd"/>
      <w:r w:rsidR="0031578A" w:rsidRPr="0031578A">
        <w:rPr>
          <w:rFonts w:eastAsia="Calibri"/>
          <w:bCs/>
          <w:color w:val="000000"/>
          <w:lang w:val="en-US" w:eastAsia="en-US"/>
        </w:rPr>
        <w:t xml:space="preserve"> </w:t>
      </w:r>
      <w:proofErr w:type="spellStart"/>
      <w:r w:rsidR="0031578A" w:rsidRPr="0031578A">
        <w:rPr>
          <w:rFonts w:eastAsia="Calibri"/>
          <w:bCs/>
          <w:color w:val="000000"/>
          <w:lang w:val="en-US" w:eastAsia="en-US"/>
        </w:rPr>
        <w:t>separată</w:t>
      </w:r>
      <w:proofErr w:type="spellEnd"/>
      <w:r w:rsidR="0031578A" w:rsidRPr="0031578A">
        <w:rPr>
          <w:rFonts w:eastAsia="Calibri"/>
          <w:bCs/>
          <w:color w:val="000000"/>
          <w:lang w:val="en-US" w:eastAsia="en-US"/>
        </w:rPr>
        <w:t xml:space="preserve"> de </w:t>
      </w:r>
      <w:proofErr w:type="spellStart"/>
      <w:r w:rsidR="0031578A" w:rsidRPr="0031578A">
        <w:rPr>
          <w:rFonts w:eastAsia="Calibri"/>
          <w:bCs/>
          <w:color w:val="000000"/>
          <w:lang w:val="en-US" w:eastAsia="en-US"/>
        </w:rPr>
        <w:t>energie</w:t>
      </w:r>
      <w:proofErr w:type="spellEnd"/>
      <w:r w:rsidR="0031578A" w:rsidRPr="0031578A">
        <w:rPr>
          <w:rFonts w:eastAsia="Calibri"/>
          <w:bCs/>
          <w:color w:val="000000"/>
          <w:lang w:val="en-US" w:eastAsia="en-US"/>
        </w:rPr>
        <w:t xml:space="preserve"> </w:t>
      </w:r>
      <w:proofErr w:type="spellStart"/>
      <w:r w:rsidR="0031578A" w:rsidRPr="0031578A">
        <w:rPr>
          <w:rFonts w:eastAsia="Calibri"/>
          <w:bCs/>
          <w:color w:val="000000"/>
          <w:lang w:val="en-US" w:eastAsia="en-US"/>
        </w:rPr>
        <w:t>electrică</w:t>
      </w:r>
      <w:proofErr w:type="spellEnd"/>
      <w:r w:rsidRPr="00CD0E9E">
        <w:t>;</w:t>
      </w:r>
    </w:p>
    <w:p w:rsidR="00D90CDF" w:rsidRPr="00CD0E9E" w:rsidRDefault="00D90CDF" w:rsidP="0031578A">
      <w:pPr>
        <w:pStyle w:val="NormalWeb"/>
        <w:spacing w:after="120"/>
        <w:ind w:left="-499" w:firstLine="0"/>
      </w:pPr>
      <w:r w:rsidRPr="00CD0E9E">
        <w:t>F</w:t>
      </w:r>
      <w:r w:rsidRPr="00CD0E9E">
        <w:rPr>
          <w:vertAlign w:val="subscript"/>
        </w:rPr>
        <w:t>e</w:t>
      </w:r>
      <w:r w:rsidRPr="00CD0E9E">
        <w:t xml:space="preserve"> - factorul de corecție </w:t>
      </w:r>
      <w:r w:rsidR="0031578A" w:rsidRPr="00CD0E9E">
        <w:t>pentru energia electrică exportată în rețea</w:t>
      </w:r>
      <w:r w:rsidR="0031578A" w:rsidRPr="00CD0E9E">
        <w:t xml:space="preserve"> </w:t>
      </w:r>
      <w:r w:rsidRPr="00CD0E9E">
        <w:t>referitor la pierderile în rețea evitate,</w:t>
      </w:r>
      <w:r w:rsidR="0031578A" w:rsidRPr="0031578A">
        <w:rPr>
          <w:rFonts w:eastAsia="Calibri"/>
          <w:bCs/>
          <w:color w:val="000000"/>
          <w:lang w:val="en-US" w:eastAsia="en-US"/>
        </w:rPr>
        <w:t xml:space="preserve"> </w:t>
      </w:r>
      <w:proofErr w:type="spellStart"/>
      <w:r w:rsidR="0031578A">
        <w:rPr>
          <w:rFonts w:eastAsia="Calibri"/>
          <w:bCs/>
          <w:color w:val="000000"/>
          <w:lang w:val="en-US" w:eastAsia="en-US"/>
        </w:rPr>
        <w:t>utilizat</w:t>
      </w:r>
      <w:proofErr w:type="spellEnd"/>
      <w:r w:rsidR="0031578A" w:rsidRPr="0031578A">
        <w:rPr>
          <w:rFonts w:eastAsia="Calibri"/>
          <w:bCs/>
          <w:color w:val="000000"/>
          <w:lang w:val="en-US" w:eastAsia="en-US"/>
        </w:rPr>
        <w:t xml:space="preserve"> </w:t>
      </w:r>
      <w:proofErr w:type="spellStart"/>
      <w:r w:rsidR="0031578A" w:rsidRPr="0031578A">
        <w:rPr>
          <w:rFonts w:eastAsia="Calibri"/>
          <w:bCs/>
          <w:color w:val="000000"/>
          <w:lang w:val="en-US" w:eastAsia="en-US"/>
        </w:rPr>
        <w:t>pentru</w:t>
      </w:r>
      <w:proofErr w:type="spellEnd"/>
      <w:r w:rsidR="0031578A" w:rsidRPr="0031578A">
        <w:rPr>
          <w:rFonts w:eastAsia="Calibri"/>
          <w:bCs/>
          <w:color w:val="000000"/>
          <w:lang w:val="en-US" w:eastAsia="en-US"/>
        </w:rPr>
        <w:t xml:space="preserve"> </w:t>
      </w:r>
      <w:proofErr w:type="spellStart"/>
      <w:r w:rsidR="0031578A" w:rsidRPr="0031578A">
        <w:rPr>
          <w:rFonts w:eastAsia="Calibri"/>
          <w:bCs/>
          <w:color w:val="000000"/>
          <w:lang w:val="en-US" w:eastAsia="en-US"/>
        </w:rPr>
        <w:t>aplicarea</w:t>
      </w:r>
      <w:proofErr w:type="spellEnd"/>
      <w:r w:rsidR="0031578A" w:rsidRPr="0031578A">
        <w:rPr>
          <w:rFonts w:eastAsia="Calibri"/>
          <w:bCs/>
          <w:color w:val="000000"/>
          <w:lang w:val="en-US" w:eastAsia="en-US"/>
        </w:rPr>
        <w:t xml:space="preserve"> </w:t>
      </w:r>
      <w:proofErr w:type="spellStart"/>
      <w:r w:rsidR="0031578A" w:rsidRPr="0031578A">
        <w:rPr>
          <w:rFonts w:eastAsia="Calibri"/>
          <w:bCs/>
          <w:color w:val="000000"/>
          <w:lang w:val="en-US" w:eastAsia="en-US"/>
        </w:rPr>
        <w:t>valorilor</w:t>
      </w:r>
      <w:proofErr w:type="spellEnd"/>
      <w:r w:rsidR="0031578A" w:rsidRPr="0031578A">
        <w:rPr>
          <w:rFonts w:eastAsia="Calibri"/>
          <w:bCs/>
          <w:color w:val="000000"/>
          <w:lang w:val="en-US" w:eastAsia="en-US"/>
        </w:rPr>
        <w:t xml:space="preserve"> de </w:t>
      </w:r>
      <w:proofErr w:type="spellStart"/>
      <w:r w:rsidR="0031578A" w:rsidRPr="0031578A">
        <w:rPr>
          <w:rFonts w:eastAsia="Calibri"/>
          <w:bCs/>
          <w:color w:val="000000"/>
          <w:lang w:val="en-US" w:eastAsia="en-US"/>
        </w:rPr>
        <w:t>referință</w:t>
      </w:r>
      <w:proofErr w:type="spellEnd"/>
      <w:r w:rsidR="0031578A" w:rsidRPr="0031578A">
        <w:rPr>
          <w:rFonts w:eastAsia="Calibri"/>
          <w:bCs/>
          <w:color w:val="000000"/>
          <w:lang w:val="en-US" w:eastAsia="en-US"/>
        </w:rPr>
        <w:t xml:space="preserve"> </w:t>
      </w:r>
      <w:proofErr w:type="spellStart"/>
      <w:r w:rsidR="0031578A" w:rsidRPr="0031578A">
        <w:rPr>
          <w:rFonts w:eastAsia="Calibri"/>
          <w:bCs/>
          <w:color w:val="000000"/>
          <w:lang w:val="en-US" w:eastAsia="en-US"/>
        </w:rPr>
        <w:t>armonizate</w:t>
      </w:r>
      <w:proofErr w:type="spellEnd"/>
      <w:r w:rsidR="0031578A" w:rsidRPr="0031578A">
        <w:rPr>
          <w:rFonts w:eastAsia="Calibri"/>
          <w:bCs/>
          <w:color w:val="000000"/>
          <w:lang w:val="en-US" w:eastAsia="en-US"/>
        </w:rPr>
        <w:t xml:space="preserve"> ale </w:t>
      </w:r>
      <w:proofErr w:type="spellStart"/>
      <w:r w:rsidR="0031578A" w:rsidRPr="0031578A">
        <w:rPr>
          <w:rFonts w:eastAsia="Calibri"/>
          <w:bCs/>
          <w:color w:val="000000"/>
          <w:lang w:val="en-US" w:eastAsia="en-US"/>
        </w:rPr>
        <w:t>randamentului</w:t>
      </w:r>
      <w:proofErr w:type="spellEnd"/>
      <w:r w:rsidR="0031578A" w:rsidRPr="0031578A">
        <w:rPr>
          <w:rFonts w:eastAsia="Calibri"/>
          <w:bCs/>
          <w:color w:val="000000"/>
          <w:lang w:val="en-US" w:eastAsia="en-US"/>
        </w:rPr>
        <w:t xml:space="preserve"> </w:t>
      </w:r>
      <w:proofErr w:type="spellStart"/>
      <w:r w:rsidR="0031578A" w:rsidRPr="0031578A">
        <w:rPr>
          <w:rFonts w:eastAsia="Calibri"/>
          <w:bCs/>
          <w:color w:val="000000"/>
          <w:lang w:val="en-US" w:eastAsia="en-US"/>
        </w:rPr>
        <w:t>pentru</w:t>
      </w:r>
      <w:proofErr w:type="spellEnd"/>
      <w:r w:rsidR="0031578A" w:rsidRPr="0031578A">
        <w:rPr>
          <w:rFonts w:eastAsia="Calibri"/>
          <w:bCs/>
          <w:color w:val="000000"/>
          <w:lang w:val="en-US" w:eastAsia="en-US"/>
        </w:rPr>
        <w:t xml:space="preserve"> </w:t>
      </w:r>
      <w:proofErr w:type="spellStart"/>
      <w:r w:rsidR="0031578A" w:rsidRPr="0031578A">
        <w:rPr>
          <w:rFonts w:eastAsia="Calibri"/>
          <w:bCs/>
          <w:color w:val="000000"/>
          <w:lang w:val="en-US" w:eastAsia="en-US"/>
        </w:rPr>
        <w:t>produc</w:t>
      </w:r>
      <w:r w:rsidR="0031578A">
        <w:rPr>
          <w:rFonts w:eastAsia="Calibri"/>
          <w:bCs/>
          <w:color w:val="000000"/>
          <w:lang w:val="en-US" w:eastAsia="en-US"/>
        </w:rPr>
        <w:t>ere</w:t>
      </w:r>
      <w:r w:rsidR="0031578A" w:rsidRPr="0031578A">
        <w:rPr>
          <w:rFonts w:eastAsia="Calibri"/>
          <w:bCs/>
          <w:color w:val="000000"/>
          <w:lang w:val="en-US" w:eastAsia="en-US"/>
        </w:rPr>
        <w:t>a</w:t>
      </w:r>
      <w:proofErr w:type="spellEnd"/>
      <w:r w:rsidR="0031578A" w:rsidRPr="0031578A">
        <w:rPr>
          <w:rFonts w:eastAsia="Calibri"/>
          <w:bCs/>
          <w:color w:val="000000"/>
          <w:lang w:val="en-US" w:eastAsia="en-US"/>
        </w:rPr>
        <w:t xml:space="preserve"> </w:t>
      </w:r>
      <w:proofErr w:type="spellStart"/>
      <w:r w:rsidR="0031578A" w:rsidRPr="0031578A">
        <w:rPr>
          <w:rFonts w:eastAsia="Calibri"/>
          <w:bCs/>
          <w:color w:val="000000"/>
          <w:lang w:val="en-US" w:eastAsia="en-US"/>
        </w:rPr>
        <w:t>separată</w:t>
      </w:r>
      <w:proofErr w:type="spellEnd"/>
      <w:r w:rsidR="0031578A" w:rsidRPr="0031578A">
        <w:rPr>
          <w:rFonts w:eastAsia="Calibri"/>
          <w:bCs/>
          <w:color w:val="000000"/>
          <w:lang w:val="en-US" w:eastAsia="en-US"/>
        </w:rPr>
        <w:t xml:space="preserve"> de </w:t>
      </w:r>
      <w:proofErr w:type="spellStart"/>
      <w:r w:rsidR="0031578A" w:rsidRPr="0031578A">
        <w:rPr>
          <w:rFonts w:eastAsia="Calibri"/>
          <w:bCs/>
          <w:color w:val="000000"/>
          <w:lang w:val="en-US" w:eastAsia="en-US"/>
        </w:rPr>
        <w:t>energie</w:t>
      </w:r>
      <w:proofErr w:type="spellEnd"/>
      <w:r w:rsidR="0031578A" w:rsidRPr="0031578A">
        <w:rPr>
          <w:rFonts w:eastAsia="Calibri"/>
          <w:bCs/>
          <w:color w:val="000000"/>
          <w:lang w:val="en-US" w:eastAsia="en-US"/>
        </w:rPr>
        <w:t xml:space="preserve"> </w:t>
      </w:r>
      <w:proofErr w:type="spellStart"/>
      <w:r w:rsidR="0031578A" w:rsidRPr="0031578A">
        <w:rPr>
          <w:rFonts w:eastAsia="Calibri"/>
          <w:bCs/>
          <w:color w:val="000000"/>
          <w:lang w:val="en-US" w:eastAsia="en-US"/>
        </w:rPr>
        <w:t>electrică</w:t>
      </w:r>
      <w:proofErr w:type="spellEnd"/>
      <w:r w:rsidRPr="00CD0E9E">
        <w:t>;</w:t>
      </w:r>
    </w:p>
    <w:p w:rsidR="00D90CDF" w:rsidRPr="00CD0E9E" w:rsidRDefault="00D90CDF" w:rsidP="00D90CDF">
      <w:pPr>
        <w:pStyle w:val="NormalWeb"/>
        <w:spacing w:after="120"/>
        <w:ind w:left="-499" w:firstLine="0"/>
      </w:pPr>
      <w:proofErr w:type="spellStart"/>
      <w:r w:rsidRPr="00CD0E9E">
        <w:lastRenderedPageBreak/>
        <w:t>E</w:t>
      </w:r>
      <w:r w:rsidRPr="00CD0E9E">
        <w:rPr>
          <w:vertAlign w:val="subscript"/>
        </w:rPr>
        <w:t>cp</w:t>
      </w:r>
      <w:proofErr w:type="spellEnd"/>
      <w:r w:rsidRPr="00CD0E9E">
        <w:t xml:space="preserve"> – energia electrică utilizată pentru consumul propriu, %;</w:t>
      </w:r>
    </w:p>
    <w:p w:rsidR="00CD0E9E" w:rsidRPr="00CD0E9E" w:rsidRDefault="00D90CDF" w:rsidP="0031578A">
      <w:pPr>
        <w:pStyle w:val="NormalWeb"/>
        <w:spacing w:after="240"/>
        <w:ind w:left="-499" w:firstLine="0"/>
      </w:pPr>
      <w:proofErr w:type="spellStart"/>
      <w:r w:rsidRPr="00CD0E9E">
        <w:t>E</w:t>
      </w:r>
      <w:r w:rsidRPr="00CD0E9E">
        <w:rPr>
          <w:vertAlign w:val="subscript"/>
        </w:rPr>
        <w:t>e</w:t>
      </w:r>
      <w:proofErr w:type="spellEnd"/>
      <w:r w:rsidRPr="00CD0E9E">
        <w:t xml:space="preserve"> – energia electrică exportată în rețea, %;</w:t>
      </w:r>
    </w:p>
    <w:p w:rsidR="001077B8" w:rsidRPr="00C923B1" w:rsidRDefault="001077B8" w:rsidP="001077B8">
      <w:pPr>
        <w:pStyle w:val="NormalWeb"/>
        <w:spacing w:after="240" w:line="276" w:lineRule="auto"/>
        <w:ind w:left="-499" w:firstLine="0"/>
        <w:rPr>
          <w:sz w:val="28"/>
          <w:szCs w:val="28"/>
        </w:rPr>
      </w:pPr>
      <w:r w:rsidRPr="00C923B1">
        <w:t xml:space="preserve">9. </w:t>
      </w:r>
      <w:r w:rsidRPr="00C923B1">
        <w:rPr>
          <w:sz w:val="28"/>
          <w:szCs w:val="28"/>
        </w:rPr>
        <w:t>Factorul de corecţie stabilit în pct. 8 se aplică numai valorilor de referinţă prevăzute în pct. 4 din prezenta Anex</w:t>
      </w:r>
      <w:r w:rsidRPr="007C3FF8">
        <w:rPr>
          <w:sz w:val="28"/>
          <w:szCs w:val="28"/>
        </w:rPr>
        <w:t>ă</w:t>
      </w:r>
      <w:r w:rsidRPr="00C923B1">
        <w:rPr>
          <w:sz w:val="28"/>
          <w:szCs w:val="28"/>
        </w:rPr>
        <w:t>.</w:t>
      </w:r>
    </w:p>
    <w:p w:rsidR="00FB0373" w:rsidRDefault="001077B8" w:rsidP="00CD0E9E">
      <w:pPr>
        <w:pStyle w:val="NormalWeb"/>
        <w:spacing w:after="240" w:line="276" w:lineRule="auto"/>
        <w:ind w:left="-499" w:firstLine="0"/>
        <w:rPr>
          <w:sz w:val="28"/>
          <w:szCs w:val="28"/>
        </w:rPr>
      </w:pPr>
      <w:r w:rsidRPr="00C923B1">
        <w:rPr>
          <w:sz w:val="28"/>
          <w:szCs w:val="28"/>
        </w:rPr>
        <w:t xml:space="preserve">10. În situaţiile în care se aplică </w:t>
      </w:r>
      <w:proofErr w:type="spellStart"/>
      <w:r w:rsidRPr="00C923B1">
        <w:rPr>
          <w:sz w:val="28"/>
          <w:szCs w:val="28"/>
        </w:rPr>
        <w:t>atît</w:t>
      </w:r>
      <w:proofErr w:type="spellEnd"/>
      <w:r w:rsidRPr="00C923B1">
        <w:rPr>
          <w:sz w:val="28"/>
          <w:szCs w:val="28"/>
        </w:rPr>
        <w:t xml:space="preserve"> factorul de corecţie prevăzut la pct. 7, </w:t>
      </w:r>
      <w:proofErr w:type="spellStart"/>
      <w:r w:rsidRPr="00C923B1">
        <w:rPr>
          <w:sz w:val="28"/>
          <w:szCs w:val="28"/>
        </w:rPr>
        <w:t>cît</w:t>
      </w:r>
      <w:proofErr w:type="spellEnd"/>
      <w:r w:rsidRPr="00C923B1">
        <w:rPr>
          <w:sz w:val="28"/>
          <w:szCs w:val="28"/>
        </w:rPr>
        <w:t xml:space="preserve"> şi factorul de corecţie prevăzut la pct. 8 din prezenta Anexă, se efectuează mai </w:t>
      </w:r>
      <w:proofErr w:type="spellStart"/>
      <w:r w:rsidRPr="00C923B1">
        <w:rPr>
          <w:sz w:val="28"/>
          <w:szCs w:val="28"/>
        </w:rPr>
        <w:t>întîi</w:t>
      </w:r>
      <w:proofErr w:type="spellEnd"/>
      <w:r w:rsidRPr="00C923B1">
        <w:rPr>
          <w:sz w:val="28"/>
          <w:szCs w:val="28"/>
        </w:rPr>
        <w:t xml:space="preserve"> corecţia cu factorul de corecţie prevăzut la pct. 7 şi ulterior corecţia cu factorul de corecţie prevăzut la pct. 8.</w:t>
      </w:r>
    </w:p>
    <w:p w:rsidR="00CD0E9E" w:rsidRDefault="00CD0E9E" w:rsidP="00CD0E9E">
      <w:pPr>
        <w:pStyle w:val="NormalWeb"/>
        <w:spacing w:after="240" w:line="276" w:lineRule="auto"/>
        <w:ind w:left="-499" w:firstLine="0"/>
        <w:rPr>
          <w:sz w:val="28"/>
          <w:szCs w:val="28"/>
        </w:rPr>
      </w:pPr>
    </w:p>
    <w:p w:rsidR="00CD0E9E" w:rsidRDefault="00CD0E9E" w:rsidP="00CD0E9E">
      <w:pPr>
        <w:pStyle w:val="NormalWeb"/>
        <w:spacing w:after="240" w:line="276" w:lineRule="auto"/>
        <w:ind w:left="-499" w:firstLine="0"/>
        <w:rPr>
          <w:sz w:val="28"/>
          <w:szCs w:val="28"/>
        </w:rPr>
      </w:pPr>
    </w:p>
    <w:p w:rsidR="00CD0E9E" w:rsidRDefault="00CD0E9E" w:rsidP="00CD0E9E">
      <w:pPr>
        <w:pStyle w:val="NormalWeb"/>
        <w:spacing w:after="240" w:line="276" w:lineRule="auto"/>
        <w:ind w:left="-499" w:firstLine="0"/>
        <w:rPr>
          <w:sz w:val="28"/>
          <w:szCs w:val="28"/>
        </w:rPr>
      </w:pPr>
    </w:p>
    <w:p w:rsidR="00CD0E9E" w:rsidRDefault="00CD0E9E" w:rsidP="00CD0E9E">
      <w:pPr>
        <w:pStyle w:val="NormalWeb"/>
        <w:spacing w:after="240" w:line="276" w:lineRule="auto"/>
        <w:ind w:left="-499" w:firstLine="0"/>
        <w:rPr>
          <w:sz w:val="28"/>
          <w:szCs w:val="28"/>
        </w:rPr>
      </w:pPr>
    </w:p>
    <w:p w:rsidR="00CD0E9E" w:rsidRDefault="00CD0E9E" w:rsidP="00CD0E9E">
      <w:pPr>
        <w:pStyle w:val="NormalWeb"/>
        <w:spacing w:after="240" w:line="276" w:lineRule="auto"/>
        <w:ind w:left="-499" w:firstLine="0"/>
        <w:rPr>
          <w:sz w:val="28"/>
          <w:szCs w:val="28"/>
        </w:rPr>
      </w:pPr>
    </w:p>
    <w:p w:rsidR="00CD0E9E" w:rsidRDefault="00CD0E9E" w:rsidP="00CD0E9E">
      <w:pPr>
        <w:pStyle w:val="NormalWeb"/>
        <w:spacing w:after="240" w:line="276" w:lineRule="auto"/>
        <w:ind w:left="-499" w:firstLine="0"/>
        <w:rPr>
          <w:sz w:val="28"/>
          <w:szCs w:val="28"/>
        </w:rPr>
      </w:pPr>
    </w:p>
    <w:p w:rsidR="00CD0E9E" w:rsidRDefault="00CD0E9E" w:rsidP="00CD0E9E">
      <w:pPr>
        <w:pStyle w:val="NormalWeb"/>
        <w:spacing w:after="240" w:line="276" w:lineRule="auto"/>
        <w:ind w:left="-499" w:firstLine="0"/>
        <w:rPr>
          <w:sz w:val="28"/>
          <w:szCs w:val="28"/>
        </w:rPr>
      </w:pPr>
    </w:p>
    <w:p w:rsidR="00CD0E9E" w:rsidRDefault="00CD0E9E" w:rsidP="00CD0E9E">
      <w:pPr>
        <w:pStyle w:val="NormalWeb"/>
        <w:spacing w:after="240" w:line="276" w:lineRule="auto"/>
        <w:ind w:left="-499" w:firstLine="0"/>
        <w:rPr>
          <w:sz w:val="28"/>
          <w:szCs w:val="28"/>
        </w:rPr>
      </w:pPr>
    </w:p>
    <w:p w:rsidR="00CD0E9E" w:rsidRDefault="00CD0E9E" w:rsidP="00CD0E9E">
      <w:pPr>
        <w:pStyle w:val="NormalWeb"/>
        <w:spacing w:after="240" w:line="276" w:lineRule="auto"/>
        <w:ind w:left="-499" w:firstLine="0"/>
        <w:rPr>
          <w:sz w:val="28"/>
          <w:szCs w:val="28"/>
        </w:rPr>
      </w:pPr>
    </w:p>
    <w:p w:rsidR="00CD0E9E" w:rsidRDefault="00CD0E9E" w:rsidP="00CD0E9E">
      <w:pPr>
        <w:pStyle w:val="NormalWeb"/>
        <w:spacing w:after="240" w:line="276" w:lineRule="auto"/>
        <w:ind w:left="-499" w:firstLine="0"/>
        <w:rPr>
          <w:sz w:val="28"/>
          <w:szCs w:val="28"/>
        </w:rPr>
      </w:pPr>
    </w:p>
    <w:p w:rsidR="00CD0E9E" w:rsidRDefault="00CD0E9E" w:rsidP="00CD0E9E">
      <w:pPr>
        <w:pStyle w:val="NormalWeb"/>
        <w:spacing w:after="240" w:line="276" w:lineRule="auto"/>
        <w:ind w:left="-499" w:firstLine="0"/>
        <w:rPr>
          <w:sz w:val="28"/>
          <w:szCs w:val="28"/>
        </w:rPr>
      </w:pPr>
    </w:p>
    <w:p w:rsidR="00CD0E9E" w:rsidRDefault="00CD0E9E" w:rsidP="00CD0E9E">
      <w:pPr>
        <w:pStyle w:val="NormalWeb"/>
        <w:spacing w:after="240" w:line="276" w:lineRule="auto"/>
        <w:ind w:left="-499" w:firstLine="0"/>
        <w:rPr>
          <w:sz w:val="28"/>
          <w:szCs w:val="28"/>
        </w:rPr>
      </w:pPr>
    </w:p>
    <w:p w:rsidR="00CD0E9E" w:rsidRDefault="00CD0E9E" w:rsidP="00CD0E9E">
      <w:pPr>
        <w:pStyle w:val="NormalWeb"/>
        <w:spacing w:after="240" w:line="276" w:lineRule="auto"/>
        <w:ind w:left="-499" w:firstLine="0"/>
        <w:rPr>
          <w:sz w:val="28"/>
          <w:szCs w:val="28"/>
        </w:rPr>
      </w:pPr>
    </w:p>
    <w:p w:rsidR="00CD0E9E" w:rsidRDefault="00CD0E9E" w:rsidP="00CD0E9E">
      <w:pPr>
        <w:pStyle w:val="NormalWeb"/>
        <w:spacing w:after="240" w:line="276" w:lineRule="auto"/>
        <w:ind w:left="-499" w:firstLine="0"/>
        <w:rPr>
          <w:sz w:val="28"/>
          <w:szCs w:val="28"/>
        </w:rPr>
      </w:pPr>
    </w:p>
    <w:p w:rsidR="00CD0E9E" w:rsidRDefault="00CD0E9E" w:rsidP="00CD0E9E">
      <w:pPr>
        <w:pStyle w:val="NormalWeb"/>
        <w:spacing w:after="240" w:line="276" w:lineRule="auto"/>
        <w:ind w:left="-499" w:firstLine="0"/>
        <w:rPr>
          <w:sz w:val="28"/>
          <w:szCs w:val="28"/>
        </w:rPr>
      </w:pPr>
    </w:p>
    <w:p w:rsidR="00CD0E9E" w:rsidRDefault="00CD0E9E" w:rsidP="00CD0E9E">
      <w:pPr>
        <w:pStyle w:val="NormalWeb"/>
        <w:spacing w:after="240" w:line="276" w:lineRule="auto"/>
        <w:ind w:firstLine="0"/>
        <w:rPr>
          <w:sz w:val="28"/>
          <w:szCs w:val="28"/>
        </w:rPr>
      </w:pPr>
    </w:p>
    <w:p w:rsidR="0031578A" w:rsidRDefault="0031578A" w:rsidP="00CD0E9E">
      <w:pPr>
        <w:pStyle w:val="NormalWeb"/>
        <w:spacing w:after="240" w:line="276" w:lineRule="auto"/>
        <w:ind w:firstLine="0"/>
        <w:rPr>
          <w:sz w:val="28"/>
          <w:szCs w:val="28"/>
        </w:rPr>
      </w:pPr>
    </w:p>
    <w:p w:rsidR="0031578A" w:rsidRDefault="0031578A" w:rsidP="00CD0E9E">
      <w:pPr>
        <w:pStyle w:val="NormalWeb"/>
        <w:spacing w:after="240" w:line="276" w:lineRule="auto"/>
        <w:ind w:firstLine="0"/>
        <w:rPr>
          <w:sz w:val="28"/>
          <w:szCs w:val="28"/>
        </w:rPr>
      </w:pPr>
    </w:p>
    <w:p w:rsidR="0031578A" w:rsidRPr="00CD0E9E" w:rsidRDefault="0031578A" w:rsidP="00CD0E9E">
      <w:pPr>
        <w:pStyle w:val="NormalWeb"/>
        <w:spacing w:after="240" w:line="276" w:lineRule="auto"/>
        <w:ind w:firstLine="0"/>
        <w:rPr>
          <w:sz w:val="28"/>
          <w:szCs w:val="28"/>
        </w:rPr>
      </w:pPr>
      <w:bookmarkStart w:id="0" w:name="_GoBack"/>
      <w:bookmarkEnd w:id="0"/>
    </w:p>
    <w:p w:rsidR="001077B8" w:rsidRPr="007C3FF8" w:rsidRDefault="001077B8" w:rsidP="00CD0E9E">
      <w:pPr>
        <w:pStyle w:val="rg"/>
        <w:spacing w:line="276" w:lineRule="auto"/>
        <w:rPr>
          <w:sz w:val="28"/>
          <w:szCs w:val="28"/>
          <w:lang w:val="en-GB"/>
        </w:rPr>
      </w:pPr>
      <w:proofErr w:type="spellStart"/>
      <w:proofErr w:type="gramStart"/>
      <w:r w:rsidRPr="007C3FF8">
        <w:rPr>
          <w:sz w:val="28"/>
          <w:szCs w:val="28"/>
          <w:lang w:val="en-GB"/>
        </w:rPr>
        <w:lastRenderedPageBreak/>
        <w:t>Anexa</w:t>
      </w:r>
      <w:proofErr w:type="spellEnd"/>
      <w:r w:rsidRPr="007C3FF8">
        <w:rPr>
          <w:sz w:val="28"/>
          <w:szCs w:val="28"/>
          <w:lang w:val="en-GB"/>
        </w:rPr>
        <w:t xml:space="preserve"> </w:t>
      </w:r>
      <w:proofErr w:type="spellStart"/>
      <w:r w:rsidRPr="007C3FF8">
        <w:rPr>
          <w:sz w:val="28"/>
          <w:szCs w:val="28"/>
          <w:lang w:val="en-GB"/>
        </w:rPr>
        <w:t>nr</w:t>
      </w:r>
      <w:proofErr w:type="spellEnd"/>
      <w:r w:rsidRPr="007C3FF8">
        <w:rPr>
          <w:sz w:val="28"/>
          <w:szCs w:val="28"/>
          <w:lang w:val="en-GB"/>
        </w:rPr>
        <w:t>.</w:t>
      </w:r>
      <w:proofErr w:type="gramEnd"/>
      <w:r w:rsidRPr="007C3FF8">
        <w:rPr>
          <w:sz w:val="28"/>
          <w:szCs w:val="28"/>
          <w:lang w:val="en-GB"/>
        </w:rPr>
        <w:t xml:space="preserve"> 2</w:t>
      </w:r>
    </w:p>
    <w:p w:rsidR="001077B8" w:rsidRPr="007C3FF8" w:rsidRDefault="001077B8" w:rsidP="00CD0E9E">
      <w:pPr>
        <w:pStyle w:val="rg"/>
        <w:spacing w:line="276" w:lineRule="auto"/>
        <w:rPr>
          <w:sz w:val="28"/>
          <w:szCs w:val="28"/>
          <w:lang w:val="en-GB"/>
        </w:rPr>
      </w:pPr>
      <w:proofErr w:type="gramStart"/>
      <w:r w:rsidRPr="007C3FF8">
        <w:rPr>
          <w:sz w:val="28"/>
          <w:szCs w:val="28"/>
          <w:lang w:val="en-GB"/>
        </w:rPr>
        <w:t>la</w:t>
      </w:r>
      <w:proofErr w:type="gramEnd"/>
      <w:r w:rsidRPr="007C3FF8">
        <w:rPr>
          <w:sz w:val="28"/>
          <w:szCs w:val="28"/>
          <w:lang w:val="en-GB"/>
        </w:rPr>
        <w:t xml:space="preserve"> </w:t>
      </w:r>
      <w:proofErr w:type="spellStart"/>
      <w:r w:rsidRPr="007C3FF8">
        <w:rPr>
          <w:sz w:val="28"/>
          <w:szCs w:val="28"/>
          <w:lang w:val="en-GB"/>
        </w:rPr>
        <w:t>Hotărîrea</w:t>
      </w:r>
      <w:proofErr w:type="spellEnd"/>
      <w:r w:rsidRPr="007C3FF8">
        <w:rPr>
          <w:sz w:val="28"/>
          <w:szCs w:val="28"/>
          <w:lang w:val="en-GB"/>
        </w:rPr>
        <w:t xml:space="preserve"> </w:t>
      </w:r>
      <w:proofErr w:type="spellStart"/>
      <w:r w:rsidRPr="007C3FF8">
        <w:rPr>
          <w:sz w:val="28"/>
          <w:szCs w:val="28"/>
          <w:lang w:val="en-GB"/>
        </w:rPr>
        <w:t>Guvernului</w:t>
      </w:r>
      <w:proofErr w:type="spellEnd"/>
    </w:p>
    <w:p w:rsidR="001077B8" w:rsidRDefault="001077B8" w:rsidP="00CD0E9E">
      <w:pPr>
        <w:pStyle w:val="rg"/>
        <w:spacing w:line="276" w:lineRule="auto"/>
        <w:rPr>
          <w:sz w:val="28"/>
          <w:szCs w:val="28"/>
          <w:lang w:val="en-GB"/>
        </w:rPr>
      </w:pPr>
      <w:proofErr w:type="spellStart"/>
      <w:proofErr w:type="gramStart"/>
      <w:r w:rsidRPr="007C3FF8">
        <w:rPr>
          <w:sz w:val="28"/>
          <w:szCs w:val="28"/>
          <w:lang w:val="en-GB"/>
        </w:rPr>
        <w:t>nr</w:t>
      </w:r>
      <w:proofErr w:type="spellEnd"/>
      <w:proofErr w:type="gramEnd"/>
      <w:r w:rsidRPr="007C3FF8">
        <w:rPr>
          <w:sz w:val="28"/>
          <w:szCs w:val="28"/>
          <w:lang w:val="en-GB"/>
        </w:rPr>
        <w:t xml:space="preserve">.   </w:t>
      </w:r>
      <w:proofErr w:type="gramStart"/>
      <w:r w:rsidRPr="007C3FF8">
        <w:rPr>
          <w:sz w:val="28"/>
          <w:szCs w:val="28"/>
          <w:lang w:val="en-GB"/>
        </w:rPr>
        <w:t>din</w:t>
      </w:r>
      <w:proofErr w:type="gramEnd"/>
      <w:r w:rsidRPr="007C3FF8">
        <w:rPr>
          <w:sz w:val="28"/>
          <w:szCs w:val="28"/>
          <w:lang w:val="en-GB"/>
        </w:rPr>
        <w:t xml:space="preserve">   201</w:t>
      </w:r>
      <w:r w:rsidR="003B286C">
        <w:rPr>
          <w:sz w:val="28"/>
          <w:szCs w:val="28"/>
          <w:lang w:val="en-GB"/>
        </w:rPr>
        <w:t>6</w:t>
      </w:r>
    </w:p>
    <w:p w:rsidR="00FB0373" w:rsidRPr="00C923B1" w:rsidRDefault="00FB0373" w:rsidP="00FB0373">
      <w:pPr>
        <w:pStyle w:val="rg"/>
        <w:rPr>
          <w:sz w:val="28"/>
          <w:szCs w:val="28"/>
          <w:lang w:val="en-GB"/>
        </w:rPr>
      </w:pPr>
    </w:p>
    <w:p w:rsidR="001077B8" w:rsidRPr="00C923B1" w:rsidRDefault="001077B8" w:rsidP="001077B8">
      <w:pPr>
        <w:jc w:val="center"/>
        <w:rPr>
          <w:b/>
          <w:sz w:val="28"/>
        </w:rPr>
      </w:pPr>
      <w:r w:rsidRPr="00C923B1">
        <w:rPr>
          <w:b/>
          <w:sz w:val="28"/>
        </w:rPr>
        <w:t xml:space="preserve">Valorile de referință armonizate ale eficienței pentru </w:t>
      </w:r>
    </w:p>
    <w:p w:rsidR="001077B8" w:rsidRPr="00C923B1" w:rsidRDefault="001077B8" w:rsidP="001077B8">
      <w:pPr>
        <w:jc w:val="center"/>
        <w:rPr>
          <w:b/>
          <w:sz w:val="28"/>
        </w:rPr>
      </w:pPr>
      <w:r w:rsidRPr="00C923B1">
        <w:rPr>
          <w:b/>
          <w:sz w:val="28"/>
        </w:rPr>
        <w:t>producerea separată de energie termică</w:t>
      </w:r>
    </w:p>
    <w:p w:rsidR="001077B8" w:rsidRPr="00C923B1" w:rsidRDefault="001077B8" w:rsidP="001077B8">
      <w:pPr>
        <w:spacing w:before="120" w:after="120"/>
        <w:ind w:left="-426"/>
        <w:jc w:val="both"/>
        <w:rPr>
          <w:b/>
          <w:sz w:val="28"/>
          <w:szCs w:val="28"/>
          <w:lang w:val="en-US"/>
        </w:rPr>
      </w:pPr>
      <w:proofErr w:type="gramStart"/>
      <w:r w:rsidRPr="00C923B1">
        <w:rPr>
          <w:iCs/>
          <w:sz w:val="28"/>
          <w:szCs w:val="28"/>
          <w:lang w:val="en-US"/>
        </w:rPr>
        <w:t xml:space="preserve">1. </w:t>
      </w:r>
      <w:proofErr w:type="spellStart"/>
      <w:r w:rsidRPr="00C923B1">
        <w:rPr>
          <w:iCs/>
          <w:sz w:val="28"/>
          <w:szCs w:val="28"/>
          <w:lang w:val="en-US"/>
        </w:rPr>
        <w:t>Prezenta</w:t>
      </w:r>
      <w:proofErr w:type="spellEnd"/>
      <w:r w:rsidRPr="00C923B1">
        <w:rPr>
          <w:iCs/>
          <w:sz w:val="28"/>
          <w:szCs w:val="28"/>
          <w:lang w:val="en-US"/>
        </w:rPr>
        <w:t xml:space="preserve"> </w:t>
      </w:r>
      <w:proofErr w:type="spellStart"/>
      <w:r w:rsidRPr="00C923B1">
        <w:rPr>
          <w:iCs/>
          <w:sz w:val="28"/>
          <w:szCs w:val="28"/>
          <w:lang w:val="en-US"/>
        </w:rPr>
        <w:t>Anex</w:t>
      </w:r>
      <w:r w:rsidRPr="007C3FF8">
        <w:rPr>
          <w:iCs/>
          <w:sz w:val="28"/>
          <w:szCs w:val="28"/>
          <w:lang w:val="en-US"/>
        </w:rPr>
        <w:t>ă</w:t>
      </w:r>
      <w:proofErr w:type="spellEnd"/>
      <w:r w:rsidRPr="007C3FF8">
        <w:rPr>
          <w:iCs/>
          <w:sz w:val="28"/>
          <w:szCs w:val="28"/>
          <w:lang w:val="en-US"/>
        </w:rPr>
        <w:t xml:space="preserve"> </w:t>
      </w:r>
      <w:proofErr w:type="spellStart"/>
      <w:r w:rsidRPr="00C923B1">
        <w:rPr>
          <w:iCs/>
          <w:sz w:val="28"/>
          <w:szCs w:val="28"/>
          <w:lang w:val="en-US"/>
        </w:rPr>
        <w:t>transpune</w:t>
      </w:r>
      <w:proofErr w:type="spellEnd"/>
      <w:r w:rsidRPr="00C923B1">
        <w:rPr>
          <w:iCs/>
          <w:sz w:val="28"/>
          <w:szCs w:val="28"/>
          <w:lang w:val="en-US"/>
        </w:rPr>
        <w:t xml:space="preserve"> </w:t>
      </w:r>
      <w:proofErr w:type="spellStart"/>
      <w:r w:rsidRPr="007C3FF8">
        <w:rPr>
          <w:iCs/>
          <w:sz w:val="28"/>
          <w:szCs w:val="28"/>
          <w:lang w:val="en-US"/>
        </w:rPr>
        <w:t>parț</w:t>
      </w:r>
      <w:r w:rsidRPr="00C923B1">
        <w:rPr>
          <w:iCs/>
          <w:sz w:val="28"/>
          <w:szCs w:val="28"/>
          <w:lang w:val="en-US"/>
        </w:rPr>
        <w:t>ial</w:t>
      </w:r>
      <w:proofErr w:type="spellEnd"/>
      <w:r w:rsidRPr="00C923B1">
        <w:rPr>
          <w:iCs/>
          <w:sz w:val="28"/>
          <w:szCs w:val="28"/>
          <w:lang w:val="en-US"/>
        </w:rPr>
        <w:t xml:space="preserve"> (art. 1, 5, </w:t>
      </w:r>
      <w:proofErr w:type="spellStart"/>
      <w:r w:rsidRPr="00C923B1">
        <w:rPr>
          <w:iCs/>
          <w:sz w:val="28"/>
          <w:szCs w:val="28"/>
          <w:lang w:val="en-US"/>
        </w:rPr>
        <w:t>Anexa</w:t>
      </w:r>
      <w:proofErr w:type="spellEnd"/>
      <w:r w:rsidRPr="00C923B1">
        <w:rPr>
          <w:iCs/>
          <w:sz w:val="28"/>
          <w:szCs w:val="28"/>
          <w:lang w:val="en-US"/>
        </w:rPr>
        <w:t xml:space="preserve"> II) </w:t>
      </w:r>
      <w:r w:rsidRPr="00C923B1">
        <w:rPr>
          <w:sz w:val="28"/>
          <w:szCs w:val="28"/>
        </w:rPr>
        <w:t>Decizia nr.</w:t>
      </w:r>
      <w:proofErr w:type="gramEnd"/>
      <w:r w:rsidRPr="00C923B1">
        <w:rPr>
          <w:sz w:val="28"/>
          <w:szCs w:val="28"/>
        </w:rPr>
        <w:t xml:space="preserve"> 2011/877/UE de punere în aplicare a Comisiei din 19 decembrie 2011 de stabilire a valorilor de referinţă armonizate ale randamentului pentru producţia separată de energie electrică şi căldură, în aplicarea Directivei 2004/8/CE a Parlamentului European şi a Consiliului, şi de abrogare a Deciziei 2007/74/CE a Comisiei (notificată cu nr. C (2011) 9523)</w:t>
      </w:r>
      <w:r w:rsidRPr="00C923B1">
        <w:rPr>
          <w:iCs/>
          <w:sz w:val="28"/>
          <w:szCs w:val="28"/>
          <w:lang w:val="en-US"/>
        </w:rPr>
        <w:t xml:space="preserve">, </w:t>
      </w:r>
      <w:proofErr w:type="spellStart"/>
      <w:r w:rsidRPr="00C923B1">
        <w:rPr>
          <w:iCs/>
          <w:sz w:val="28"/>
          <w:szCs w:val="28"/>
          <w:lang w:val="en-US"/>
        </w:rPr>
        <w:t>publicată</w:t>
      </w:r>
      <w:proofErr w:type="spellEnd"/>
      <w:r w:rsidRPr="00C923B1">
        <w:rPr>
          <w:iCs/>
          <w:sz w:val="28"/>
          <w:szCs w:val="28"/>
          <w:lang w:val="en-US"/>
        </w:rPr>
        <w:t xml:space="preserve"> </w:t>
      </w:r>
      <w:proofErr w:type="spellStart"/>
      <w:r w:rsidRPr="00C923B1">
        <w:rPr>
          <w:iCs/>
          <w:sz w:val="28"/>
          <w:szCs w:val="28"/>
          <w:lang w:val="en-US"/>
        </w:rPr>
        <w:t>în</w:t>
      </w:r>
      <w:proofErr w:type="spellEnd"/>
      <w:r w:rsidRPr="00C923B1">
        <w:rPr>
          <w:iCs/>
          <w:sz w:val="28"/>
          <w:szCs w:val="28"/>
          <w:lang w:val="en-US"/>
        </w:rPr>
        <w:t xml:space="preserve"> </w:t>
      </w:r>
      <w:proofErr w:type="spellStart"/>
      <w:r w:rsidRPr="00C923B1">
        <w:rPr>
          <w:iCs/>
          <w:sz w:val="28"/>
          <w:szCs w:val="28"/>
          <w:lang w:val="en-US"/>
        </w:rPr>
        <w:t>Jurnalul</w:t>
      </w:r>
      <w:proofErr w:type="spellEnd"/>
      <w:r w:rsidRPr="00C923B1">
        <w:rPr>
          <w:iCs/>
          <w:sz w:val="28"/>
          <w:szCs w:val="28"/>
          <w:lang w:val="en-US"/>
        </w:rPr>
        <w:t xml:space="preserve"> </w:t>
      </w:r>
      <w:proofErr w:type="spellStart"/>
      <w:r w:rsidRPr="00C923B1">
        <w:rPr>
          <w:iCs/>
          <w:sz w:val="28"/>
          <w:szCs w:val="28"/>
          <w:lang w:val="en-US"/>
        </w:rPr>
        <w:t>Oficial</w:t>
      </w:r>
      <w:proofErr w:type="spellEnd"/>
      <w:r w:rsidRPr="00C923B1">
        <w:rPr>
          <w:iCs/>
          <w:sz w:val="28"/>
          <w:szCs w:val="28"/>
          <w:lang w:val="en-US"/>
        </w:rPr>
        <w:t xml:space="preserve"> al </w:t>
      </w:r>
      <w:proofErr w:type="spellStart"/>
      <w:r w:rsidRPr="00C923B1">
        <w:rPr>
          <w:iCs/>
          <w:sz w:val="28"/>
          <w:szCs w:val="28"/>
          <w:lang w:val="en-US"/>
        </w:rPr>
        <w:t>Uniunii</w:t>
      </w:r>
      <w:proofErr w:type="spellEnd"/>
      <w:r w:rsidRPr="00C923B1">
        <w:rPr>
          <w:iCs/>
          <w:sz w:val="28"/>
          <w:szCs w:val="28"/>
          <w:lang w:val="en-US"/>
        </w:rPr>
        <w:t xml:space="preserve"> </w:t>
      </w:r>
      <w:proofErr w:type="spellStart"/>
      <w:r w:rsidRPr="00C923B1">
        <w:rPr>
          <w:iCs/>
          <w:sz w:val="28"/>
          <w:szCs w:val="28"/>
          <w:lang w:val="en-US"/>
        </w:rPr>
        <w:t>Europene</w:t>
      </w:r>
      <w:proofErr w:type="spellEnd"/>
      <w:r w:rsidRPr="00C923B1">
        <w:rPr>
          <w:iCs/>
          <w:sz w:val="28"/>
          <w:szCs w:val="28"/>
          <w:lang w:val="en-US"/>
        </w:rPr>
        <w:t xml:space="preserve"> (JO) </w:t>
      </w:r>
      <w:proofErr w:type="spellStart"/>
      <w:r w:rsidRPr="00C923B1">
        <w:rPr>
          <w:iCs/>
          <w:sz w:val="28"/>
          <w:szCs w:val="28"/>
          <w:lang w:val="en-US"/>
        </w:rPr>
        <w:t>nr</w:t>
      </w:r>
      <w:proofErr w:type="spellEnd"/>
      <w:r w:rsidRPr="00C923B1">
        <w:rPr>
          <w:iCs/>
          <w:sz w:val="28"/>
          <w:szCs w:val="28"/>
          <w:lang w:val="en-US"/>
        </w:rPr>
        <w:t xml:space="preserve">. </w:t>
      </w:r>
      <w:proofErr w:type="gramStart"/>
      <w:r w:rsidRPr="00C923B1">
        <w:rPr>
          <w:iCs/>
          <w:sz w:val="28"/>
          <w:szCs w:val="28"/>
          <w:lang w:val="en-US"/>
        </w:rPr>
        <w:t>L 343/91.</w:t>
      </w:r>
      <w:proofErr w:type="gramEnd"/>
      <w:r w:rsidRPr="00C923B1">
        <w:rPr>
          <w:sz w:val="28"/>
          <w:szCs w:val="28"/>
          <w:lang w:val="en-US"/>
        </w:rPr>
        <w:t xml:space="preserve"> </w:t>
      </w:r>
    </w:p>
    <w:p w:rsidR="001077B8" w:rsidRPr="00C923B1" w:rsidRDefault="001077B8" w:rsidP="001077B8">
      <w:pPr>
        <w:ind w:left="-426"/>
        <w:jc w:val="both"/>
        <w:rPr>
          <w:sz w:val="28"/>
          <w:szCs w:val="28"/>
        </w:rPr>
      </w:pPr>
      <w:r w:rsidRPr="007C3FF8">
        <w:rPr>
          <w:sz w:val="28"/>
          <w:szCs w:val="28"/>
          <w:lang w:val="en-US"/>
        </w:rPr>
        <w:t xml:space="preserve">2. </w:t>
      </w:r>
      <w:r w:rsidRPr="007C3FF8">
        <w:rPr>
          <w:sz w:val="28"/>
        </w:rPr>
        <w:t xml:space="preserve">Valorile de referință armonizate ale eficienței pentru producerea separată de energie termică sunt prezentate în </w:t>
      </w:r>
      <w:r w:rsidRPr="007C3FF8">
        <w:rPr>
          <w:sz w:val="28"/>
          <w:szCs w:val="28"/>
        </w:rPr>
        <w:t>Tabelul nr. 1 din prezenta Anexă.</w:t>
      </w:r>
    </w:p>
    <w:p w:rsidR="001077B8" w:rsidRPr="00C923B1" w:rsidRDefault="001077B8" w:rsidP="001077B8">
      <w:pPr>
        <w:spacing w:before="120" w:after="120"/>
        <w:ind w:left="-425"/>
        <w:jc w:val="right"/>
        <w:rPr>
          <w:b/>
          <w:sz w:val="28"/>
          <w:szCs w:val="28"/>
        </w:rPr>
      </w:pPr>
      <w:r w:rsidRPr="00C923B1">
        <w:rPr>
          <w:b/>
          <w:sz w:val="28"/>
          <w:szCs w:val="28"/>
        </w:rPr>
        <w:t xml:space="preserve">Tabelul nr. </w:t>
      </w:r>
      <w:r w:rsidR="00064DF4">
        <w:rPr>
          <w:b/>
          <w:sz w:val="28"/>
          <w:szCs w:val="28"/>
        </w:rPr>
        <w:t>3</w:t>
      </w:r>
    </w:p>
    <w:tbl>
      <w:tblPr>
        <w:tblStyle w:val="TableGrid"/>
        <w:tblW w:w="0" w:type="auto"/>
        <w:tblInd w:w="-318" w:type="dxa"/>
        <w:tblLook w:val="0000" w:firstRow="0" w:lastRow="0" w:firstColumn="0" w:lastColumn="0" w:noHBand="0" w:noVBand="0"/>
      </w:tblPr>
      <w:tblGrid>
        <w:gridCol w:w="812"/>
        <w:gridCol w:w="4463"/>
        <w:gridCol w:w="2748"/>
        <w:gridCol w:w="1922"/>
      </w:tblGrid>
      <w:tr w:rsidR="001077B8" w:rsidRPr="00C923B1" w:rsidTr="008A53A6">
        <w:trPr>
          <w:gridBefore w:val="2"/>
          <w:wBefore w:w="5275" w:type="dxa"/>
          <w:trHeight w:val="276"/>
        </w:trPr>
        <w:tc>
          <w:tcPr>
            <w:tcW w:w="4670" w:type="dxa"/>
            <w:gridSpan w:val="2"/>
          </w:tcPr>
          <w:p w:rsidR="001077B8" w:rsidRPr="00C923B1" w:rsidRDefault="001077B8" w:rsidP="008A53A6">
            <w:pPr>
              <w:jc w:val="center"/>
              <w:rPr>
                <w:b/>
              </w:rPr>
            </w:pPr>
            <w:r w:rsidRPr="00C923B1">
              <w:rPr>
                <w:b/>
              </w:rPr>
              <w:t>Valoarea eficienţei, %*</w:t>
            </w:r>
          </w:p>
        </w:tc>
      </w:tr>
      <w:tr w:rsidR="001077B8" w:rsidRPr="00C923B1" w:rsidTr="008A53A6">
        <w:tblPrEx>
          <w:tblLook w:val="04A0" w:firstRow="1" w:lastRow="0" w:firstColumn="1" w:lastColumn="0" w:noHBand="0" w:noVBand="1"/>
        </w:tblPrEx>
        <w:tc>
          <w:tcPr>
            <w:tcW w:w="5275" w:type="dxa"/>
            <w:gridSpan w:val="2"/>
            <w:tcBorders>
              <w:top w:val="single" w:sz="4" w:space="0" w:color="auto"/>
              <w:left w:val="single" w:sz="4" w:space="0" w:color="auto"/>
              <w:bottom w:val="single" w:sz="4" w:space="0" w:color="auto"/>
              <w:tl2br w:val="single" w:sz="4" w:space="0" w:color="auto"/>
            </w:tcBorders>
          </w:tcPr>
          <w:p w:rsidR="001077B8" w:rsidRPr="00C923B1" w:rsidRDefault="001077B8" w:rsidP="008A53A6">
            <w:pPr>
              <w:jc w:val="center"/>
              <w:rPr>
                <w:rFonts w:cs="Times New Roman"/>
                <w:b/>
              </w:rPr>
            </w:pPr>
            <w:r w:rsidRPr="00C923B1">
              <w:rPr>
                <w:b/>
              </w:rPr>
              <w:t>Agent termic</w:t>
            </w:r>
          </w:p>
          <w:p w:rsidR="001077B8" w:rsidRPr="00C923B1" w:rsidRDefault="001077B8" w:rsidP="008A53A6">
            <w:pPr>
              <w:jc w:val="center"/>
              <w:rPr>
                <w:rFonts w:cs="Times New Roman"/>
                <w:b/>
              </w:rPr>
            </w:pPr>
          </w:p>
          <w:p w:rsidR="001077B8" w:rsidRPr="00C923B1" w:rsidRDefault="001077B8" w:rsidP="008A53A6">
            <w:pPr>
              <w:jc w:val="center"/>
              <w:rPr>
                <w:rFonts w:cs="Times New Roman"/>
                <w:b/>
              </w:rPr>
            </w:pPr>
            <w:r w:rsidRPr="00C923B1">
              <w:rPr>
                <w:b/>
              </w:rPr>
              <w:t>Tipul de combustibil</w:t>
            </w:r>
          </w:p>
        </w:tc>
        <w:tc>
          <w:tcPr>
            <w:tcW w:w="2748" w:type="dxa"/>
            <w:vAlign w:val="center"/>
          </w:tcPr>
          <w:p w:rsidR="001077B8" w:rsidRPr="00C923B1" w:rsidRDefault="001077B8" w:rsidP="008A53A6">
            <w:pPr>
              <w:jc w:val="center"/>
              <w:rPr>
                <w:rFonts w:cs="Times New Roman"/>
                <w:b/>
              </w:rPr>
            </w:pPr>
            <w:r w:rsidRPr="00C923B1">
              <w:rPr>
                <w:b/>
              </w:rPr>
              <w:t>Aburi/Apă fierbinte</w:t>
            </w:r>
          </w:p>
        </w:tc>
        <w:tc>
          <w:tcPr>
            <w:tcW w:w="1922" w:type="dxa"/>
            <w:vAlign w:val="center"/>
          </w:tcPr>
          <w:p w:rsidR="001077B8" w:rsidRPr="00C923B1" w:rsidRDefault="001077B8" w:rsidP="008A53A6">
            <w:pPr>
              <w:jc w:val="center"/>
              <w:rPr>
                <w:rFonts w:cs="Times New Roman"/>
                <w:b/>
              </w:rPr>
            </w:pPr>
            <w:r w:rsidRPr="00C923B1">
              <w:rPr>
                <w:b/>
              </w:rPr>
              <w:t>Gaze evacuate cu utilizare directă</w:t>
            </w:r>
          </w:p>
        </w:tc>
      </w:tr>
      <w:tr w:rsidR="001077B8" w:rsidRPr="00C923B1" w:rsidTr="008A53A6">
        <w:tblPrEx>
          <w:tblLook w:val="04A0" w:firstRow="1" w:lastRow="0" w:firstColumn="1" w:lastColumn="0" w:noHBand="0" w:noVBand="1"/>
        </w:tblPrEx>
        <w:trPr>
          <w:trHeight w:val="475"/>
        </w:trPr>
        <w:tc>
          <w:tcPr>
            <w:tcW w:w="812" w:type="dxa"/>
            <w:vMerge w:val="restart"/>
            <w:tcBorders>
              <w:top w:val="single" w:sz="4" w:space="0" w:color="auto"/>
            </w:tcBorders>
            <w:textDirection w:val="btLr"/>
            <w:vAlign w:val="center"/>
          </w:tcPr>
          <w:p w:rsidR="001077B8" w:rsidRPr="00C923B1" w:rsidRDefault="001077B8" w:rsidP="008A53A6">
            <w:pPr>
              <w:ind w:left="113" w:right="113"/>
              <w:jc w:val="center"/>
              <w:rPr>
                <w:rFonts w:cs="Times New Roman"/>
                <w:b/>
              </w:rPr>
            </w:pPr>
            <w:r w:rsidRPr="00C923B1">
              <w:rPr>
                <w:b/>
              </w:rPr>
              <w:t>Solid</w:t>
            </w:r>
          </w:p>
        </w:tc>
        <w:tc>
          <w:tcPr>
            <w:tcW w:w="4463" w:type="dxa"/>
            <w:vAlign w:val="center"/>
          </w:tcPr>
          <w:p w:rsidR="001077B8" w:rsidRPr="00C923B1" w:rsidRDefault="001077B8" w:rsidP="008A53A6">
            <w:pPr>
              <w:rPr>
                <w:rFonts w:cs="Times New Roman"/>
              </w:rPr>
            </w:pPr>
            <w:r w:rsidRPr="00C923B1">
              <w:t>Huilă (antracit, cărbuni bituminoşi)</w:t>
            </w:r>
          </w:p>
        </w:tc>
        <w:tc>
          <w:tcPr>
            <w:tcW w:w="2748" w:type="dxa"/>
            <w:vAlign w:val="center"/>
          </w:tcPr>
          <w:p w:rsidR="001077B8" w:rsidRPr="00C923B1" w:rsidRDefault="001077B8" w:rsidP="008A53A6">
            <w:pPr>
              <w:jc w:val="center"/>
              <w:rPr>
                <w:rFonts w:cs="Times New Roman"/>
              </w:rPr>
            </w:pPr>
            <w:r w:rsidRPr="00C923B1">
              <w:t>88</w:t>
            </w:r>
          </w:p>
        </w:tc>
        <w:tc>
          <w:tcPr>
            <w:tcW w:w="1922" w:type="dxa"/>
            <w:vAlign w:val="center"/>
          </w:tcPr>
          <w:p w:rsidR="001077B8" w:rsidRPr="00C923B1" w:rsidRDefault="001077B8" w:rsidP="008A53A6">
            <w:pPr>
              <w:jc w:val="center"/>
              <w:rPr>
                <w:rFonts w:cs="Times New Roman"/>
              </w:rPr>
            </w:pPr>
            <w:r w:rsidRPr="00C923B1">
              <w:t>80</w:t>
            </w:r>
          </w:p>
        </w:tc>
      </w:tr>
      <w:tr w:rsidR="001077B8" w:rsidRPr="00C923B1" w:rsidTr="008A53A6">
        <w:tblPrEx>
          <w:tblLook w:val="04A0" w:firstRow="1" w:lastRow="0" w:firstColumn="1" w:lastColumn="0" w:noHBand="0" w:noVBand="1"/>
        </w:tblPrEx>
        <w:trPr>
          <w:trHeight w:val="424"/>
        </w:trPr>
        <w:tc>
          <w:tcPr>
            <w:tcW w:w="812" w:type="dxa"/>
            <w:vMerge/>
            <w:vAlign w:val="center"/>
          </w:tcPr>
          <w:p w:rsidR="001077B8" w:rsidRPr="00C923B1" w:rsidRDefault="001077B8" w:rsidP="008A53A6">
            <w:pPr>
              <w:jc w:val="center"/>
              <w:rPr>
                <w:rFonts w:cs="Times New Roman"/>
                <w:b/>
              </w:rPr>
            </w:pPr>
          </w:p>
        </w:tc>
        <w:tc>
          <w:tcPr>
            <w:tcW w:w="4463" w:type="dxa"/>
            <w:vAlign w:val="center"/>
          </w:tcPr>
          <w:p w:rsidR="001077B8" w:rsidRPr="00C923B1" w:rsidRDefault="001077B8" w:rsidP="008A53A6">
            <w:pPr>
              <w:rPr>
                <w:rFonts w:cs="Times New Roman"/>
              </w:rPr>
            </w:pPr>
            <w:r w:rsidRPr="00C923B1">
              <w:t>Combustibil lemnos</w:t>
            </w:r>
          </w:p>
        </w:tc>
        <w:tc>
          <w:tcPr>
            <w:tcW w:w="2748" w:type="dxa"/>
            <w:vAlign w:val="center"/>
          </w:tcPr>
          <w:p w:rsidR="001077B8" w:rsidRPr="00C923B1" w:rsidRDefault="001077B8" w:rsidP="008A53A6">
            <w:pPr>
              <w:jc w:val="center"/>
              <w:rPr>
                <w:rFonts w:cs="Times New Roman"/>
              </w:rPr>
            </w:pPr>
            <w:r w:rsidRPr="00C923B1">
              <w:t>86</w:t>
            </w:r>
          </w:p>
        </w:tc>
        <w:tc>
          <w:tcPr>
            <w:tcW w:w="1922" w:type="dxa"/>
            <w:vAlign w:val="center"/>
          </w:tcPr>
          <w:p w:rsidR="001077B8" w:rsidRPr="00C923B1" w:rsidRDefault="001077B8" w:rsidP="008A53A6">
            <w:pPr>
              <w:jc w:val="center"/>
              <w:rPr>
                <w:rFonts w:cs="Times New Roman"/>
              </w:rPr>
            </w:pPr>
            <w:r w:rsidRPr="00C923B1">
              <w:t>78</w:t>
            </w:r>
          </w:p>
        </w:tc>
      </w:tr>
      <w:tr w:rsidR="001077B8" w:rsidRPr="00C923B1" w:rsidTr="008A53A6">
        <w:tblPrEx>
          <w:tblLook w:val="04A0" w:firstRow="1" w:lastRow="0" w:firstColumn="1" w:lastColumn="0" w:noHBand="0" w:noVBand="1"/>
        </w:tblPrEx>
        <w:trPr>
          <w:trHeight w:val="416"/>
        </w:trPr>
        <w:tc>
          <w:tcPr>
            <w:tcW w:w="812" w:type="dxa"/>
            <w:vMerge/>
            <w:vAlign w:val="center"/>
          </w:tcPr>
          <w:p w:rsidR="001077B8" w:rsidRPr="00C923B1" w:rsidRDefault="001077B8" w:rsidP="008A53A6">
            <w:pPr>
              <w:jc w:val="center"/>
              <w:rPr>
                <w:rFonts w:cs="Times New Roman"/>
                <w:b/>
              </w:rPr>
            </w:pPr>
          </w:p>
        </w:tc>
        <w:tc>
          <w:tcPr>
            <w:tcW w:w="4463" w:type="dxa"/>
            <w:vAlign w:val="center"/>
          </w:tcPr>
          <w:p w:rsidR="001077B8" w:rsidRPr="00C923B1" w:rsidRDefault="001077B8" w:rsidP="008A53A6">
            <w:pPr>
              <w:rPr>
                <w:rFonts w:cs="Times New Roman"/>
              </w:rPr>
            </w:pPr>
            <w:r w:rsidRPr="00C923B1">
              <w:t>Biomasă agricolă</w:t>
            </w:r>
          </w:p>
        </w:tc>
        <w:tc>
          <w:tcPr>
            <w:tcW w:w="2748" w:type="dxa"/>
            <w:vAlign w:val="center"/>
          </w:tcPr>
          <w:p w:rsidR="001077B8" w:rsidRPr="00C923B1" w:rsidRDefault="001077B8" w:rsidP="008A53A6">
            <w:pPr>
              <w:jc w:val="center"/>
              <w:rPr>
                <w:rFonts w:cs="Times New Roman"/>
              </w:rPr>
            </w:pPr>
            <w:r w:rsidRPr="00C923B1">
              <w:t>80</w:t>
            </w:r>
          </w:p>
        </w:tc>
        <w:tc>
          <w:tcPr>
            <w:tcW w:w="1922" w:type="dxa"/>
            <w:vAlign w:val="center"/>
          </w:tcPr>
          <w:p w:rsidR="001077B8" w:rsidRPr="00C923B1" w:rsidRDefault="001077B8" w:rsidP="008A53A6">
            <w:pPr>
              <w:jc w:val="center"/>
              <w:rPr>
                <w:rFonts w:cs="Times New Roman"/>
              </w:rPr>
            </w:pPr>
            <w:r w:rsidRPr="00C923B1">
              <w:t>72</w:t>
            </w:r>
          </w:p>
        </w:tc>
      </w:tr>
      <w:tr w:rsidR="001077B8" w:rsidRPr="00C923B1" w:rsidTr="008A53A6">
        <w:tblPrEx>
          <w:tblLook w:val="04A0" w:firstRow="1" w:lastRow="0" w:firstColumn="1" w:lastColumn="0" w:noHBand="0" w:noVBand="1"/>
        </w:tblPrEx>
        <w:trPr>
          <w:trHeight w:val="554"/>
        </w:trPr>
        <w:tc>
          <w:tcPr>
            <w:tcW w:w="812" w:type="dxa"/>
            <w:vMerge w:val="restart"/>
            <w:textDirection w:val="btLr"/>
            <w:vAlign w:val="center"/>
          </w:tcPr>
          <w:p w:rsidR="001077B8" w:rsidRPr="00C923B1" w:rsidRDefault="001077B8" w:rsidP="008A53A6">
            <w:pPr>
              <w:ind w:left="113" w:right="113"/>
              <w:jc w:val="center"/>
              <w:rPr>
                <w:rFonts w:cs="Times New Roman"/>
                <w:b/>
              </w:rPr>
            </w:pPr>
            <w:r w:rsidRPr="00C923B1">
              <w:rPr>
                <w:b/>
              </w:rPr>
              <w:t>Lichid</w:t>
            </w:r>
          </w:p>
        </w:tc>
        <w:tc>
          <w:tcPr>
            <w:tcW w:w="4463" w:type="dxa"/>
            <w:vAlign w:val="center"/>
          </w:tcPr>
          <w:p w:rsidR="001077B8" w:rsidRPr="00C923B1" w:rsidRDefault="001077B8" w:rsidP="008A53A6">
            <w:pPr>
              <w:rPr>
                <w:rFonts w:cs="Times New Roman"/>
              </w:rPr>
            </w:pPr>
            <w:r w:rsidRPr="00C923B1">
              <w:t>Păcură, motorină</w:t>
            </w:r>
          </w:p>
        </w:tc>
        <w:tc>
          <w:tcPr>
            <w:tcW w:w="2748" w:type="dxa"/>
            <w:vAlign w:val="center"/>
          </w:tcPr>
          <w:p w:rsidR="001077B8" w:rsidRPr="00C923B1" w:rsidRDefault="001077B8" w:rsidP="008A53A6">
            <w:pPr>
              <w:jc w:val="center"/>
              <w:rPr>
                <w:rFonts w:cs="Times New Roman"/>
              </w:rPr>
            </w:pPr>
            <w:r w:rsidRPr="00C923B1">
              <w:t>89</w:t>
            </w:r>
          </w:p>
        </w:tc>
        <w:tc>
          <w:tcPr>
            <w:tcW w:w="1922" w:type="dxa"/>
            <w:vAlign w:val="center"/>
          </w:tcPr>
          <w:p w:rsidR="001077B8" w:rsidRPr="00C923B1" w:rsidRDefault="001077B8" w:rsidP="008A53A6">
            <w:pPr>
              <w:jc w:val="center"/>
              <w:rPr>
                <w:rFonts w:cs="Times New Roman"/>
              </w:rPr>
            </w:pPr>
            <w:r w:rsidRPr="00C923B1">
              <w:t>81</w:t>
            </w:r>
          </w:p>
        </w:tc>
      </w:tr>
      <w:tr w:rsidR="001077B8" w:rsidRPr="00C923B1" w:rsidTr="008A53A6">
        <w:tblPrEx>
          <w:tblLook w:val="04A0" w:firstRow="1" w:lastRow="0" w:firstColumn="1" w:lastColumn="0" w:noHBand="0" w:noVBand="1"/>
        </w:tblPrEx>
        <w:trPr>
          <w:trHeight w:val="405"/>
        </w:trPr>
        <w:tc>
          <w:tcPr>
            <w:tcW w:w="812" w:type="dxa"/>
            <w:vMerge/>
            <w:vAlign w:val="center"/>
          </w:tcPr>
          <w:p w:rsidR="001077B8" w:rsidRPr="00C923B1" w:rsidRDefault="001077B8" w:rsidP="008A53A6">
            <w:pPr>
              <w:jc w:val="center"/>
              <w:rPr>
                <w:rFonts w:cs="Times New Roman"/>
                <w:b/>
              </w:rPr>
            </w:pPr>
          </w:p>
        </w:tc>
        <w:tc>
          <w:tcPr>
            <w:tcW w:w="4463" w:type="dxa"/>
            <w:vAlign w:val="center"/>
          </w:tcPr>
          <w:p w:rsidR="001077B8" w:rsidRPr="00C923B1" w:rsidRDefault="001077B8" w:rsidP="008A53A6">
            <w:pPr>
              <w:rPr>
                <w:rFonts w:cs="Times New Roman"/>
              </w:rPr>
            </w:pPr>
            <w:r w:rsidRPr="00C923B1">
              <w:t>Biocombustibil</w:t>
            </w:r>
          </w:p>
        </w:tc>
        <w:tc>
          <w:tcPr>
            <w:tcW w:w="2748" w:type="dxa"/>
            <w:vAlign w:val="center"/>
          </w:tcPr>
          <w:p w:rsidR="001077B8" w:rsidRPr="00C923B1" w:rsidRDefault="001077B8" w:rsidP="008A53A6">
            <w:pPr>
              <w:jc w:val="center"/>
              <w:rPr>
                <w:rFonts w:cs="Times New Roman"/>
              </w:rPr>
            </w:pPr>
            <w:r w:rsidRPr="00C923B1">
              <w:t>89</w:t>
            </w:r>
          </w:p>
        </w:tc>
        <w:tc>
          <w:tcPr>
            <w:tcW w:w="1922" w:type="dxa"/>
            <w:vAlign w:val="center"/>
          </w:tcPr>
          <w:p w:rsidR="001077B8" w:rsidRPr="00C923B1" w:rsidRDefault="001077B8" w:rsidP="008A53A6">
            <w:pPr>
              <w:jc w:val="center"/>
              <w:rPr>
                <w:rFonts w:cs="Times New Roman"/>
              </w:rPr>
            </w:pPr>
            <w:r w:rsidRPr="00C923B1">
              <w:t>81</w:t>
            </w:r>
          </w:p>
        </w:tc>
      </w:tr>
      <w:tr w:rsidR="001077B8" w:rsidRPr="00C923B1" w:rsidTr="008A53A6">
        <w:tblPrEx>
          <w:tblLook w:val="04A0" w:firstRow="1" w:lastRow="0" w:firstColumn="1" w:lastColumn="0" w:noHBand="0" w:noVBand="1"/>
        </w:tblPrEx>
        <w:trPr>
          <w:trHeight w:val="413"/>
        </w:trPr>
        <w:tc>
          <w:tcPr>
            <w:tcW w:w="812" w:type="dxa"/>
            <w:vMerge w:val="restart"/>
            <w:textDirection w:val="btLr"/>
            <w:vAlign w:val="center"/>
          </w:tcPr>
          <w:p w:rsidR="001077B8" w:rsidRPr="00C923B1" w:rsidRDefault="001077B8" w:rsidP="008A53A6">
            <w:pPr>
              <w:ind w:left="113" w:right="113"/>
              <w:jc w:val="center"/>
              <w:rPr>
                <w:rFonts w:cs="Times New Roman"/>
                <w:b/>
              </w:rPr>
            </w:pPr>
            <w:r w:rsidRPr="00C923B1">
              <w:rPr>
                <w:b/>
              </w:rPr>
              <w:t>Gazos</w:t>
            </w:r>
          </w:p>
        </w:tc>
        <w:tc>
          <w:tcPr>
            <w:tcW w:w="4463" w:type="dxa"/>
            <w:vAlign w:val="center"/>
          </w:tcPr>
          <w:p w:rsidR="001077B8" w:rsidRPr="00C923B1" w:rsidRDefault="001077B8" w:rsidP="008A53A6">
            <w:pPr>
              <w:rPr>
                <w:rFonts w:cs="Times New Roman"/>
              </w:rPr>
            </w:pPr>
            <w:r w:rsidRPr="00C923B1">
              <w:t>Gaz natural</w:t>
            </w:r>
          </w:p>
        </w:tc>
        <w:tc>
          <w:tcPr>
            <w:tcW w:w="2748" w:type="dxa"/>
            <w:vAlign w:val="center"/>
          </w:tcPr>
          <w:p w:rsidR="001077B8" w:rsidRPr="00C923B1" w:rsidRDefault="001077B8" w:rsidP="008A53A6">
            <w:pPr>
              <w:jc w:val="center"/>
              <w:rPr>
                <w:rFonts w:cs="Times New Roman"/>
              </w:rPr>
            </w:pPr>
            <w:r w:rsidRPr="00C923B1">
              <w:t>90</w:t>
            </w:r>
          </w:p>
        </w:tc>
        <w:tc>
          <w:tcPr>
            <w:tcW w:w="1922" w:type="dxa"/>
            <w:vAlign w:val="center"/>
          </w:tcPr>
          <w:p w:rsidR="001077B8" w:rsidRPr="00C923B1" w:rsidRDefault="001077B8" w:rsidP="008A53A6">
            <w:pPr>
              <w:jc w:val="center"/>
              <w:rPr>
                <w:rFonts w:cs="Times New Roman"/>
              </w:rPr>
            </w:pPr>
            <w:r w:rsidRPr="00C923B1">
              <w:t>82</w:t>
            </w:r>
          </w:p>
        </w:tc>
      </w:tr>
      <w:tr w:rsidR="001077B8" w:rsidRPr="00C923B1" w:rsidTr="008A53A6">
        <w:tblPrEx>
          <w:tblLook w:val="04A0" w:firstRow="1" w:lastRow="0" w:firstColumn="1" w:lastColumn="0" w:noHBand="0" w:noVBand="1"/>
        </w:tblPrEx>
        <w:trPr>
          <w:trHeight w:val="561"/>
        </w:trPr>
        <w:tc>
          <w:tcPr>
            <w:tcW w:w="812" w:type="dxa"/>
            <w:vMerge/>
          </w:tcPr>
          <w:p w:rsidR="001077B8" w:rsidRPr="00C923B1" w:rsidRDefault="001077B8" w:rsidP="008A53A6">
            <w:pPr>
              <w:jc w:val="both"/>
              <w:rPr>
                <w:rFonts w:cs="Times New Roman"/>
              </w:rPr>
            </w:pPr>
          </w:p>
        </w:tc>
        <w:tc>
          <w:tcPr>
            <w:tcW w:w="4463" w:type="dxa"/>
            <w:vAlign w:val="center"/>
          </w:tcPr>
          <w:p w:rsidR="001077B8" w:rsidRPr="00C923B1" w:rsidRDefault="001077B8" w:rsidP="008A53A6">
            <w:pPr>
              <w:rPr>
                <w:rFonts w:cs="Times New Roman"/>
              </w:rPr>
            </w:pPr>
            <w:r w:rsidRPr="00C923B1">
              <w:t>Biogaz</w:t>
            </w:r>
          </w:p>
        </w:tc>
        <w:tc>
          <w:tcPr>
            <w:tcW w:w="2748" w:type="dxa"/>
            <w:vAlign w:val="center"/>
          </w:tcPr>
          <w:p w:rsidR="001077B8" w:rsidRPr="00C923B1" w:rsidRDefault="001077B8" w:rsidP="008A53A6">
            <w:pPr>
              <w:jc w:val="center"/>
              <w:rPr>
                <w:rFonts w:cs="Times New Roman"/>
              </w:rPr>
            </w:pPr>
            <w:r w:rsidRPr="00C923B1">
              <w:t>70</w:t>
            </w:r>
          </w:p>
        </w:tc>
        <w:tc>
          <w:tcPr>
            <w:tcW w:w="1922" w:type="dxa"/>
            <w:vAlign w:val="center"/>
          </w:tcPr>
          <w:p w:rsidR="001077B8" w:rsidRPr="00C923B1" w:rsidRDefault="001077B8" w:rsidP="008A53A6">
            <w:pPr>
              <w:jc w:val="center"/>
              <w:rPr>
                <w:rFonts w:cs="Times New Roman"/>
              </w:rPr>
            </w:pPr>
            <w:r w:rsidRPr="00C923B1">
              <w:t>62</w:t>
            </w:r>
          </w:p>
        </w:tc>
      </w:tr>
    </w:tbl>
    <w:p w:rsidR="001077B8" w:rsidRPr="00C923B1" w:rsidRDefault="001077B8" w:rsidP="001077B8">
      <w:pPr>
        <w:jc w:val="both"/>
        <w:rPr>
          <w:sz w:val="10"/>
        </w:rPr>
      </w:pPr>
    </w:p>
    <w:p w:rsidR="001077B8" w:rsidRPr="00C923B1" w:rsidRDefault="001077B8" w:rsidP="001077B8">
      <w:pPr>
        <w:ind w:left="-426"/>
        <w:jc w:val="both"/>
        <w:rPr>
          <w:sz w:val="10"/>
        </w:rPr>
      </w:pPr>
    </w:p>
    <w:p w:rsidR="001077B8" w:rsidRPr="007C3FF8" w:rsidRDefault="001077B8" w:rsidP="005F7275">
      <w:pPr>
        <w:spacing w:after="120"/>
        <w:ind w:left="-425"/>
        <w:jc w:val="both"/>
      </w:pPr>
      <w:r w:rsidRPr="00C923B1">
        <w:t xml:space="preserve">* Notă: </w:t>
      </w:r>
      <w:r w:rsidRPr="007C3FF8">
        <w:t>În tabel, valorile de referință armonizate ale eficienței producerii separate de energie termică au la bază puterea calorifică inferioară a combustibilului și condițiile standard (15</w:t>
      </w:r>
      <w:r w:rsidRPr="00C923B1">
        <w:t xml:space="preserve"> </w:t>
      </w:r>
      <w:r w:rsidRPr="007C3FF8">
        <w:t>°C temperatura exterioară, 1,013 bar, 60</w:t>
      </w:r>
      <w:r w:rsidRPr="00C923B1">
        <w:t xml:space="preserve"> </w:t>
      </w:r>
      <w:r w:rsidRPr="007C3FF8">
        <w:t xml:space="preserve">% umiditate relativă). </w:t>
      </w:r>
    </w:p>
    <w:p w:rsidR="001077B8" w:rsidRPr="00FB0373" w:rsidRDefault="005F7275" w:rsidP="00FB0373">
      <w:pPr>
        <w:spacing w:after="240"/>
        <w:ind w:left="-425"/>
        <w:jc w:val="both"/>
      </w:pPr>
      <w:r w:rsidRPr="00C923B1">
        <w:rPr>
          <w:b/>
        </w:rPr>
        <w:t>**</w:t>
      </w:r>
      <w:r>
        <w:rPr>
          <w:b/>
        </w:rPr>
        <w:t xml:space="preserve"> </w:t>
      </w:r>
      <w:r w:rsidRPr="007C3FF8">
        <w:t>Notă:</w:t>
      </w:r>
      <w:r>
        <w:t xml:space="preserve"> În cazul în care condițiile standard menționate mai sus nu corespund cu condițiile utilizate pe teritoriul R</w:t>
      </w:r>
      <w:r w:rsidR="003B286C">
        <w:t xml:space="preserve">epublicii </w:t>
      </w:r>
      <w:r>
        <w:t>M</w:t>
      </w:r>
      <w:r w:rsidR="003B286C">
        <w:t>oldova</w:t>
      </w:r>
      <w:r>
        <w:t xml:space="preserve">, valoarea eficienței </w:t>
      </w:r>
      <w:r w:rsidR="003B286C">
        <w:t>urmează a</w:t>
      </w:r>
      <w:r>
        <w:t xml:space="preserve"> fi recalculată.</w:t>
      </w:r>
    </w:p>
    <w:p w:rsidR="001077B8" w:rsidRPr="00C923B1" w:rsidRDefault="001077B8" w:rsidP="001077B8">
      <w:pPr>
        <w:pStyle w:val="NormalWeb"/>
        <w:spacing w:after="120" w:line="276" w:lineRule="auto"/>
        <w:ind w:left="-426" w:firstLine="0"/>
        <w:rPr>
          <w:sz w:val="28"/>
          <w:szCs w:val="28"/>
        </w:rPr>
      </w:pPr>
      <w:r>
        <w:rPr>
          <w:sz w:val="28"/>
          <w:szCs w:val="28"/>
        </w:rPr>
        <w:t xml:space="preserve">3. </w:t>
      </w:r>
      <w:r w:rsidRPr="00C923B1">
        <w:rPr>
          <w:sz w:val="28"/>
          <w:szCs w:val="28"/>
        </w:rPr>
        <w:t>Valorile de referinţă armonizate ale eficienţei pentru producerea separată de energie termică se aleg în funcţie de tipul de combustibilului utilizat. Dacă o unitate de cogenerare funcţionează cu mai multe tipuri de combustibili, se aplică media valorilor de referinţă corespunzătoare fiecărui tip de combustibil, ponderate cu energia consumată de respectiva unitate din fiecare tip de combustibil.</w:t>
      </w:r>
    </w:p>
    <w:p w:rsidR="00943F8A" w:rsidRPr="00FB0373" w:rsidRDefault="001077B8" w:rsidP="00FB0373">
      <w:pPr>
        <w:pStyle w:val="NormalWeb"/>
        <w:ind w:left="-426" w:firstLine="0"/>
        <w:rPr>
          <w:sz w:val="28"/>
          <w:szCs w:val="28"/>
        </w:rPr>
      </w:pPr>
      <w:r>
        <w:rPr>
          <w:sz w:val="28"/>
          <w:szCs w:val="28"/>
        </w:rPr>
        <w:t xml:space="preserve">4. </w:t>
      </w:r>
      <w:r w:rsidRPr="00C923B1">
        <w:rPr>
          <w:sz w:val="28"/>
          <w:szCs w:val="28"/>
        </w:rPr>
        <w:t>Prin gaze evacuate cu utilizare directă se înțelege cedarea energiei termice conținute de acestea printr-un proces de transfer de căldură direct, fără agent termic intermediar. Valorile aplicabile a gazelor evacuate trebuie utilizate dacă temperatura acestora este mai mare sau egală cu 250 °C.</w:t>
      </w:r>
    </w:p>
    <w:sectPr w:rsidR="00943F8A" w:rsidRPr="00FB0373" w:rsidSect="000463AE">
      <w:footerReference w:type="even" r:id="rId8"/>
      <w:footerReference w:type="default" r:id="rId9"/>
      <w:pgSz w:w="11906" w:h="16838" w:code="9"/>
      <w:pgMar w:top="851" w:right="851" w:bottom="851"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439" w:rsidRDefault="00E01439">
      <w:r>
        <w:separator/>
      </w:r>
    </w:p>
  </w:endnote>
  <w:endnote w:type="continuationSeparator" w:id="0">
    <w:p w:rsidR="00E01439" w:rsidRDefault="00E0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EUAlbertina">
    <w:altName w:val="EU Albertina"/>
    <w:panose1 w:val="00000000000000000000"/>
    <w:charset w:val="00"/>
    <w:family w:val="roman"/>
    <w:notTrueType/>
    <w:pitch w:val="default"/>
    <w:sig w:usb0="00000007" w:usb1="00000000" w:usb2="00000000" w:usb3="00000000" w:csb0="0000000B"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699" w:rsidRDefault="003B286C" w:rsidP="007C69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1699" w:rsidRDefault="00E01439" w:rsidP="00FB07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699" w:rsidRPr="00B95B4F" w:rsidRDefault="003B286C" w:rsidP="00DB6704">
    <w:pPr>
      <w:pStyle w:val="Footer"/>
      <w:framePr w:wrap="around" w:vAnchor="text" w:hAnchor="page" w:x="10906" w:y="-3"/>
      <w:rPr>
        <w:sz w:val="16"/>
        <w:szCs w:val="16"/>
      </w:rPr>
    </w:pPr>
    <w:r>
      <w:rPr>
        <w:rStyle w:val="PageNumber"/>
      </w:rPr>
      <w:fldChar w:fldCharType="begin"/>
    </w:r>
    <w:r>
      <w:rPr>
        <w:rStyle w:val="PageNumber"/>
      </w:rPr>
      <w:instrText xml:space="preserve">PAGE  </w:instrText>
    </w:r>
    <w:r>
      <w:rPr>
        <w:rStyle w:val="PageNumber"/>
      </w:rPr>
      <w:fldChar w:fldCharType="separate"/>
    </w:r>
    <w:r w:rsidR="0031578A">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439" w:rsidRDefault="00E01439">
      <w:r>
        <w:separator/>
      </w:r>
    </w:p>
  </w:footnote>
  <w:footnote w:type="continuationSeparator" w:id="0">
    <w:p w:rsidR="00E01439" w:rsidRDefault="00E014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B45630"/>
    <w:multiLevelType w:val="hybridMultilevel"/>
    <w:tmpl w:val="670CA54A"/>
    <w:lvl w:ilvl="0" w:tplc="93D25FC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7B8"/>
    <w:rsid w:val="00003EB1"/>
    <w:rsid w:val="00004069"/>
    <w:rsid w:val="0002531B"/>
    <w:rsid w:val="00035089"/>
    <w:rsid w:val="0004167B"/>
    <w:rsid w:val="00045A33"/>
    <w:rsid w:val="00064DF4"/>
    <w:rsid w:val="000657CA"/>
    <w:rsid w:val="00066CB9"/>
    <w:rsid w:val="000703AC"/>
    <w:rsid w:val="000715FA"/>
    <w:rsid w:val="000728A8"/>
    <w:rsid w:val="00096317"/>
    <w:rsid w:val="000B0F18"/>
    <w:rsid w:val="000B51E9"/>
    <w:rsid w:val="000D30CA"/>
    <w:rsid w:val="000E7DF3"/>
    <w:rsid w:val="000F0409"/>
    <w:rsid w:val="000F3165"/>
    <w:rsid w:val="001077B8"/>
    <w:rsid w:val="00125EA8"/>
    <w:rsid w:val="00143803"/>
    <w:rsid w:val="00146ABD"/>
    <w:rsid w:val="00183721"/>
    <w:rsid w:val="00190641"/>
    <w:rsid w:val="001C5684"/>
    <w:rsid w:val="00201E8F"/>
    <w:rsid w:val="002033D3"/>
    <w:rsid w:val="0020489C"/>
    <w:rsid w:val="0028039F"/>
    <w:rsid w:val="00291780"/>
    <w:rsid w:val="002C7A5E"/>
    <w:rsid w:val="002D3EF2"/>
    <w:rsid w:val="002E3374"/>
    <w:rsid w:val="0031578A"/>
    <w:rsid w:val="00344F8F"/>
    <w:rsid w:val="003536BA"/>
    <w:rsid w:val="003704F6"/>
    <w:rsid w:val="00373199"/>
    <w:rsid w:val="003749DB"/>
    <w:rsid w:val="00392C1D"/>
    <w:rsid w:val="003A46B5"/>
    <w:rsid w:val="003A75CA"/>
    <w:rsid w:val="003B286C"/>
    <w:rsid w:val="003B6ADD"/>
    <w:rsid w:val="003D135B"/>
    <w:rsid w:val="003D2101"/>
    <w:rsid w:val="003D211D"/>
    <w:rsid w:val="003F3571"/>
    <w:rsid w:val="00406169"/>
    <w:rsid w:val="00417420"/>
    <w:rsid w:val="00441F42"/>
    <w:rsid w:val="00462CAE"/>
    <w:rsid w:val="00497B71"/>
    <w:rsid w:val="004D5D43"/>
    <w:rsid w:val="004F17E7"/>
    <w:rsid w:val="005227C2"/>
    <w:rsid w:val="00542122"/>
    <w:rsid w:val="0054621E"/>
    <w:rsid w:val="00554AC9"/>
    <w:rsid w:val="00561090"/>
    <w:rsid w:val="00567959"/>
    <w:rsid w:val="0058046A"/>
    <w:rsid w:val="005A0FF2"/>
    <w:rsid w:val="005C540A"/>
    <w:rsid w:val="005C5F19"/>
    <w:rsid w:val="005C7D7D"/>
    <w:rsid w:val="005D3C60"/>
    <w:rsid w:val="005F544F"/>
    <w:rsid w:val="005F7275"/>
    <w:rsid w:val="005F7D6E"/>
    <w:rsid w:val="00600E45"/>
    <w:rsid w:val="00602D25"/>
    <w:rsid w:val="00603988"/>
    <w:rsid w:val="006214A8"/>
    <w:rsid w:val="0063176C"/>
    <w:rsid w:val="00641495"/>
    <w:rsid w:val="00646523"/>
    <w:rsid w:val="00662373"/>
    <w:rsid w:val="00663EA8"/>
    <w:rsid w:val="006812C7"/>
    <w:rsid w:val="00693BD3"/>
    <w:rsid w:val="006A17ED"/>
    <w:rsid w:val="006D1DD3"/>
    <w:rsid w:val="006D3CEF"/>
    <w:rsid w:val="006D494B"/>
    <w:rsid w:val="006D7654"/>
    <w:rsid w:val="006F3D9D"/>
    <w:rsid w:val="00705AA9"/>
    <w:rsid w:val="00723333"/>
    <w:rsid w:val="007244E2"/>
    <w:rsid w:val="00736695"/>
    <w:rsid w:val="00750AA9"/>
    <w:rsid w:val="007514A8"/>
    <w:rsid w:val="007844BD"/>
    <w:rsid w:val="007865C2"/>
    <w:rsid w:val="007929EA"/>
    <w:rsid w:val="007B5D33"/>
    <w:rsid w:val="008379DD"/>
    <w:rsid w:val="0086459E"/>
    <w:rsid w:val="00872384"/>
    <w:rsid w:val="00893565"/>
    <w:rsid w:val="00893C73"/>
    <w:rsid w:val="008A2029"/>
    <w:rsid w:val="008A5CAA"/>
    <w:rsid w:val="008B3ABA"/>
    <w:rsid w:val="008B790A"/>
    <w:rsid w:val="008C4804"/>
    <w:rsid w:val="008F1851"/>
    <w:rsid w:val="008F3D33"/>
    <w:rsid w:val="0092488E"/>
    <w:rsid w:val="00927CF3"/>
    <w:rsid w:val="00943F8A"/>
    <w:rsid w:val="00971CB4"/>
    <w:rsid w:val="009D1717"/>
    <w:rsid w:val="009D7399"/>
    <w:rsid w:val="009E64C3"/>
    <w:rsid w:val="009F1000"/>
    <w:rsid w:val="00A113D4"/>
    <w:rsid w:val="00A1793C"/>
    <w:rsid w:val="00A34583"/>
    <w:rsid w:val="00A411F2"/>
    <w:rsid w:val="00A5637A"/>
    <w:rsid w:val="00A609A9"/>
    <w:rsid w:val="00A86013"/>
    <w:rsid w:val="00A90383"/>
    <w:rsid w:val="00A9408A"/>
    <w:rsid w:val="00A970BF"/>
    <w:rsid w:val="00AA717A"/>
    <w:rsid w:val="00AC4C29"/>
    <w:rsid w:val="00AE4218"/>
    <w:rsid w:val="00B03B8E"/>
    <w:rsid w:val="00B060AC"/>
    <w:rsid w:val="00B112AF"/>
    <w:rsid w:val="00B3370A"/>
    <w:rsid w:val="00B666E5"/>
    <w:rsid w:val="00B67D32"/>
    <w:rsid w:val="00B73976"/>
    <w:rsid w:val="00B76353"/>
    <w:rsid w:val="00B82DB7"/>
    <w:rsid w:val="00B92644"/>
    <w:rsid w:val="00B94A5A"/>
    <w:rsid w:val="00B95897"/>
    <w:rsid w:val="00BA6E70"/>
    <w:rsid w:val="00BC001A"/>
    <w:rsid w:val="00BC184A"/>
    <w:rsid w:val="00BD706B"/>
    <w:rsid w:val="00C04907"/>
    <w:rsid w:val="00C11F61"/>
    <w:rsid w:val="00C13113"/>
    <w:rsid w:val="00C15D3B"/>
    <w:rsid w:val="00C30D12"/>
    <w:rsid w:val="00C341C0"/>
    <w:rsid w:val="00C475CF"/>
    <w:rsid w:val="00C935B3"/>
    <w:rsid w:val="00CA5701"/>
    <w:rsid w:val="00CC58A0"/>
    <w:rsid w:val="00CD0E9E"/>
    <w:rsid w:val="00CF07B6"/>
    <w:rsid w:val="00D043EB"/>
    <w:rsid w:val="00D047CB"/>
    <w:rsid w:val="00D118E7"/>
    <w:rsid w:val="00D21A02"/>
    <w:rsid w:val="00D327C7"/>
    <w:rsid w:val="00D4132C"/>
    <w:rsid w:val="00D51984"/>
    <w:rsid w:val="00D607B0"/>
    <w:rsid w:val="00D62F7D"/>
    <w:rsid w:val="00D667A7"/>
    <w:rsid w:val="00D71CE4"/>
    <w:rsid w:val="00D75901"/>
    <w:rsid w:val="00D868F0"/>
    <w:rsid w:val="00D90CDF"/>
    <w:rsid w:val="00D97578"/>
    <w:rsid w:val="00D979AD"/>
    <w:rsid w:val="00DD6748"/>
    <w:rsid w:val="00DD7D8A"/>
    <w:rsid w:val="00DE658C"/>
    <w:rsid w:val="00DF097A"/>
    <w:rsid w:val="00DF7D21"/>
    <w:rsid w:val="00E01439"/>
    <w:rsid w:val="00E031C5"/>
    <w:rsid w:val="00E34E6F"/>
    <w:rsid w:val="00E36F6E"/>
    <w:rsid w:val="00E50C7E"/>
    <w:rsid w:val="00E65A44"/>
    <w:rsid w:val="00E66FC5"/>
    <w:rsid w:val="00E7281D"/>
    <w:rsid w:val="00E871C8"/>
    <w:rsid w:val="00E95E22"/>
    <w:rsid w:val="00EA0DAE"/>
    <w:rsid w:val="00EA5604"/>
    <w:rsid w:val="00EB1A13"/>
    <w:rsid w:val="00EB4E87"/>
    <w:rsid w:val="00ED7C12"/>
    <w:rsid w:val="00EE48FC"/>
    <w:rsid w:val="00EF334E"/>
    <w:rsid w:val="00F12F80"/>
    <w:rsid w:val="00F173B1"/>
    <w:rsid w:val="00F305ED"/>
    <w:rsid w:val="00F41231"/>
    <w:rsid w:val="00F46F8F"/>
    <w:rsid w:val="00F500D0"/>
    <w:rsid w:val="00F60837"/>
    <w:rsid w:val="00F654B1"/>
    <w:rsid w:val="00F90DAA"/>
    <w:rsid w:val="00FB0373"/>
    <w:rsid w:val="00FB41F6"/>
    <w:rsid w:val="00FD1269"/>
    <w:rsid w:val="00FD1D26"/>
    <w:rsid w:val="00FF044E"/>
    <w:rsid w:val="00FF5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7B8"/>
    <w:rPr>
      <w:rFonts w:ascii="Times New Roman" w:eastAsia="Times New Roman" w:hAnsi="Times New Roman"/>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715FA"/>
    <w:pPr>
      <w:ind w:left="720"/>
      <w:contextualSpacing/>
    </w:pPr>
  </w:style>
  <w:style w:type="paragraph" w:customStyle="1" w:styleId="cb">
    <w:name w:val="cb"/>
    <w:basedOn w:val="Normal"/>
    <w:rsid w:val="001077B8"/>
    <w:pPr>
      <w:jc w:val="center"/>
    </w:pPr>
    <w:rPr>
      <w:b/>
      <w:bCs/>
    </w:rPr>
  </w:style>
  <w:style w:type="paragraph" w:styleId="NormalWeb">
    <w:name w:val="Normal (Web)"/>
    <w:basedOn w:val="Normal"/>
    <w:uiPriority w:val="99"/>
    <w:rsid w:val="001077B8"/>
    <w:pPr>
      <w:ind w:firstLine="567"/>
      <w:jc w:val="both"/>
    </w:pPr>
  </w:style>
  <w:style w:type="paragraph" w:customStyle="1" w:styleId="tt">
    <w:name w:val="tt"/>
    <w:basedOn w:val="Normal"/>
    <w:rsid w:val="001077B8"/>
    <w:pPr>
      <w:jc w:val="center"/>
    </w:pPr>
    <w:rPr>
      <w:b/>
      <w:bCs/>
    </w:rPr>
  </w:style>
  <w:style w:type="paragraph" w:customStyle="1" w:styleId="cn">
    <w:name w:val="cn"/>
    <w:basedOn w:val="Normal"/>
    <w:rsid w:val="001077B8"/>
    <w:pPr>
      <w:jc w:val="center"/>
    </w:pPr>
  </w:style>
  <w:style w:type="paragraph" w:styleId="Footer">
    <w:name w:val="footer"/>
    <w:basedOn w:val="Normal"/>
    <w:link w:val="FooterChar"/>
    <w:rsid w:val="001077B8"/>
    <w:pPr>
      <w:tabs>
        <w:tab w:val="center" w:pos="4320"/>
        <w:tab w:val="right" w:pos="8640"/>
      </w:tabs>
    </w:pPr>
  </w:style>
  <w:style w:type="character" w:customStyle="1" w:styleId="FooterChar">
    <w:name w:val="Footer Char"/>
    <w:basedOn w:val="DefaultParagraphFont"/>
    <w:link w:val="Footer"/>
    <w:rsid w:val="001077B8"/>
    <w:rPr>
      <w:rFonts w:ascii="Times New Roman" w:eastAsia="Times New Roman" w:hAnsi="Times New Roman"/>
      <w:sz w:val="24"/>
      <w:szCs w:val="24"/>
      <w:lang w:val="ro-RO" w:eastAsia="ru-RU"/>
    </w:rPr>
  </w:style>
  <w:style w:type="character" w:styleId="PageNumber">
    <w:name w:val="page number"/>
    <w:basedOn w:val="DefaultParagraphFont"/>
    <w:rsid w:val="001077B8"/>
  </w:style>
  <w:style w:type="paragraph" w:customStyle="1" w:styleId="Default">
    <w:name w:val="Default"/>
    <w:rsid w:val="001077B8"/>
    <w:pPr>
      <w:autoSpaceDE w:val="0"/>
      <w:autoSpaceDN w:val="0"/>
      <w:adjustRightInd w:val="0"/>
    </w:pPr>
    <w:rPr>
      <w:rFonts w:ascii="Times New Roman" w:hAnsi="Times New Roman"/>
      <w:color w:val="000000"/>
      <w:sz w:val="24"/>
      <w:szCs w:val="24"/>
    </w:rPr>
  </w:style>
  <w:style w:type="paragraph" w:customStyle="1" w:styleId="rg">
    <w:name w:val="rg"/>
    <w:basedOn w:val="Normal"/>
    <w:rsid w:val="001077B8"/>
    <w:pPr>
      <w:jc w:val="right"/>
    </w:pPr>
    <w:rPr>
      <w:lang w:val="ru-RU"/>
    </w:rPr>
  </w:style>
  <w:style w:type="table" w:styleId="TableGrid">
    <w:name w:val="Table Grid"/>
    <w:basedOn w:val="TableNormal"/>
    <w:uiPriority w:val="59"/>
    <w:rsid w:val="001077B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1077B8"/>
    <w:rPr>
      <w:rFonts w:ascii="EUAlbertina" w:hAnsi="EUAlbertina"/>
      <w:color w:val="auto"/>
    </w:rPr>
  </w:style>
  <w:style w:type="paragraph" w:customStyle="1" w:styleId="CM3">
    <w:name w:val="CM3"/>
    <w:basedOn w:val="Default"/>
    <w:next w:val="Default"/>
    <w:uiPriority w:val="99"/>
    <w:rsid w:val="001077B8"/>
    <w:rPr>
      <w:rFonts w:ascii="EUAlbertina" w:hAnsi="EUAlbertina"/>
      <w:color w:val="auto"/>
    </w:rPr>
  </w:style>
  <w:style w:type="paragraph" w:customStyle="1" w:styleId="CM4">
    <w:name w:val="CM4"/>
    <w:basedOn w:val="Default"/>
    <w:next w:val="Default"/>
    <w:uiPriority w:val="99"/>
    <w:rsid w:val="00D21A02"/>
    <w:rPr>
      <w:rFonts w:ascii="EUAlbertina" w:hAnsi="EUAlbertina"/>
      <w:color w:val="auto"/>
    </w:rPr>
  </w:style>
  <w:style w:type="paragraph" w:styleId="BalloonText">
    <w:name w:val="Balloon Text"/>
    <w:basedOn w:val="Normal"/>
    <w:link w:val="BalloonTextChar"/>
    <w:uiPriority w:val="99"/>
    <w:semiHidden/>
    <w:unhideWhenUsed/>
    <w:rsid w:val="00FB0373"/>
    <w:rPr>
      <w:rFonts w:ascii="Tahoma" w:hAnsi="Tahoma" w:cs="Tahoma"/>
      <w:sz w:val="16"/>
      <w:szCs w:val="16"/>
    </w:rPr>
  </w:style>
  <w:style w:type="character" w:customStyle="1" w:styleId="BalloonTextChar">
    <w:name w:val="Balloon Text Char"/>
    <w:basedOn w:val="DefaultParagraphFont"/>
    <w:link w:val="BalloonText"/>
    <w:uiPriority w:val="99"/>
    <w:semiHidden/>
    <w:rsid w:val="00FB0373"/>
    <w:rPr>
      <w:rFonts w:ascii="Tahoma" w:eastAsia="Times New Roman" w:hAnsi="Tahoma" w:cs="Tahoma"/>
      <w:sz w:val="16"/>
      <w:szCs w:val="16"/>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7B8"/>
    <w:rPr>
      <w:rFonts w:ascii="Times New Roman" w:eastAsia="Times New Roman" w:hAnsi="Times New Roman"/>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715FA"/>
    <w:pPr>
      <w:ind w:left="720"/>
      <w:contextualSpacing/>
    </w:pPr>
  </w:style>
  <w:style w:type="paragraph" w:customStyle="1" w:styleId="cb">
    <w:name w:val="cb"/>
    <w:basedOn w:val="Normal"/>
    <w:rsid w:val="001077B8"/>
    <w:pPr>
      <w:jc w:val="center"/>
    </w:pPr>
    <w:rPr>
      <w:b/>
      <w:bCs/>
    </w:rPr>
  </w:style>
  <w:style w:type="paragraph" w:styleId="NormalWeb">
    <w:name w:val="Normal (Web)"/>
    <w:basedOn w:val="Normal"/>
    <w:uiPriority w:val="99"/>
    <w:rsid w:val="001077B8"/>
    <w:pPr>
      <w:ind w:firstLine="567"/>
      <w:jc w:val="both"/>
    </w:pPr>
  </w:style>
  <w:style w:type="paragraph" w:customStyle="1" w:styleId="tt">
    <w:name w:val="tt"/>
    <w:basedOn w:val="Normal"/>
    <w:rsid w:val="001077B8"/>
    <w:pPr>
      <w:jc w:val="center"/>
    </w:pPr>
    <w:rPr>
      <w:b/>
      <w:bCs/>
    </w:rPr>
  </w:style>
  <w:style w:type="paragraph" w:customStyle="1" w:styleId="cn">
    <w:name w:val="cn"/>
    <w:basedOn w:val="Normal"/>
    <w:rsid w:val="001077B8"/>
    <w:pPr>
      <w:jc w:val="center"/>
    </w:pPr>
  </w:style>
  <w:style w:type="paragraph" w:styleId="Footer">
    <w:name w:val="footer"/>
    <w:basedOn w:val="Normal"/>
    <w:link w:val="FooterChar"/>
    <w:rsid w:val="001077B8"/>
    <w:pPr>
      <w:tabs>
        <w:tab w:val="center" w:pos="4320"/>
        <w:tab w:val="right" w:pos="8640"/>
      </w:tabs>
    </w:pPr>
  </w:style>
  <w:style w:type="character" w:customStyle="1" w:styleId="FooterChar">
    <w:name w:val="Footer Char"/>
    <w:basedOn w:val="DefaultParagraphFont"/>
    <w:link w:val="Footer"/>
    <w:rsid w:val="001077B8"/>
    <w:rPr>
      <w:rFonts w:ascii="Times New Roman" w:eastAsia="Times New Roman" w:hAnsi="Times New Roman"/>
      <w:sz w:val="24"/>
      <w:szCs w:val="24"/>
      <w:lang w:val="ro-RO" w:eastAsia="ru-RU"/>
    </w:rPr>
  </w:style>
  <w:style w:type="character" w:styleId="PageNumber">
    <w:name w:val="page number"/>
    <w:basedOn w:val="DefaultParagraphFont"/>
    <w:rsid w:val="001077B8"/>
  </w:style>
  <w:style w:type="paragraph" w:customStyle="1" w:styleId="Default">
    <w:name w:val="Default"/>
    <w:rsid w:val="001077B8"/>
    <w:pPr>
      <w:autoSpaceDE w:val="0"/>
      <w:autoSpaceDN w:val="0"/>
      <w:adjustRightInd w:val="0"/>
    </w:pPr>
    <w:rPr>
      <w:rFonts w:ascii="Times New Roman" w:hAnsi="Times New Roman"/>
      <w:color w:val="000000"/>
      <w:sz w:val="24"/>
      <w:szCs w:val="24"/>
    </w:rPr>
  </w:style>
  <w:style w:type="paragraph" w:customStyle="1" w:styleId="rg">
    <w:name w:val="rg"/>
    <w:basedOn w:val="Normal"/>
    <w:rsid w:val="001077B8"/>
    <w:pPr>
      <w:jc w:val="right"/>
    </w:pPr>
    <w:rPr>
      <w:lang w:val="ru-RU"/>
    </w:rPr>
  </w:style>
  <w:style w:type="table" w:styleId="TableGrid">
    <w:name w:val="Table Grid"/>
    <w:basedOn w:val="TableNormal"/>
    <w:uiPriority w:val="59"/>
    <w:rsid w:val="001077B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1077B8"/>
    <w:rPr>
      <w:rFonts w:ascii="EUAlbertina" w:hAnsi="EUAlbertina"/>
      <w:color w:val="auto"/>
    </w:rPr>
  </w:style>
  <w:style w:type="paragraph" w:customStyle="1" w:styleId="CM3">
    <w:name w:val="CM3"/>
    <w:basedOn w:val="Default"/>
    <w:next w:val="Default"/>
    <w:uiPriority w:val="99"/>
    <w:rsid w:val="001077B8"/>
    <w:rPr>
      <w:rFonts w:ascii="EUAlbertina" w:hAnsi="EUAlbertina"/>
      <w:color w:val="auto"/>
    </w:rPr>
  </w:style>
  <w:style w:type="paragraph" w:customStyle="1" w:styleId="CM4">
    <w:name w:val="CM4"/>
    <w:basedOn w:val="Default"/>
    <w:next w:val="Default"/>
    <w:uiPriority w:val="99"/>
    <w:rsid w:val="00D21A02"/>
    <w:rPr>
      <w:rFonts w:ascii="EUAlbertina" w:hAnsi="EUAlbertina"/>
      <w:color w:val="auto"/>
    </w:rPr>
  </w:style>
  <w:style w:type="paragraph" w:styleId="BalloonText">
    <w:name w:val="Balloon Text"/>
    <w:basedOn w:val="Normal"/>
    <w:link w:val="BalloonTextChar"/>
    <w:uiPriority w:val="99"/>
    <w:semiHidden/>
    <w:unhideWhenUsed/>
    <w:rsid w:val="00FB0373"/>
    <w:rPr>
      <w:rFonts w:ascii="Tahoma" w:hAnsi="Tahoma" w:cs="Tahoma"/>
      <w:sz w:val="16"/>
      <w:szCs w:val="16"/>
    </w:rPr>
  </w:style>
  <w:style w:type="character" w:customStyle="1" w:styleId="BalloonTextChar">
    <w:name w:val="Balloon Text Char"/>
    <w:basedOn w:val="DefaultParagraphFont"/>
    <w:link w:val="BalloonText"/>
    <w:uiPriority w:val="99"/>
    <w:semiHidden/>
    <w:rsid w:val="00FB0373"/>
    <w:rPr>
      <w:rFonts w:ascii="Tahoma" w:eastAsia="Times New Roman" w:hAnsi="Tahoma" w:cs="Tahoma"/>
      <w:sz w:val="16"/>
      <w:szCs w:val="16"/>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1414</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Jomiru</dc:creator>
  <cp:lastModifiedBy>Jomiru</cp:lastModifiedBy>
  <cp:revision>4</cp:revision>
  <cp:lastPrinted>2016-01-11T14:18:00Z</cp:lastPrinted>
  <dcterms:created xsi:type="dcterms:W3CDTF">2015-12-29T07:18:00Z</dcterms:created>
  <dcterms:modified xsi:type="dcterms:W3CDTF">2016-01-11T15:20:00Z</dcterms:modified>
</cp:coreProperties>
</file>