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804" w:rsidRPr="00AF47A9" w:rsidRDefault="00174804" w:rsidP="00174804">
      <w:pPr>
        <w:jc w:val="center"/>
        <w:rPr>
          <w:b/>
          <w:sz w:val="28"/>
          <w:szCs w:val="28"/>
          <w:lang w:val="ro-RO"/>
        </w:rPr>
      </w:pPr>
      <w:r w:rsidRPr="00AF47A9">
        <w:rPr>
          <w:b/>
          <w:sz w:val="28"/>
          <w:szCs w:val="28"/>
          <w:lang w:val="ro-RO"/>
        </w:rPr>
        <w:t>Analiza avizelor la proiectul Hotărîrii de Guvern cu privire la reorganizarea unor întreprinderi din sectorul termoenergetic</w:t>
      </w:r>
    </w:p>
    <w:p w:rsidR="00174804" w:rsidRPr="00AF47A9" w:rsidRDefault="00174804" w:rsidP="00174804">
      <w:pPr>
        <w:jc w:val="center"/>
        <w:rPr>
          <w:b/>
          <w:sz w:val="28"/>
          <w:szCs w:val="28"/>
          <w:lang w:val="ro-RO"/>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0063"/>
        <w:gridCol w:w="4217"/>
      </w:tblGrid>
      <w:tr w:rsidR="00174804" w:rsidRPr="002B515F" w:rsidTr="00151B52">
        <w:tc>
          <w:tcPr>
            <w:tcW w:w="840" w:type="dxa"/>
            <w:vAlign w:val="center"/>
          </w:tcPr>
          <w:p w:rsidR="00174804" w:rsidRPr="002B515F" w:rsidRDefault="00174804" w:rsidP="00151B52">
            <w:pPr>
              <w:jc w:val="center"/>
              <w:rPr>
                <w:b/>
                <w:sz w:val="28"/>
                <w:szCs w:val="28"/>
                <w:lang w:val="ro-RO"/>
              </w:rPr>
            </w:pPr>
            <w:r w:rsidRPr="002B515F">
              <w:rPr>
                <w:b/>
                <w:sz w:val="28"/>
                <w:szCs w:val="28"/>
                <w:lang w:val="ro-RO"/>
              </w:rPr>
              <w:t>nr. d/o</w:t>
            </w:r>
          </w:p>
        </w:tc>
        <w:tc>
          <w:tcPr>
            <w:tcW w:w="10063" w:type="dxa"/>
            <w:vAlign w:val="center"/>
          </w:tcPr>
          <w:p w:rsidR="00174804" w:rsidRPr="002B515F" w:rsidRDefault="00174804" w:rsidP="00151B52">
            <w:pPr>
              <w:jc w:val="center"/>
              <w:rPr>
                <w:b/>
                <w:sz w:val="28"/>
                <w:szCs w:val="28"/>
                <w:lang w:val="ro-RO"/>
              </w:rPr>
            </w:pPr>
            <w:r w:rsidRPr="002B515F">
              <w:rPr>
                <w:b/>
                <w:sz w:val="28"/>
                <w:szCs w:val="28"/>
                <w:lang w:val="ro-RO"/>
              </w:rPr>
              <w:t>Conţinutul propunerilor şi obiecţiilor</w:t>
            </w:r>
          </w:p>
        </w:tc>
        <w:tc>
          <w:tcPr>
            <w:tcW w:w="4217" w:type="dxa"/>
            <w:vAlign w:val="center"/>
          </w:tcPr>
          <w:p w:rsidR="00174804" w:rsidRPr="002B515F" w:rsidRDefault="00174804" w:rsidP="00151B52">
            <w:pPr>
              <w:jc w:val="center"/>
              <w:rPr>
                <w:b/>
                <w:sz w:val="28"/>
                <w:szCs w:val="28"/>
                <w:lang w:val="ro-RO"/>
              </w:rPr>
            </w:pPr>
            <w:r w:rsidRPr="002B515F">
              <w:rPr>
                <w:b/>
                <w:sz w:val="28"/>
                <w:szCs w:val="28"/>
                <w:lang w:val="ro-RO"/>
              </w:rPr>
              <w:t>Comentarii</w:t>
            </w:r>
          </w:p>
        </w:tc>
      </w:tr>
      <w:tr w:rsidR="00174804" w:rsidRPr="00580AAA" w:rsidTr="00151B52">
        <w:trPr>
          <w:trHeight w:val="640"/>
        </w:trPr>
        <w:tc>
          <w:tcPr>
            <w:tcW w:w="15120" w:type="dxa"/>
            <w:gridSpan w:val="3"/>
            <w:vAlign w:val="center"/>
          </w:tcPr>
          <w:p w:rsidR="00174804" w:rsidRPr="002B515F" w:rsidRDefault="002C5650" w:rsidP="00151B52">
            <w:pPr>
              <w:jc w:val="center"/>
              <w:rPr>
                <w:b/>
                <w:sz w:val="28"/>
                <w:szCs w:val="28"/>
                <w:lang w:val="ro-RO"/>
              </w:rPr>
            </w:pPr>
            <w:r w:rsidRPr="002B515F">
              <w:rPr>
                <w:b/>
                <w:color w:val="000000"/>
                <w:sz w:val="28"/>
                <w:szCs w:val="28"/>
                <w:lang w:val="ro-RO"/>
              </w:rPr>
              <w:t>Centrul de Armonizare a Legislaţiei</w:t>
            </w:r>
            <w:r w:rsidR="00174804" w:rsidRPr="002B515F">
              <w:rPr>
                <w:b/>
                <w:color w:val="000000"/>
                <w:sz w:val="28"/>
                <w:szCs w:val="28"/>
                <w:lang w:val="ro-RO"/>
              </w:rPr>
              <w:t xml:space="preserve"> a prezentat avi</w:t>
            </w:r>
            <w:r w:rsidRPr="002B515F">
              <w:rPr>
                <w:b/>
                <w:color w:val="000000"/>
                <w:sz w:val="28"/>
                <w:szCs w:val="28"/>
                <w:lang w:val="ro-RO"/>
              </w:rPr>
              <w:t>zul prin scrisoarea nr. 151/06</w:t>
            </w:r>
            <w:r w:rsidR="00174804" w:rsidRPr="002B515F">
              <w:rPr>
                <w:b/>
                <w:color w:val="000000"/>
                <w:sz w:val="28"/>
                <w:szCs w:val="28"/>
                <w:lang w:val="ro-RO"/>
              </w:rPr>
              <w:t xml:space="preserve"> </w:t>
            </w:r>
            <w:r w:rsidRPr="002B515F">
              <w:rPr>
                <w:b/>
                <w:color w:val="000000"/>
                <w:sz w:val="28"/>
                <w:szCs w:val="28"/>
                <w:lang w:val="ro-RO"/>
              </w:rPr>
              <w:t>din 4 noiembrie 2015</w:t>
            </w:r>
          </w:p>
        </w:tc>
      </w:tr>
      <w:tr w:rsidR="00174804" w:rsidRPr="00580AAA" w:rsidTr="00151B52">
        <w:tc>
          <w:tcPr>
            <w:tcW w:w="840" w:type="dxa"/>
          </w:tcPr>
          <w:p w:rsidR="00174804" w:rsidRPr="002B515F" w:rsidRDefault="00174804" w:rsidP="00151B52">
            <w:pPr>
              <w:jc w:val="center"/>
              <w:rPr>
                <w:color w:val="000000"/>
                <w:lang w:val="ro-RO"/>
              </w:rPr>
            </w:pPr>
            <w:r w:rsidRPr="002B515F">
              <w:rPr>
                <w:color w:val="000000"/>
                <w:lang w:val="ro-RO"/>
              </w:rPr>
              <w:t>1.</w:t>
            </w:r>
          </w:p>
        </w:tc>
        <w:tc>
          <w:tcPr>
            <w:tcW w:w="10063" w:type="dxa"/>
            <w:vAlign w:val="center"/>
          </w:tcPr>
          <w:p w:rsidR="002C5650" w:rsidRPr="002B515F" w:rsidRDefault="002C5650" w:rsidP="00A84F2B">
            <w:pPr>
              <w:pStyle w:val="BodyText"/>
              <w:tabs>
                <w:tab w:val="left" w:pos="0"/>
              </w:tabs>
              <w:spacing w:after="0"/>
              <w:jc w:val="center"/>
              <w:rPr>
                <w:b/>
                <w:lang w:val="en-US"/>
              </w:rPr>
            </w:pPr>
            <w:r w:rsidRPr="002B515F">
              <w:rPr>
                <w:b/>
                <w:lang w:val="en-US"/>
              </w:rPr>
              <w:t>DECLARAȚIE DE COMPATIBILITATE</w:t>
            </w:r>
          </w:p>
          <w:p w:rsidR="002C5650" w:rsidRPr="00AD6653" w:rsidRDefault="002C5650" w:rsidP="00A84F2B">
            <w:pPr>
              <w:pStyle w:val="BodyText"/>
              <w:tabs>
                <w:tab w:val="left" w:pos="0"/>
              </w:tabs>
              <w:spacing w:after="0"/>
              <w:jc w:val="both"/>
              <w:rPr>
                <w:lang w:val="en-US"/>
              </w:rPr>
            </w:pPr>
            <w:r w:rsidRPr="00AD6653">
              <w:rPr>
                <w:lang w:val="en-US"/>
              </w:rPr>
              <w:t>În baza expertizei proiectului Hotărîrii Guvernului pentru aprobarea valorilor de referință armonizate ale eficienței pentru producerea separată de energie electrică și termică, promovat suplimentar măsurilor programate prin Planul Național de Armonizare a Legislației pentru anul 2015.</w:t>
            </w:r>
          </w:p>
          <w:p w:rsidR="002C5650" w:rsidRPr="00AD6653" w:rsidRDefault="002C5650" w:rsidP="00A84F2B">
            <w:pPr>
              <w:pStyle w:val="BodyText"/>
              <w:tabs>
                <w:tab w:val="left" w:pos="0"/>
              </w:tabs>
              <w:spacing w:after="0"/>
              <w:jc w:val="both"/>
              <w:rPr>
                <w:lang w:val="en-US"/>
              </w:rPr>
            </w:pPr>
            <w:r w:rsidRPr="00AD6653">
              <w:rPr>
                <w:lang w:val="en-US"/>
              </w:rPr>
              <w:t>Proiectul Hotărîrii Guvernului pentru aprobarea valorilor de referință armonizate ale eficienței pentru producerea separată de energie electrică și termică transpune Decizia de punere în aplicare a Comisiei din 19 decembrie 2011 de stabilire a valorilor de referință armonizate ale randamentului pentru producția separată de energie electrică și căldură, în aplicarea Directivei 2004/8/CE a Parlamentului European și a Consiliului și de abrogare a Deciziei 2007/74/CE a Comisiei (</w:t>
            </w:r>
            <w:r w:rsidRPr="00AD6653">
              <w:rPr>
                <w:i/>
                <w:lang w:val="en-US"/>
              </w:rPr>
              <w:t>notificată cu numărul C(2011) 9523</w:t>
            </w:r>
            <w:r w:rsidRPr="00AD6653">
              <w:rPr>
                <w:lang w:val="en-US"/>
              </w:rPr>
              <w:t>) (2011/877/UE), publicată în Jurnalul Oficial al Uniunii Europene JO L 343 din 23 decembrie 2011 / Commission implementing Decision of 19 December 2011 establishing harmonised efficiency reference values for separate production of electricity and heat in application of Directive 2004/8/EC of the European Parliament and of the Council and repealing Commission Decision 2007/74/EC (</w:t>
            </w:r>
            <w:r w:rsidRPr="00AD6653">
              <w:rPr>
                <w:i/>
                <w:lang w:val="en-US"/>
              </w:rPr>
              <w:t>notified under document C(2011) 9523</w:t>
            </w:r>
            <w:r w:rsidRPr="00AD6653">
              <w:rPr>
                <w:lang w:val="en-US"/>
              </w:rPr>
              <w:t>) (2011/877/EU), published in the Official Journal of the European Union L 343 of 23 December 2011.</w:t>
            </w:r>
          </w:p>
          <w:p w:rsidR="002C5650" w:rsidRPr="00AD6653" w:rsidRDefault="002C5650" w:rsidP="00A84F2B">
            <w:pPr>
              <w:pStyle w:val="BodyText"/>
              <w:tabs>
                <w:tab w:val="left" w:pos="0"/>
              </w:tabs>
              <w:spacing w:after="0"/>
              <w:ind w:firstLine="426"/>
              <w:jc w:val="both"/>
              <w:rPr>
                <w:i/>
                <w:lang w:val="en-US"/>
              </w:rPr>
            </w:pPr>
            <w:r w:rsidRPr="00AD6653">
              <w:rPr>
                <w:i/>
                <w:lang w:val="en-US"/>
              </w:rPr>
              <w:t>Scopul</w:t>
            </w:r>
          </w:p>
          <w:p w:rsidR="002C5650" w:rsidRPr="00AD6653" w:rsidRDefault="002C5650" w:rsidP="00A84F2B">
            <w:pPr>
              <w:pStyle w:val="BodyText"/>
              <w:tabs>
                <w:tab w:val="left" w:pos="0"/>
              </w:tabs>
              <w:jc w:val="both"/>
              <w:rPr>
                <w:lang w:val="en-US"/>
              </w:rPr>
            </w:pPr>
            <w:r w:rsidRPr="00AD6653">
              <w:rPr>
                <w:lang w:val="en-US"/>
              </w:rPr>
              <w:t xml:space="preserve">Proiectul național prezentat pentru expertiza de compatibilitate are drept scop instituirea valorilor de referință armonizate ale randamentului pentru producția separată de energie electrică și căldură, astfel încît să asigure promovarea cogenerării și eficienței energetice, </w:t>
            </w:r>
            <w:proofErr w:type="gramStart"/>
            <w:r w:rsidRPr="00AD6653">
              <w:rPr>
                <w:lang w:val="en-US"/>
              </w:rPr>
              <w:t>cu</w:t>
            </w:r>
            <w:proofErr w:type="gramEnd"/>
            <w:r w:rsidRPr="00AD6653">
              <w:rPr>
                <w:lang w:val="en-US"/>
              </w:rPr>
              <w:t xml:space="preserve"> stimularea modernizării unităților de cogenerare mai vechi în vederea îmbunătățirii eficienței lor energetice. </w:t>
            </w:r>
          </w:p>
          <w:p w:rsidR="002C5650" w:rsidRPr="00AD6653" w:rsidRDefault="002C5650" w:rsidP="00AD6653">
            <w:pPr>
              <w:pStyle w:val="BodyText"/>
              <w:tabs>
                <w:tab w:val="left" w:pos="0"/>
              </w:tabs>
              <w:jc w:val="both"/>
              <w:rPr>
                <w:lang w:val="en-US"/>
              </w:rPr>
            </w:pPr>
            <w:r w:rsidRPr="00AD6653">
              <w:rPr>
                <w:lang w:val="en-US"/>
              </w:rPr>
              <w:t xml:space="preserve">Din punct de vedere al dreptului UE, prin prisma obiectului de reglementare, prezentul </w:t>
            </w:r>
            <w:proofErr w:type="gramStart"/>
            <w:r w:rsidRPr="00AD6653">
              <w:rPr>
                <w:lang w:val="en-US"/>
              </w:rPr>
              <w:t>demers</w:t>
            </w:r>
            <w:proofErr w:type="gramEnd"/>
            <w:r w:rsidRPr="00AD6653">
              <w:rPr>
                <w:lang w:val="en-US"/>
              </w:rPr>
              <w:t xml:space="preserve"> normativ se circumscrie reglementărilor UE statuate la nivelul UE, subsumate Politicii europene în domeniul energiei.</w:t>
            </w:r>
          </w:p>
          <w:p w:rsidR="002C5650" w:rsidRPr="00AD6653" w:rsidRDefault="002C5650" w:rsidP="002C5650">
            <w:pPr>
              <w:pStyle w:val="BodyText"/>
              <w:tabs>
                <w:tab w:val="left" w:pos="0"/>
              </w:tabs>
              <w:jc w:val="both"/>
              <w:rPr>
                <w:lang w:val="en-US"/>
              </w:rPr>
            </w:pPr>
            <w:r w:rsidRPr="00AD6653">
              <w:rPr>
                <w:lang w:val="en-US"/>
              </w:rPr>
              <w:t xml:space="preserve">Actul UE de bază în domeniul cogenerării și eficienței energetice este Directiva 2012/27/UE a Parlamentului European și a Consiliului din 25 octombrie 2012 privind eficiența energetică, de </w:t>
            </w:r>
            <w:r w:rsidRPr="00AD6653">
              <w:rPr>
                <w:lang w:val="en-US"/>
              </w:rPr>
              <w:lastRenderedPageBreak/>
              <w:t>modificare a Directivelor 2009/125/CE și 2010/30/UE și de abrogare a Directivelor 2004/8/CE și 2006/32/CE, care stabilește un cadru juridic general comun pentru promovarea eficienței energetice pe teritoriul UE. Astfel, conform art. 22 din Directiva 2012/27/UE, Comisia este în drept să aprobe acte delegate pentru stabilirea referințelor armonizate ale randamentelor pentru producția separată de en</w:t>
            </w:r>
            <w:r w:rsidR="00483F74" w:rsidRPr="00AD6653">
              <w:rPr>
                <w:lang w:val="en-US"/>
              </w:rPr>
              <w:t>e</w:t>
            </w:r>
            <w:r w:rsidRPr="00AD6653">
              <w:rPr>
                <w:lang w:val="en-US"/>
              </w:rPr>
              <w:t>rgie electrică și căldură. În acest sens, Decizia 2011/877/UE, adoptată în baza Directiv</w:t>
            </w:r>
            <w:r w:rsidR="00483F74" w:rsidRPr="00AD6653">
              <w:rPr>
                <w:lang w:val="en-US"/>
              </w:rPr>
              <w:t>ei</w:t>
            </w:r>
            <w:r w:rsidRPr="00AD6653">
              <w:rPr>
                <w:lang w:val="en-US"/>
              </w:rPr>
              <w:t xml:space="preserve"> 2004/8/CE a Parlamentului European și a Consiliului din 11 februarie 2004 privind promovarea cogenerării pe baza cererii de energie termică utilă pe piața internă a energiei și de modificare a Directivei 92/42/CEE, care a fost abrogată prin Directiva 2012/27/UE, reprezintă acel act de punere în aplicare în vederea stabilirii unor asemenea referințe. </w:t>
            </w:r>
          </w:p>
          <w:p w:rsidR="002C5650" w:rsidRPr="00AD6653" w:rsidRDefault="002C5650" w:rsidP="002C5650">
            <w:pPr>
              <w:pStyle w:val="BodyText"/>
              <w:tabs>
                <w:tab w:val="left" w:pos="0"/>
              </w:tabs>
              <w:jc w:val="both"/>
              <w:rPr>
                <w:lang w:val="en-US"/>
              </w:rPr>
            </w:pPr>
            <w:r w:rsidRPr="00AD6653">
              <w:rPr>
                <w:lang w:val="en-US"/>
              </w:rPr>
              <w:t>În ceea ce privește legislația națională, Directiva 2012/27/UE a fost transpusă parțial în Legea nr. 92 din 29 mai 2014 cu privire la energia termică şi promovarea cogenerării, act național supus expertizei de compatibilitate a Centrului de Armonizare a Legislației în anul 2012. Astfel, art. 7, alin. (1), lit. h) al Legii deleagă Guvernului sarcina de a stabili valorile de referință ale eficienței pentru producerea separată de energie, în conformitate cu actele UE relevante în domeniu, în speță Decizia 2011/877/UE.</w:t>
            </w:r>
          </w:p>
          <w:p w:rsidR="002C5650" w:rsidRPr="00AD6653" w:rsidRDefault="002C5650" w:rsidP="002C5650">
            <w:pPr>
              <w:pStyle w:val="BodyText"/>
              <w:tabs>
                <w:tab w:val="left" w:pos="0"/>
              </w:tabs>
              <w:spacing w:after="240"/>
              <w:jc w:val="both"/>
              <w:rPr>
                <w:lang w:val="en-US"/>
              </w:rPr>
            </w:pPr>
            <w:r w:rsidRPr="00AD6653">
              <w:rPr>
                <w:lang w:val="en-US"/>
              </w:rPr>
              <w:t>Transpunerea Deciziei 2011/877/UE în cauză este importantă în contextul îndeplinirii angajamentelor Republicii Moldova, care derivă din Anexa VIII la Capitolul 14 „Cooperarea în sectorul energetic” din Titlul IV, care stabilește obligația implementării Deciziei 2007/74/CE a Comisiei (act UE abrogat și substituit prin Decizia 2011/877/UE) în termen de 3 ani de la intrarea în vigoare a Acordului.</w:t>
            </w:r>
          </w:p>
          <w:p w:rsidR="002C5650" w:rsidRPr="00AD6653" w:rsidRDefault="002C5650" w:rsidP="002C5650">
            <w:pPr>
              <w:pStyle w:val="BodyText"/>
              <w:tabs>
                <w:tab w:val="left" w:pos="0"/>
              </w:tabs>
              <w:spacing w:after="240"/>
              <w:jc w:val="both"/>
              <w:rPr>
                <w:lang w:val="en-US"/>
              </w:rPr>
            </w:pPr>
            <w:r w:rsidRPr="00AD6653">
              <w:rPr>
                <w:lang w:val="en-US"/>
              </w:rPr>
              <w:t>Totodată, urmează a fi menționat faptul că, la nivelul UE este în proces de consultare și aprobare un nou act UE - Regulamentul delegat al Comi</w:t>
            </w:r>
            <w:r w:rsidR="004859B4">
              <w:rPr>
                <w:lang w:val="en-US"/>
              </w:rPr>
              <w:t>si</w:t>
            </w:r>
            <w:r w:rsidRPr="00AD6653">
              <w:rPr>
                <w:lang w:val="en-US"/>
              </w:rPr>
              <w:t>ei de revizuire a valorilor de referință armonizate ale randamentului pentru producția separată de energie electrică și termică, pentru aplicarea Directivei 2012/27/UE a Parlamentului European și a Consiliului și de abrogare a Deciziei 2011/877/UE a Comisiei, care însă nu constituie la moment o inițiativă finalizată.</w:t>
            </w:r>
          </w:p>
          <w:p w:rsidR="002C5650" w:rsidRPr="00AD6653" w:rsidRDefault="002C5650" w:rsidP="002C5650">
            <w:pPr>
              <w:pStyle w:val="BodyText"/>
              <w:tabs>
                <w:tab w:val="left" w:pos="0"/>
              </w:tabs>
              <w:spacing w:after="240"/>
              <w:jc w:val="both"/>
              <w:rPr>
                <w:lang w:val="en-US"/>
              </w:rPr>
            </w:pPr>
            <w:r w:rsidRPr="00AD6653">
              <w:rPr>
                <w:lang w:val="en-US"/>
              </w:rPr>
              <w:t xml:space="preserve">În acest context, atenționăm că, o dată cu aprobarea și intrarea în vigoare a actului UE menționat </w:t>
            </w:r>
            <w:r w:rsidRPr="00AD6653">
              <w:rPr>
                <w:i/>
                <w:lang w:val="en-US"/>
              </w:rPr>
              <w:t>supra</w:t>
            </w:r>
            <w:r w:rsidRPr="00AD6653">
              <w:rPr>
                <w:lang w:val="en-US"/>
              </w:rPr>
              <w:t>, urmează a fi revăzut cadrul legislativ național care stabilește valorile de referință armonizate ale randamentului pentru producția separată de energie electrică și căldură în conformitate cu noile prevederi UE.</w:t>
            </w:r>
          </w:p>
          <w:p w:rsidR="002C5650" w:rsidRPr="00AD6653" w:rsidRDefault="002C5650" w:rsidP="002C5650">
            <w:pPr>
              <w:pStyle w:val="BodyText"/>
              <w:tabs>
                <w:tab w:val="left" w:pos="0"/>
              </w:tabs>
              <w:ind w:firstLine="426"/>
              <w:jc w:val="both"/>
              <w:rPr>
                <w:i/>
                <w:lang w:val="en-US"/>
              </w:rPr>
            </w:pPr>
            <w:r w:rsidRPr="00AD6653">
              <w:rPr>
                <w:i/>
                <w:lang w:val="en-US"/>
              </w:rPr>
              <w:t xml:space="preserve">Obiective specifice de transpunere </w:t>
            </w:r>
          </w:p>
          <w:p w:rsidR="002C5650" w:rsidRPr="00AD6653" w:rsidRDefault="002C5650" w:rsidP="002C5650">
            <w:pPr>
              <w:pStyle w:val="BodyText"/>
              <w:tabs>
                <w:tab w:val="left" w:pos="0"/>
              </w:tabs>
              <w:jc w:val="both"/>
              <w:rPr>
                <w:lang w:val="en-US"/>
              </w:rPr>
            </w:pPr>
            <w:r w:rsidRPr="00AD6653">
              <w:rPr>
                <w:lang w:val="en-US"/>
              </w:rPr>
              <w:t>Principalele aspecte ce fac obiectul reglementării vizează:</w:t>
            </w:r>
          </w:p>
          <w:p w:rsidR="002C5650" w:rsidRPr="00AD6653" w:rsidRDefault="002C5650" w:rsidP="002C5650">
            <w:pPr>
              <w:pStyle w:val="BodyText"/>
              <w:numPr>
                <w:ilvl w:val="0"/>
                <w:numId w:val="3"/>
              </w:numPr>
              <w:tabs>
                <w:tab w:val="left" w:pos="0"/>
                <w:tab w:val="left" w:pos="284"/>
              </w:tabs>
              <w:suppressAutoHyphens/>
              <w:spacing w:after="0"/>
              <w:ind w:left="0" w:firstLine="0"/>
              <w:jc w:val="both"/>
              <w:rPr>
                <w:lang w:val="en-US"/>
              </w:rPr>
            </w:pPr>
            <w:r w:rsidRPr="00AD6653">
              <w:rPr>
                <w:lang w:val="en-US"/>
              </w:rPr>
              <w:lastRenderedPageBreak/>
              <w:t>Stabilirea valorilor de referință armonizate ale eficienței pentru producerea separată de en</w:t>
            </w:r>
            <w:r w:rsidR="00483F74" w:rsidRPr="00AD6653">
              <w:rPr>
                <w:lang w:val="en-US"/>
              </w:rPr>
              <w:t>e</w:t>
            </w:r>
            <w:r w:rsidRPr="00AD6653">
              <w:rPr>
                <w:lang w:val="en-US"/>
              </w:rPr>
              <w:t>rgie electrică (Anexa nr. 1) și</w:t>
            </w:r>
          </w:p>
          <w:p w:rsidR="002C5650" w:rsidRPr="00AD6653" w:rsidRDefault="002C5650" w:rsidP="002C5650">
            <w:pPr>
              <w:pStyle w:val="BodyText"/>
              <w:numPr>
                <w:ilvl w:val="0"/>
                <w:numId w:val="3"/>
              </w:numPr>
              <w:tabs>
                <w:tab w:val="left" w:pos="0"/>
                <w:tab w:val="left" w:pos="284"/>
              </w:tabs>
              <w:suppressAutoHyphens/>
              <w:spacing w:after="0"/>
              <w:ind w:left="0" w:firstLine="0"/>
              <w:jc w:val="both"/>
              <w:rPr>
                <w:lang w:val="en-US"/>
              </w:rPr>
            </w:pPr>
            <w:r w:rsidRPr="00AD6653">
              <w:rPr>
                <w:lang w:val="en-US"/>
              </w:rPr>
              <w:t>Stabilirea valorilor de referință armonizate ale eficienței pentru producerea separată de energie termică (Anexa nr. 2).</w:t>
            </w:r>
          </w:p>
          <w:p w:rsidR="002C5650" w:rsidRPr="00AD6653" w:rsidRDefault="002C5650" w:rsidP="002C5650">
            <w:pPr>
              <w:pStyle w:val="BodyText"/>
              <w:tabs>
                <w:tab w:val="left" w:pos="0"/>
              </w:tabs>
              <w:spacing w:after="240"/>
              <w:ind w:left="360"/>
              <w:jc w:val="both"/>
              <w:rPr>
                <w:lang w:val="en-US"/>
              </w:rPr>
            </w:pPr>
            <w:r w:rsidRPr="00AD6653">
              <w:rPr>
                <w:lang w:val="en-US"/>
              </w:rPr>
              <w:t>Proiectul se susține pentru promovarea ulterioară sub rezerva următoarelor obiecții.</w:t>
            </w:r>
          </w:p>
          <w:p w:rsidR="002C5650" w:rsidRPr="00AD6653" w:rsidRDefault="002C5650" w:rsidP="002C5650">
            <w:pPr>
              <w:pStyle w:val="BodyText"/>
              <w:tabs>
                <w:tab w:val="left" w:pos="0"/>
              </w:tabs>
              <w:ind w:left="360"/>
              <w:jc w:val="both"/>
              <w:rPr>
                <w:i/>
                <w:lang w:val="en-US"/>
              </w:rPr>
            </w:pPr>
            <w:r w:rsidRPr="00AD6653">
              <w:rPr>
                <w:i/>
                <w:lang w:val="en-US"/>
              </w:rPr>
              <w:t>Tipurile de combustibil cărora li se aplică valorile de referință armonizate</w:t>
            </w:r>
          </w:p>
          <w:p w:rsidR="002C5650" w:rsidRPr="00AD6653" w:rsidRDefault="002C5650" w:rsidP="002C5650">
            <w:pPr>
              <w:pStyle w:val="BodyText"/>
              <w:tabs>
                <w:tab w:val="left" w:pos="0"/>
              </w:tabs>
              <w:spacing w:after="240"/>
              <w:jc w:val="both"/>
              <w:rPr>
                <w:lang w:val="en-US"/>
              </w:rPr>
            </w:pPr>
            <w:r w:rsidRPr="00AD6653">
              <w:rPr>
                <w:lang w:val="en-US"/>
              </w:rPr>
              <w:t>Cu referire la Tabelul nr. 1 din Anexa nr. 1 și Tabelul nr. 1 din Anexa nr. 2 la proiectul Hotărîrii Guvernului, care stabilesc valorile de referință armonizate ale eficienței pentru producerea separată de en</w:t>
            </w:r>
            <w:r w:rsidR="00997118" w:rsidRPr="00AD6653">
              <w:rPr>
                <w:lang w:val="en-US"/>
              </w:rPr>
              <w:t>e</w:t>
            </w:r>
            <w:r w:rsidRPr="00AD6653">
              <w:rPr>
                <w:lang w:val="en-US"/>
              </w:rPr>
              <w:t>rgie termică și electrică, constatăm că acestea nu includ toate tipurile de combustibil utilizat de unitățile de cogenerare, stabilite la Anexa I și Anexa II la Decizia 2011/877/UE, precum combustibil solid – lignit/brichete din lignit, turbă/brichete de turbă, deșeuri (municipale) biodegradabile, deșeuri (municipale și industriale) neregenerabile, șisturi bituminoase; combustibil lichid – GPL, deșeuri biodegradabile, deșeuri neregenerabile; combustibil gazos – gaz de rafinărie/hidrogen, gaz de cocs, gaz de furnal, alte gaze reziduale, căldură reziduală recuperată.</w:t>
            </w:r>
          </w:p>
          <w:p w:rsidR="002C5650" w:rsidRDefault="002C5650" w:rsidP="002C5650">
            <w:pPr>
              <w:pStyle w:val="BodyText"/>
              <w:tabs>
                <w:tab w:val="left" w:pos="0"/>
              </w:tabs>
              <w:spacing w:after="240"/>
              <w:jc w:val="both"/>
              <w:rPr>
                <w:i/>
                <w:lang w:val="en-US"/>
              </w:rPr>
            </w:pPr>
            <w:r w:rsidRPr="00AD6653">
              <w:rPr>
                <w:lang w:val="en-US"/>
              </w:rPr>
              <w:t xml:space="preserve">Astfel, chiar dacă potrivit explicațiilor din Tabelul de concordanță ce motivează netranspunerea prin faptul neutilizării acestor tipuri de combustibil pe teritoriul Republicii Moldova, atenționăm că actele normative reglementează deopotrivă și raporturile juridice de viitor, respectiv nu este exclusă utilizarea acestor tipuri de combustibili la unități de cogenerare într-un viitor mai puțin sau mai îndepărtat. În contextul celor expuse, recomandăm completarea Tabelului nr. 1 din Anexa nr. 1 și 2 la proiectul Hotărîrii Guvernului cu substanțele menționate </w:t>
            </w:r>
            <w:r w:rsidRPr="00AD6653">
              <w:rPr>
                <w:i/>
                <w:lang w:val="en-US"/>
              </w:rPr>
              <w:t>supra.</w:t>
            </w:r>
          </w:p>
          <w:p w:rsidR="008F33FA" w:rsidRPr="00AD6653" w:rsidRDefault="008F33FA" w:rsidP="002C5650">
            <w:pPr>
              <w:pStyle w:val="BodyText"/>
              <w:tabs>
                <w:tab w:val="left" w:pos="0"/>
              </w:tabs>
              <w:spacing w:after="240"/>
              <w:jc w:val="both"/>
              <w:rPr>
                <w:lang w:val="en-US"/>
              </w:rPr>
            </w:pPr>
          </w:p>
          <w:p w:rsidR="002C5650" w:rsidRPr="00AD6653" w:rsidRDefault="002C5650" w:rsidP="002C5650">
            <w:pPr>
              <w:pStyle w:val="BodyText"/>
              <w:tabs>
                <w:tab w:val="left" w:pos="0"/>
              </w:tabs>
              <w:ind w:firstLine="426"/>
              <w:jc w:val="both"/>
              <w:rPr>
                <w:i/>
                <w:lang w:val="en-US"/>
              </w:rPr>
            </w:pPr>
            <w:r w:rsidRPr="00AD6653">
              <w:rPr>
                <w:i/>
                <w:lang w:val="en-US"/>
              </w:rPr>
              <w:t>Stabilirea valorilor de referință armonizate ale eficienței pentru producerea separată de en</w:t>
            </w:r>
            <w:r w:rsidR="00015FD4" w:rsidRPr="00AD6653">
              <w:rPr>
                <w:i/>
                <w:lang w:val="en-US"/>
              </w:rPr>
              <w:t>e</w:t>
            </w:r>
            <w:r w:rsidRPr="00AD6653">
              <w:rPr>
                <w:i/>
                <w:lang w:val="en-US"/>
              </w:rPr>
              <w:t xml:space="preserve">rgie electrică </w:t>
            </w:r>
          </w:p>
          <w:p w:rsidR="002C5650" w:rsidRPr="00AD6653" w:rsidRDefault="002C5650" w:rsidP="002C5650">
            <w:pPr>
              <w:pStyle w:val="BodyText"/>
              <w:tabs>
                <w:tab w:val="left" w:pos="0"/>
              </w:tabs>
              <w:spacing w:after="240"/>
              <w:jc w:val="both"/>
              <w:rPr>
                <w:lang w:val="en-US"/>
              </w:rPr>
            </w:pPr>
            <w:r w:rsidRPr="00AD6653">
              <w:rPr>
                <w:lang w:val="en-US"/>
              </w:rPr>
              <w:t xml:space="preserve">Cu referire la pct. 3 din Anexa nr. 1 la proiectul Hotărîrii Guvernului, care stabilește valorile de referință armonizate ale randamentului pentru unitățile de cogenerare care au mai mult de 10 ani de la data construcției, constatăm că acesta a </w:t>
            </w:r>
            <w:proofErr w:type="gramStart"/>
            <w:r w:rsidRPr="00AD6653">
              <w:rPr>
                <w:lang w:val="en-US"/>
              </w:rPr>
              <w:t>transpus  eronat</w:t>
            </w:r>
            <w:proofErr w:type="gramEnd"/>
            <w:r w:rsidRPr="00AD6653">
              <w:rPr>
                <w:lang w:val="en-US"/>
              </w:rPr>
              <w:t xml:space="preserve"> prevederile art. 2, alin. (2) </w:t>
            </w:r>
            <w:proofErr w:type="gramStart"/>
            <w:r w:rsidRPr="00AD6653">
              <w:rPr>
                <w:lang w:val="en-US"/>
              </w:rPr>
              <w:t>din</w:t>
            </w:r>
            <w:proofErr w:type="gramEnd"/>
            <w:r w:rsidRPr="00AD6653">
              <w:rPr>
                <w:lang w:val="en-US"/>
              </w:rPr>
              <w:t xml:space="preserve"> actul UE. Astfel, în conformitate cu dispozițiile Deciziei 2011/877/UE, pentru unitățile de cogenerare care au mai mult de 10 ani de la data construcției se aplică valorile de referință armonizate ale randamentului, valabile pentru unitățile de cogenerare care au 10 ani și aceste valori se aplică timp de un an, ulterior urmînd a fi operate modificări ale actului UE, or conform proiectului național, pentru unitățile de </w:t>
            </w:r>
            <w:r w:rsidRPr="00AD6653">
              <w:rPr>
                <w:lang w:val="en-US"/>
              </w:rPr>
              <w:lastRenderedPageBreak/>
              <w:t>cogenerare care au mai mult de 10 ani de la data construcției, pentru fiecare an ce urmează, se aplică valorile valabile pentru unitățile de cogenerare care au 10 ani.</w:t>
            </w:r>
          </w:p>
          <w:p w:rsidR="002C5650" w:rsidRPr="00AD6653" w:rsidRDefault="002C5650" w:rsidP="00404E38">
            <w:pPr>
              <w:pStyle w:val="BodyText"/>
              <w:tabs>
                <w:tab w:val="left" w:pos="0"/>
              </w:tabs>
              <w:spacing w:after="240"/>
              <w:jc w:val="both"/>
              <w:rPr>
                <w:i/>
                <w:lang w:val="en-US"/>
              </w:rPr>
            </w:pPr>
            <w:r w:rsidRPr="00AD6653">
              <w:rPr>
                <w:lang w:val="en-US"/>
              </w:rPr>
              <w:t>În acest context, este necesară transpunerea conformă a dispozițiilor art. 2, alin. (2) din Decizia 2011/877/UE, astfel încît pentru unitățile de cogenerare începînd cu al unsprezecelea an de la construcție, să se aplice valorile de referință armonizate ale randamentului aplicabile pentru unitățile de 10 ani, timp de un an, ulterior urmînd a fi operate modificări în actul normativ, cu revizuirea valorilor de referință.</w:t>
            </w:r>
          </w:p>
          <w:p w:rsidR="002C5650" w:rsidRPr="00AD6653" w:rsidRDefault="002C5650" w:rsidP="002C5650">
            <w:pPr>
              <w:pStyle w:val="BodyText"/>
              <w:tabs>
                <w:tab w:val="left" w:pos="0"/>
              </w:tabs>
              <w:ind w:firstLine="426"/>
              <w:jc w:val="both"/>
              <w:rPr>
                <w:i/>
                <w:lang w:val="en-US"/>
              </w:rPr>
            </w:pPr>
            <w:r w:rsidRPr="00AD6653">
              <w:rPr>
                <w:i/>
                <w:lang w:val="en-US"/>
              </w:rPr>
              <w:t>Factorii de corecție referitori la situația climatică medie</w:t>
            </w:r>
          </w:p>
          <w:p w:rsidR="002C5650" w:rsidRPr="00AD6653" w:rsidRDefault="002C5650" w:rsidP="002C5650">
            <w:pPr>
              <w:pStyle w:val="BodyText"/>
              <w:tabs>
                <w:tab w:val="left" w:pos="0"/>
              </w:tabs>
              <w:spacing w:after="240"/>
              <w:jc w:val="both"/>
              <w:rPr>
                <w:lang w:val="en-US"/>
              </w:rPr>
            </w:pPr>
            <w:r w:rsidRPr="00AD6653">
              <w:rPr>
                <w:lang w:val="en-US"/>
              </w:rPr>
              <w:t>Cu referire la pct. 7 din Anexa nr. 1 a proiectului Hotărîrii Guvernului, care stabilește metoda de corecție a valorilor de referință armonizate ale eficienței pentru producerea separată de energie electrică, constatăm că acesta a preluat doar exemplul de calcul din Anexa III, pct. (a) din Decizia 2011/877/UE, dar nu și formula propriu-zisă de corecție referitor la situația climatică medie (pierderea și creșterea de randament).</w:t>
            </w:r>
          </w:p>
          <w:p w:rsidR="002C5650" w:rsidRPr="00AD6653" w:rsidRDefault="002C5650" w:rsidP="002C5650">
            <w:pPr>
              <w:pStyle w:val="BodyText"/>
              <w:tabs>
                <w:tab w:val="left" w:pos="0"/>
              </w:tabs>
              <w:jc w:val="both"/>
              <w:rPr>
                <w:lang w:val="en-US"/>
              </w:rPr>
            </w:pPr>
            <w:r w:rsidRPr="00AD6653">
              <w:rPr>
                <w:lang w:val="en-US"/>
              </w:rPr>
              <w:t>În acest context, este necesară transpunerea formulei de calcul a factorilor de corecție din Anexa III, pct. (a), al doilea aliniat din Decizia 2011/877/UE.</w:t>
            </w:r>
          </w:p>
          <w:p w:rsidR="002C5650" w:rsidRPr="00AD6653" w:rsidRDefault="002C5650" w:rsidP="002C5650">
            <w:pPr>
              <w:pStyle w:val="BodyText"/>
              <w:tabs>
                <w:tab w:val="left" w:pos="0"/>
              </w:tabs>
              <w:ind w:firstLine="426"/>
              <w:rPr>
                <w:i/>
                <w:lang w:val="en-US"/>
              </w:rPr>
            </w:pPr>
            <w:r w:rsidRPr="00AD6653">
              <w:rPr>
                <w:i/>
                <w:lang w:val="en-US"/>
              </w:rPr>
              <w:t>Clauza de armonizare</w:t>
            </w:r>
          </w:p>
          <w:p w:rsidR="00174804" w:rsidRPr="002B515F" w:rsidRDefault="002C5650" w:rsidP="002C5650">
            <w:pPr>
              <w:pStyle w:val="BodyText"/>
              <w:tabs>
                <w:tab w:val="left" w:pos="0"/>
              </w:tabs>
              <w:spacing w:after="240"/>
              <w:jc w:val="both"/>
              <w:rPr>
                <w:b/>
                <w:lang w:val="en-US"/>
              </w:rPr>
            </w:pPr>
            <w:r w:rsidRPr="00AD6653">
              <w:rPr>
                <w:lang w:val="en-US"/>
              </w:rPr>
              <w:t xml:space="preserve">Pentru a corespunde cerințelor pct. 16 din Regulamentul privind mecanismul de armonizare a legislaţiei Republicii Moldova, aprobat prin Hotărîrea Guvernului nr. 1345 din 24 noiembrie 2006, clauza de armonizare se va insera după partea introductivă a proiectului Hotărîrii Guvernului (nu a Anexelor la Hotărîrea Guvernului), în următoarea redacție: „Prezenta Hotărîre transpune Decizia de punere în aplicare a Comisiei din 19 decembrie 2011 de stabilire a valorilor de referință armonizate ale randamentului pentru producția separată de energie electrică și căldură, în aplicarea Directivei 2004/8/CE a Parlamentului European și a Consiliului și de abrogare a Deciziei 2007/74/CE a Comisiei (notificată cu numărul </w:t>
            </w:r>
            <w:r w:rsidRPr="00AD6653">
              <w:rPr>
                <w:i/>
                <w:lang w:val="en-US"/>
              </w:rPr>
              <w:t>C(2011) 9523)</w:t>
            </w:r>
            <w:r w:rsidRPr="00AD6653">
              <w:rPr>
                <w:lang w:val="en-US"/>
              </w:rPr>
              <w:t xml:space="preserve"> (2011/877/UE)”.</w:t>
            </w:r>
          </w:p>
        </w:tc>
        <w:tc>
          <w:tcPr>
            <w:tcW w:w="4217" w:type="dxa"/>
          </w:tcPr>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174804" w:rsidRDefault="00015FD4" w:rsidP="00015FD4">
            <w:pPr>
              <w:rPr>
                <w:color w:val="000000"/>
                <w:lang w:val="ro-RO"/>
              </w:rPr>
            </w:pPr>
            <w:r w:rsidRPr="002B515F">
              <w:rPr>
                <w:color w:val="000000"/>
                <w:lang w:val="ro-RO"/>
              </w:rPr>
              <w:t xml:space="preserve">Se acceptă. </w:t>
            </w: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r w:rsidRPr="002B515F">
              <w:rPr>
                <w:color w:val="000000"/>
                <w:lang w:val="ro-RO"/>
              </w:rPr>
              <w:t xml:space="preserve">Se acceptă. </w:t>
            </w: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r w:rsidRPr="002B515F">
              <w:rPr>
                <w:color w:val="000000"/>
                <w:lang w:val="ro-RO"/>
              </w:rPr>
              <w:lastRenderedPageBreak/>
              <w:t xml:space="preserve">Se acceptă. </w:t>
            </w: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A84F2B" w:rsidRDefault="00A84F2B" w:rsidP="00015FD4">
            <w:pPr>
              <w:rPr>
                <w:color w:val="000000"/>
                <w:lang w:val="ro-RO"/>
              </w:rPr>
            </w:pPr>
          </w:p>
          <w:p w:rsidR="00AD6653" w:rsidRDefault="00AD6653" w:rsidP="00015FD4">
            <w:pPr>
              <w:rPr>
                <w:color w:val="000000"/>
                <w:lang w:val="ro-RO"/>
              </w:rPr>
            </w:pPr>
          </w:p>
          <w:p w:rsidR="00015FD4" w:rsidRDefault="00015FD4" w:rsidP="00015FD4">
            <w:pPr>
              <w:rPr>
                <w:color w:val="000000"/>
                <w:lang w:val="ro-RO"/>
              </w:rPr>
            </w:pPr>
            <w:r w:rsidRPr="002B515F">
              <w:rPr>
                <w:color w:val="000000"/>
                <w:lang w:val="ro-RO"/>
              </w:rPr>
              <w:t>Se acceptă.</w:t>
            </w: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r w:rsidRPr="002B515F">
              <w:rPr>
                <w:color w:val="000000"/>
                <w:lang w:val="ro-RO"/>
              </w:rPr>
              <w:t>Se acceptă.</w:t>
            </w:r>
          </w:p>
          <w:p w:rsidR="00015FD4" w:rsidRDefault="00015FD4" w:rsidP="00015FD4">
            <w:pPr>
              <w:rPr>
                <w:color w:val="000000"/>
                <w:lang w:val="ro-RO"/>
              </w:rPr>
            </w:pPr>
          </w:p>
          <w:p w:rsidR="00015FD4" w:rsidRDefault="00015FD4" w:rsidP="00015FD4">
            <w:pPr>
              <w:rPr>
                <w:color w:val="000000"/>
                <w:lang w:val="ro-RO"/>
              </w:rPr>
            </w:pPr>
          </w:p>
          <w:p w:rsidR="00A84F2B" w:rsidRDefault="00A84F2B"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483F74" w:rsidRDefault="00483F74" w:rsidP="00483F74">
            <w:pPr>
              <w:rPr>
                <w:color w:val="000000"/>
                <w:lang w:val="ro-RO"/>
              </w:rPr>
            </w:pPr>
            <w:r w:rsidRPr="002B515F">
              <w:rPr>
                <w:color w:val="000000"/>
                <w:lang w:val="ro-RO"/>
              </w:rPr>
              <w:t>Se acceptă.</w:t>
            </w: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r w:rsidRPr="002B515F">
              <w:rPr>
                <w:color w:val="000000"/>
                <w:lang w:val="ro-RO"/>
              </w:rPr>
              <w:t>Se acceptă.</w:t>
            </w: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r w:rsidRPr="002B515F">
              <w:rPr>
                <w:color w:val="000000"/>
                <w:lang w:val="ro-RO"/>
              </w:rPr>
              <w:t>Se acceptă.</w:t>
            </w: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015FD4" w:rsidRDefault="00015FD4" w:rsidP="00015FD4">
            <w:pPr>
              <w:rPr>
                <w:color w:val="000000"/>
                <w:lang w:val="ro-RO"/>
              </w:rPr>
            </w:pPr>
          </w:p>
          <w:p w:rsidR="00BE1174" w:rsidRDefault="00BE1174" w:rsidP="00015FD4">
            <w:pPr>
              <w:rPr>
                <w:color w:val="000000"/>
                <w:lang w:val="ro-RO"/>
              </w:rPr>
            </w:pPr>
          </w:p>
          <w:p w:rsidR="00BE1174" w:rsidRDefault="00BE1174" w:rsidP="00015FD4">
            <w:pPr>
              <w:rPr>
                <w:color w:val="000000"/>
                <w:lang w:val="ro-RO"/>
              </w:rPr>
            </w:pPr>
          </w:p>
          <w:p w:rsidR="00BE1174" w:rsidRDefault="00BE1174" w:rsidP="00015FD4">
            <w:pPr>
              <w:rPr>
                <w:color w:val="000000"/>
                <w:lang w:val="ro-RO"/>
              </w:rPr>
            </w:pPr>
          </w:p>
          <w:p w:rsidR="00BE1174" w:rsidRDefault="00BE1174" w:rsidP="00015FD4">
            <w:pPr>
              <w:rPr>
                <w:color w:val="000000"/>
                <w:lang w:val="ro-RO"/>
              </w:rPr>
            </w:pPr>
          </w:p>
          <w:p w:rsidR="00BE1174" w:rsidRDefault="00BE1174" w:rsidP="00015FD4">
            <w:pPr>
              <w:rPr>
                <w:color w:val="000000"/>
                <w:lang w:val="ro-RO"/>
              </w:rPr>
            </w:pPr>
          </w:p>
          <w:p w:rsidR="00BE1174" w:rsidRDefault="00BE1174" w:rsidP="00015FD4">
            <w:pPr>
              <w:rPr>
                <w:color w:val="000000"/>
                <w:lang w:val="ro-RO"/>
              </w:rPr>
            </w:pPr>
          </w:p>
          <w:p w:rsidR="00AD6653" w:rsidRDefault="00AD6653" w:rsidP="00015FD4">
            <w:pPr>
              <w:rPr>
                <w:color w:val="000000"/>
                <w:lang w:val="ro-RO"/>
              </w:rPr>
            </w:pPr>
          </w:p>
          <w:p w:rsidR="008F33FA" w:rsidRDefault="008F33FA" w:rsidP="00015FD4">
            <w:pPr>
              <w:rPr>
                <w:color w:val="000000"/>
                <w:lang w:val="ro-RO"/>
              </w:rPr>
            </w:pPr>
          </w:p>
          <w:p w:rsidR="00015FD4" w:rsidRDefault="00015FD4" w:rsidP="00015FD4">
            <w:pPr>
              <w:rPr>
                <w:color w:val="000000"/>
                <w:lang w:val="ro-RO"/>
              </w:rPr>
            </w:pPr>
            <w:r w:rsidRPr="002B515F">
              <w:rPr>
                <w:color w:val="000000"/>
                <w:lang w:val="ro-RO"/>
              </w:rPr>
              <w:t>Se acceptă</w:t>
            </w:r>
            <w:r>
              <w:rPr>
                <w:color w:val="000000"/>
                <w:lang w:val="ro-RO"/>
              </w:rPr>
              <w:t xml:space="preserve"> parţial.</w:t>
            </w:r>
            <w:r w:rsidR="00A07A1E">
              <w:rPr>
                <w:color w:val="000000"/>
                <w:lang w:val="ro-RO"/>
              </w:rPr>
              <w:t xml:space="preserve"> În conformitate cu </w:t>
            </w:r>
            <w:r w:rsidR="00EB793E">
              <w:rPr>
                <w:color w:val="000000"/>
                <w:lang w:val="ro-RO"/>
              </w:rPr>
              <w:t xml:space="preserve">prevederile </w:t>
            </w:r>
            <w:r w:rsidR="00A07A1E" w:rsidRPr="00AD6653">
              <w:rPr>
                <w:lang w:val="en-US"/>
              </w:rPr>
              <w:t>Directiv</w:t>
            </w:r>
            <w:r w:rsidR="00EB793E">
              <w:rPr>
                <w:lang w:val="en-US"/>
              </w:rPr>
              <w:t>ei</w:t>
            </w:r>
            <w:r w:rsidR="00A07A1E" w:rsidRPr="00AD6653">
              <w:rPr>
                <w:lang w:val="en-US"/>
              </w:rPr>
              <w:t xml:space="preserve"> 2012/27/UE</w:t>
            </w:r>
            <w:r w:rsidR="00A07A1E">
              <w:rPr>
                <w:lang w:val="en-US"/>
              </w:rPr>
              <w:t xml:space="preserve"> și Directivei </w:t>
            </w:r>
            <w:r w:rsidR="00A07A1E" w:rsidRPr="00AD6653">
              <w:rPr>
                <w:lang w:val="en-US"/>
              </w:rPr>
              <w:t>2004/8/CE</w:t>
            </w:r>
            <w:r w:rsidR="00EB793E">
              <w:rPr>
                <w:lang w:val="en-US"/>
              </w:rPr>
              <w:t>, Comisia din patru în patru ani revizuiește valorile de referință, respectiv în caz de necesitate va fi posibil de adăugat tipurile de combustibili care la moment lipsesc.</w:t>
            </w:r>
          </w:p>
          <w:p w:rsidR="00BE1174" w:rsidRDefault="00BE1174" w:rsidP="00015FD4">
            <w:pPr>
              <w:rPr>
                <w:color w:val="000000"/>
                <w:lang w:val="ro-RO"/>
              </w:rPr>
            </w:pPr>
          </w:p>
          <w:p w:rsidR="00BE1174" w:rsidRDefault="00BE1174" w:rsidP="00015FD4">
            <w:pPr>
              <w:rPr>
                <w:color w:val="000000"/>
                <w:lang w:val="ro-RO"/>
              </w:rPr>
            </w:pPr>
          </w:p>
          <w:p w:rsidR="00BE1174" w:rsidRDefault="00BE1174" w:rsidP="00015FD4">
            <w:pPr>
              <w:rPr>
                <w:color w:val="000000"/>
                <w:lang w:val="ro-RO"/>
              </w:rPr>
            </w:pPr>
          </w:p>
          <w:p w:rsidR="00BE1174" w:rsidRDefault="00BE1174" w:rsidP="00015FD4">
            <w:pPr>
              <w:rPr>
                <w:color w:val="000000"/>
                <w:lang w:val="ro-RO"/>
              </w:rPr>
            </w:pPr>
          </w:p>
          <w:p w:rsidR="00BE1174" w:rsidRDefault="00BE1174" w:rsidP="00015FD4">
            <w:pPr>
              <w:rPr>
                <w:color w:val="000000"/>
                <w:lang w:val="ro-RO"/>
              </w:rPr>
            </w:pPr>
          </w:p>
          <w:p w:rsidR="00BE1174" w:rsidRDefault="00BE1174" w:rsidP="00015FD4">
            <w:pPr>
              <w:rPr>
                <w:color w:val="000000"/>
                <w:lang w:val="ro-RO"/>
              </w:rPr>
            </w:pPr>
          </w:p>
          <w:p w:rsidR="00BE1174" w:rsidRDefault="00BE1174" w:rsidP="00015FD4">
            <w:pPr>
              <w:rPr>
                <w:color w:val="000000"/>
                <w:lang w:val="ro-RO"/>
              </w:rPr>
            </w:pPr>
          </w:p>
          <w:p w:rsidR="00BE1174" w:rsidRDefault="00BE1174" w:rsidP="00015FD4">
            <w:pPr>
              <w:rPr>
                <w:color w:val="000000"/>
                <w:lang w:val="ro-RO"/>
              </w:rPr>
            </w:pPr>
          </w:p>
          <w:p w:rsidR="00BE1174" w:rsidRDefault="00BE1174" w:rsidP="00015FD4">
            <w:pPr>
              <w:rPr>
                <w:color w:val="000000"/>
                <w:lang w:val="ro-RO"/>
              </w:rPr>
            </w:pPr>
          </w:p>
          <w:p w:rsidR="00BE1174" w:rsidRDefault="00BE1174" w:rsidP="00015FD4">
            <w:pPr>
              <w:rPr>
                <w:color w:val="000000"/>
                <w:lang w:val="ro-RO"/>
              </w:rPr>
            </w:pPr>
          </w:p>
          <w:p w:rsidR="00DE20FA" w:rsidRDefault="00DE20FA" w:rsidP="00015FD4">
            <w:pPr>
              <w:rPr>
                <w:color w:val="000000"/>
                <w:lang w:val="ro-RO"/>
              </w:rPr>
            </w:pPr>
          </w:p>
          <w:p w:rsidR="00DE20FA" w:rsidRDefault="00DE20FA" w:rsidP="00015FD4">
            <w:pPr>
              <w:rPr>
                <w:color w:val="000000"/>
                <w:lang w:val="ro-RO"/>
              </w:rPr>
            </w:pPr>
          </w:p>
          <w:p w:rsidR="00DE20FA" w:rsidRDefault="00DE20FA" w:rsidP="00015FD4">
            <w:pPr>
              <w:rPr>
                <w:color w:val="000000"/>
                <w:lang w:val="ro-RO"/>
              </w:rPr>
            </w:pPr>
          </w:p>
          <w:p w:rsidR="00DE20FA" w:rsidRDefault="00DE20FA" w:rsidP="00015FD4">
            <w:pPr>
              <w:rPr>
                <w:color w:val="000000"/>
                <w:lang w:val="ro-RO"/>
              </w:rPr>
            </w:pPr>
          </w:p>
          <w:p w:rsidR="00A84F2B" w:rsidRDefault="00A84F2B" w:rsidP="00A84F2B">
            <w:pPr>
              <w:rPr>
                <w:color w:val="000000"/>
                <w:lang w:val="ro-RO"/>
              </w:rPr>
            </w:pPr>
            <w:r w:rsidRPr="002B515F">
              <w:rPr>
                <w:color w:val="000000"/>
                <w:lang w:val="ro-RO"/>
              </w:rPr>
              <w:t>Se acceptă.</w:t>
            </w:r>
            <w:r>
              <w:rPr>
                <w:lang w:val="ro-RO"/>
              </w:rPr>
              <w:t xml:space="preserve"> Textul a fost redactat.</w:t>
            </w:r>
          </w:p>
          <w:p w:rsidR="00A84F2B" w:rsidRDefault="00A84F2B" w:rsidP="00A84F2B">
            <w:pPr>
              <w:rPr>
                <w:color w:val="000000"/>
                <w:lang w:val="ro-RO"/>
              </w:rPr>
            </w:pPr>
          </w:p>
          <w:p w:rsidR="00DE20FA" w:rsidRDefault="00DE20FA" w:rsidP="00015FD4">
            <w:pPr>
              <w:rPr>
                <w:color w:val="000000"/>
                <w:lang w:val="ro-RO"/>
              </w:rPr>
            </w:pPr>
          </w:p>
          <w:p w:rsidR="00DE20FA" w:rsidRDefault="00DE20FA" w:rsidP="00015FD4">
            <w:pPr>
              <w:rPr>
                <w:color w:val="000000"/>
                <w:lang w:val="ro-RO"/>
              </w:rPr>
            </w:pPr>
          </w:p>
          <w:p w:rsidR="00DE20FA" w:rsidRDefault="00DE20FA" w:rsidP="00015FD4">
            <w:pPr>
              <w:rPr>
                <w:color w:val="000000"/>
                <w:lang w:val="ro-RO"/>
              </w:rPr>
            </w:pPr>
          </w:p>
          <w:p w:rsidR="00DE20FA" w:rsidRDefault="00DE20FA" w:rsidP="00015FD4">
            <w:pPr>
              <w:rPr>
                <w:color w:val="000000"/>
                <w:lang w:val="ro-RO"/>
              </w:rPr>
            </w:pPr>
          </w:p>
          <w:p w:rsidR="00DE20FA" w:rsidRDefault="00DE20FA" w:rsidP="00015FD4">
            <w:pPr>
              <w:rPr>
                <w:color w:val="000000"/>
                <w:lang w:val="ro-RO"/>
              </w:rPr>
            </w:pPr>
          </w:p>
          <w:p w:rsidR="00DE20FA" w:rsidRDefault="00DE20FA" w:rsidP="00015FD4">
            <w:pPr>
              <w:rPr>
                <w:color w:val="000000"/>
                <w:lang w:val="ro-RO"/>
              </w:rPr>
            </w:pPr>
          </w:p>
          <w:p w:rsidR="00DE20FA" w:rsidRDefault="00DE20FA" w:rsidP="00015FD4">
            <w:pPr>
              <w:rPr>
                <w:color w:val="000000"/>
                <w:lang w:val="ro-RO"/>
              </w:rPr>
            </w:pPr>
          </w:p>
          <w:p w:rsidR="00DE20FA" w:rsidRDefault="00DE20FA" w:rsidP="00015FD4">
            <w:pPr>
              <w:rPr>
                <w:color w:val="000000"/>
                <w:lang w:val="ro-RO"/>
              </w:rPr>
            </w:pPr>
          </w:p>
          <w:p w:rsidR="00DE20FA" w:rsidRDefault="00DE20FA" w:rsidP="00015FD4">
            <w:pPr>
              <w:rPr>
                <w:color w:val="000000"/>
                <w:lang w:val="ro-RO"/>
              </w:rPr>
            </w:pPr>
          </w:p>
          <w:p w:rsidR="00DE20FA" w:rsidRDefault="00DE20FA" w:rsidP="00015FD4">
            <w:pPr>
              <w:rPr>
                <w:color w:val="000000"/>
                <w:lang w:val="ro-RO"/>
              </w:rPr>
            </w:pPr>
          </w:p>
          <w:p w:rsidR="00D4581C" w:rsidRDefault="00D4581C" w:rsidP="00015FD4">
            <w:pPr>
              <w:rPr>
                <w:color w:val="000000"/>
                <w:lang w:val="ro-RO"/>
              </w:rPr>
            </w:pPr>
          </w:p>
          <w:p w:rsidR="00DE20FA" w:rsidRDefault="00D4581C" w:rsidP="00015FD4">
            <w:pPr>
              <w:rPr>
                <w:color w:val="000000"/>
                <w:lang w:val="ro-RO"/>
              </w:rPr>
            </w:pPr>
            <w:r w:rsidRPr="002B515F">
              <w:rPr>
                <w:color w:val="000000"/>
                <w:lang w:val="ro-RO"/>
              </w:rPr>
              <w:t>Se acceptă.</w:t>
            </w:r>
            <w:r>
              <w:rPr>
                <w:lang w:val="ro-RO"/>
              </w:rPr>
              <w:t xml:space="preserve"> Textul a fost redactat.</w:t>
            </w:r>
          </w:p>
          <w:p w:rsidR="00DE20FA" w:rsidRDefault="00DE20FA" w:rsidP="00015FD4">
            <w:pPr>
              <w:rPr>
                <w:color w:val="000000"/>
                <w:lang w:val="ro-RO"/>
              </w:rPr>
            </w:pPr>
          </w:p>
          <w:p w:rsidR="00DE20FA" w:rsidRDefault="00DE20FA" w:rsidP="00015FD4">
            <w:pPr>
              <w:rPr>
                <w:color w:val="000000"/>
                <w:lang w:val="ro-RO"/>
              </w:rPr>
            </w:pPr>
          </w:p>
          <w:p w:rsidR="00DE20FA" w:rsidRDefault="00DE20FA" w:rsidP="00015FD4">
            <w:pPr>
              <w:rPr>
                <w:color w:val="000000"/>
                <w:lang w:val="ro-RO"/>
              </w:rPr>
            </w:pPr>
          </w:p>
          <w:p w:rsidR="00DE20FA" w:rsidRDefault="00DE20FA" w:rsidP="00015FD4">
            <w:pPr>
              <w:rPr>
                <w:color w:val="000000"/>
                <w:lang w:val="ro-RO"/>
              </w:rPr>
            </w:pPr>
            <w:r w:rsidRPr="002B515F">
              <w:rPr>
                <w:lang w:val="ro-RO"/>
              </w:rPr>
              <w:t>Se acceptă.</w:t>
            </w:r>
            <w:r>
              <w:rPr>
                <w:lang w:val="ro-RO"/>
              </w:rPr>
              <w:t xml:space="preserve"> Textul a fost redactat.</w:t>
            </w:r>
          </w:p>
          <w:p w:rsidR="00BE1174" w:rsidRPr="002B515F" w:rsidRDefault="00BE1174" w:rsidP="00015FD4">
            <w:pPr>
              <w:rPr>
                <w:color w:val="000000"/>
                <w:lang w:val="ro-RO"/>
              </w:rPr>
            </w:pPr>
          </w:p>
        </w:tc>
      </w:tr>
      <w:tr w:rsidR="00174804" w:rsidRPr="00580AAA" w:rsidTr="00151B52">
        <w:trPr>
          <w:trHeight w:val="669"/>
        </w:trPr>
        <w:tc>
          <w:tcPr>
            <w:tcW w:w="15120" w:type="dxa"/>
            <w:gridSpan w:val="3"/>
            <w:vAlign w:val="center"/>
          </w:tcPr>
          <w:p w:rsidR="00174804" w:rsidRPr="002B515F" w:rsidRDefault="002C5650" w:rsidP="002C5650">
            <w:pPr>
              <w:jc w:val="center"/>
              <w:rPr>
                <w:b/>
                <w:color w:val="000000"/>
                <w:sz w:val="28"/>
                <w:szCs w:val="28"/>
                <w:lang w:val="ro-RO"/>
              </w:rPr>
            </w:pPr>
            <w:r w:rsidRPr="002B515F">
              <w:rPr>
                <w:b/>
                <w:color w:val="000000"/>
                <w:sz w:val="28"/>
                <w:szCs w:val="28"/>
                <w:lang w:val="ro-RO"/>
              </w:rPr>
              <w:lastRenderedPageBreak/>
              <w:t>Ministerul Dezvoltării Regionale şi Construcţiilor</w:t>
            </w:r>
            <w:r w:rsidR="00174804" w:rsidRPr="002B515F">
              <w:rPr>
                <w:b/>
                <w:sz w:val="28"/>
                <w:szCs w:val="28"/>
                <w:lang w:val="ro-RO"/>
              </w:rPr>
              <w:t xml:space="preserve"> a prezentat avizul prin scrisoarea nr.</w:t>
            </w:r>
            <w:r w:rsidRPr="002B515F">
              <w:rPr>
                <w:b/>
                <w:sz w:val="28"/>
                <w:szCs w:val="28"/>
                <w:lang w:val="ro-RO"/>
              </w:rPr>
              <w:t xml:space="preserve"> 03/2-2154 din 29</w:t>
            </w:r>
            <w:r w:rsidR="00174804" w:rsidRPr="002B515F">
              <w:rPr>
                <w:b/>
                <w:sz w:val="28"/>
                <w:szCs w:val="28"/>
                <w:lang w:val="ro-RO"/>
              </w:rPr>
              <w:t xml:space="preserve"> </w:t>
            </w:r>
            <w:r w:rsidRPr="002B515F">
              <w:rPr>
                <w:b/>
                <w:sz w:val="28"/>
                <w:szCs w:val="28"/>
                <w:lang w:val="ro-RO"/>
              </w:rPr>
              <w:t>octo</w:t>
            </w:r>
            <w:r w:rsidR="00174804" w:rsidRPr="002B515F">
              <w:rPr>
                <w:b/>
                <w:sz w:val="28"/>
                <w:szCs w:val="28"/>
                <w:lang w:val="ro-RO"/>
              </w:rPr>
              <w:t>mbrie 201</w:t>
            </w:r>
            <w:r w:rsidRPr="002B515F">
              <w:rPr>
                <w:b/>
                <w:sz w:val="28"/>
                <w:szCs w:val="28"/>
                <w:lang w:val="ro-RO"/>
              </w:rPr>
              <w:t>5</w:t>
            </w:r>
          </w:p>
        </w:tc>
      </w:tr>
      <w:tr w:rsidR="00174804" w:rsidRPr="002B515F" w:rsidTr="00151B52">
        <w:tc>
          <w:tcPr>
            <w:tcW w:w="840" w:type="dxa"/>
          </w:tcPr>
          <w:p w:rsidR="00174804" w:rsidRPr="002B515F" w:rsidRDefault="002C5650" w:rsidP="00151B52">
            <w:pPr>
              <w:jc w:val="center"/>
              <w:rPr>
                <w:color w:val="000000"/>
                <w:lang w:val="ro-RO"/>
              </w:rPr>
            </w:pPr>
            <w:r w:rsidRPr="002B515F">
              <w:rPr>
                <w:color w:val="000000"/>
                <w:lang w:val="ro-RO"/>
              </w:rPr>
              <w:t>1.</w:t>
            </w:r>
          </w:p>
        </w:tc>
        <w:tc>
          <w:tcPr>
            <w:tcW w:w="10063" w:type="dxa"/>
            <w:vAlign w:val="center"/>
          </w:tcPr>
          <w:p w:rsidR="00174804" w:rsidRPr="002B515F" w:rsidRDefault="002C5650" w:rsidP="002C5650">
            <w:pPr>
              <w:pStyle w:val="Default"/>
              <w:spacing w:line="276" w:lineRule="auto"/>
              <w:jc w:val="both"/>
              <w:rPr>
                <w:bCs/>
                <w:lang w:val="en-US"/>
              </w:rPr>
            </w:pPr>
            <w:r w:rsidRPr="002B515F">
              <w:rPr>
                <w:lang w:val="ro-RO"/>
              </w:rPr>
              <w:t xml:space="preserve">Ministerul Dezvoltării Regionale şi Construcţiilor a examinat proiectul Hotărîrii Guvernului </w:t>
            </w:r>
            <w:r w:rsidRPr="002B515F">
              <w:rPr>
                <w:lang w:val="en-US"/>
              </w:rPr>
              <w:t>pentru aprobarea valorilor de referinţă armonizate ale eficienţei pentru producerea separată de energie electrică și termică şi comunică lipsa de obiecţii şi propuneri.</w:t>
            </w:r>
          </w:p>
        </w:tc>
        <w:tc>
          <w:tcPr>
            <w:tcW w:w="4217" w:type="dxa"/>
            <w:vAlign w:val="center"/>
          </w:tcPr>
          <w:p w:rsidR="00174804" w:rsidRPr="002B515F" w:rsidRDefault="002C5650" w:rsidP="002C5650">
            <w:pPr>
              <w:rPr>
                <w:b/>
                <w:color w:val="000000"/>
                <w:lang w:val="ro-RO"/>
              </w:rPr>
            </w:pPr>
            <w:r w:rsidRPr="002B515F">
              <w:rPr>
                <w:lang w:val="ro-RO"/>
              </w:rPr>
              <w:t>Se acceptă.</w:t>
            </w:r>
          </w:p>
        </w:tc>
      </w:tr>
      <w:tr w:rsidR="00174804" w:rsidRPr="00580AAA" w:rsidTr="00151B52">
        <w:trPr>
          <w:trHeight w:val="607"/>
        </w:trPr>
        <w:tc>
          <w:tcPr>
            <w:tcW w:w="15120" w:type="dxa"/>
            <w:gridSpan w:val="3"/>
            <w:vAlign w:val="center"/>
          </w:tcPr>
          <w:p w:rsidR="00174804" w:rsidRPr="002B515F" w:rsidRDefault="00174804" w:rsidP="00151B52">
            <w:pPr>
              <w:jc w:val="center"/>
              <w:rPr>
                <w:b/>
                <w:sz w:val="28"/>
                <w:szCs w:val="28"/>
                <w:lang w:val="ro-RO"/>
              </w:rPr>
            </w:pPr>
            <w:r w:rsidRPr="002B515F">
              <w:rPr>
                <w:b/>
                <w:sz w:val="28"/>
                <w:szCs w:val="28"/>
                <w:lang w:val="ro-RO"/>
              </w:rPr>
              <w:lastRenderedPageBreak/>
              <w:t xml:space="preserve">Agenţia Naţională pentru Reglementare în Energetică a Republicii Moldova a prezentat avizul </w:t>
            </w:r>
          </w:p>
          <w:p w:rsidR="00174804" w:rsidRPr="002B515F" w:rsidRDefault="00174804" w:rsidP="00B42C7D">
            <w:pPr>
              <w:jc w:val="center"/>
              <w:rPr>
                <w:b/>
                <w:color w:val="000000"/>
                <w:highlight w:val="yellow"/>
                <w:lang w:val="ro-RO"/>
              </w:rPr>
            </w:pPr>
            <w:r w:rsidRPr="002B515F">
              <w:rPr>
                <w:b/>
                <w:sz w:val="28"/>
                <w:szCs w:val="28"/>
                <w:lang w:val="ro-RO"/>
              </w:rPr>
              <w:t xml:space="preserve">prin scrisoarea nr. </w:t>
            </w:r>
            <w:r w:rsidR="00E155FC" w:rsidRPr="002B515F">
              <w:rPr>
                <w:b/>
                <w:sz w:val="28"/>
                <w:szCs w:val="28"/>
                <w:lang w:val="ro-RO"/>
              </w:rPr>
              <w:t xml:space="preserve">01/900 </w:t>
            </w:r>
            <w:r w:rsidRPr="002B515F">
              <w:rPr>
                <w:b/>
                <w:sz w:val="28"/>
                <w:szCs w:val="28"/>
                <w:lang w:val="ro-RO"/>
              </w:rPr>
              <w:t xml:space="preserve">din </w:t>
            </w:r>
            <w:r w:rsidR="00E155FC" w:rsidRPr="002B515F">
              <w:rPr>
                <w:b/>
                <w:sz w:val="28"/>
                <w:szCs w:val="28"/>
                <w:lang w:val="ro-RO"/>
              </w:rPr>
              <w:t>10</w:t>
            </w:r>
            <w:r w:rsidRPr="002B515F">
              <w:rPr>
                <w:b/>
                <w:sz w:val="28"/>
                <w:szCs w:val="28"/>
                <w:lang w:val="ro-RO"/>
              </w:rPr>
              <w:t xml:space="preserve"> noiembrie 201</w:t>
            </w:r>
            <w:r w:rsidR="00B42C7D" w:rsidRPr="002B515F">
              <w:rPr>
                <w:b/>
                <w:sz w:val="28"/>
                <w:szCs w:val="28"/>
                <w:lang w:val="ro-RO"/>
              </w:rPr>
              <w:t>5</w:t>
            </w:r>
          </w:p>
        </w:tc>
      </w:tr>
      <w:tr w:rsidR="00174804" w:rsidRPr="00580AAA" w:rsidTr="00151B52">
        <w:trPr>
          <w:trHeight w:val="900"/>
        </w:trPr>
        <w:tc>
          <w:tcPr>
            <w:tcW w:w="840" w:type="dxa"/>
          </w:tcPr>
          <w:p w:rsidR="00174804" w:rsidRPr="002B515F" w:rsidRDefault="00174804" w:rsidP="00151B52">
            <w:pPr>
              <w:jc w:val="center"/>
              <w:rPr>
                <w:lang w:val="ro-RO"/>
              </w:rPr>
            </w:pPr>
            <w:r w:rsidRPr="002B515F">
              <w:rPr>
                <w:lang w:val="ro-RO"/>
              </w:rPr>
              <w:t>1.</w:t>
            </w:r>
          </w:p>
        </w:tc>
        <w:tc>
          <w:tcPr>
            <w:tcW w:w="10063" w:type="dxa"/>
          </w:tcPr>
          <w:p w:rsidR="00E155FC" w:rsidRPr="002B515F" w:rsidRDefault="00E155FC" w:rsidP="00E155FC">
            <w:pPr>
              <w:spacing w:line="257" w:lineRule="auto"/>
              <w:ind w:firstLine="562"/>
              <w:jc w:val="both"/>
              <w:rPr>
                <w:lang w:val="ro-RO"/>
              </w:rPr>
            </w:pPr>
            <w:r w:rsidRPr="002B515F">
              <w:rPr>
                <w:lang w:val="ro-RO"/>
              </w:rPr>
              <w:t xml:space="preserve">Agenţia Naţională pentru Reglementare în Energetică a examinat proiectul Hotărârii Guvernului pentru aprobarea valorilor de referință armonizate ale eficienței pentru producerea separată de energie electrică și termică și comunică următoarele. </w:t>
            </w:r>
          </w:p>
          <w:p w:rsidR="00E155FC" w:rsidRPr="002B515F" w:rsidRDefault="00E155FC" w:rsidP="00E155FC">
            <w:pPr>
              <w:numPr>
                <w:ilvl w:val="0"/>
                <w:numId w:val="1"/>
              </w:numPr>
              <w:tabs>
                <w:tab w:val="left" w:pos="993"/>
              </w:tabs>
              <w:spacing w:line="257" w:lineRule="auto"/>
              <w:ind w:firstLine="562"/>
              <w:contextualSpacing/>
              <w:jc w:val="both"/>
              <w:rPr>
                <w:color w:val="697483"/>
                <w:lang w:val="ro-RO"/>
              </w:rPr>
            </w:pPr>
            <w:r w:rsidRPr="002B515F">
              <w:rPr>
                <w:lang w:val="ro-RO"/>
              </w:rPr>
              <w:t xml:space="preserve">Punctul 3 din Hotărâre de expus în următoarea redacție: “3. </w:t>
            </w:r>
            <w:r w:rsidRPr="002B515F">
              <w:rPr>
                <w:i/>
                <w:lang w:val="ro-RO"/>
              </w:rPr>
              <w:t>Prevederile prezentei hotărâri se aplică de către producătorii de energie electrică şi termică în regim de cogenerare care dispun de centrale electrice de termoficare şi în cazul  proiectelor de construcție a unităților de cogenerare de înaltă eficiență.</w:t>
            </w:r>
            <w:r w:rsidRPr="002B515F">
              <w:rPr>
                <w:lang w:val="ro-RO"/>
              </w:rPr>
              <w:t>”. Este necesar de stabilit că, în viitor, urmează să se construiască doar unități de cogenerare de înaltă eficiență.</w:t>
            </w:r>
          </w:p>
          <w:p w:rsidR="00E155FC" w:rsidRPr="00EB793E" w:rsidRDefault="00E155FC" w:rsidP="00E155FC">
            <w:pPr>
              <w:numPr>
                <w:ilvl w:val="0"/>
                <w:numId w:val="1"/>
              </w:numPr>
              <w:tabs>
                <w:tab w:val="left" w:pos="993"/>
              </w:tabs>
              <w:spacing w:line="257" w:lineRule="auto"/>
              <w:ind w:firstLine="562"/>
              <w:contextualSpacing/>
              <w:jc w:val="both"/>
              <w:rPr>
                <w:color w:val="697483"/>
                <w:lang w:val="ro-RO"/>
              </w:rPr>
            </w:pPr>
            <w:r w:rsidRPr="002B515F">
              <w:rPr>
                <w:lang w:val="ro-RO"/>
              </w:rPr>
              <w:t>La punctul 4 cifra “</w:t>
            </w:r>
            <w:r w:rsidRPr="002B515F">
              <w:rPr>
                <w:i/>
                <w:lang w:val="ro-RO"/>
              </w:rPr>
              <w:t>2016</w:t>
            </w:r>
            <w:r w:rsidRPr="002B515F">
              <w:rPr>
                <w:lang w:val="ro-RO"/>
              </w:rPr>
              <w:t>” de substituit cu cifra “</w:t>
            </w:r>
            <w:r w:rsidRPr="002B515F">
              <w:rPr>
                <w:i/>
                <w:lang w:val="ro-RO"/>
              </w:rPr>
              <w:t>2017</w:t>
            </w:r>
            <w:r w:rsidRPr="002B515F">
              <w:rPr>
                <w:lang w:val="ro-RO"/>
              </w:rPr>
              <w:t>”, deoarece suntem deja aproape de anul  2016 și nu este rezonabil de a revedea valorile eficienței care încă nu au fost utilizate.</w:t>
            </w:r>
          </w:p>
          <w:p w:rsidR="00EB793E" w:rsidRDefault="00EB793E" w:rsidP="00EB793E">
            <w:pPr>
              <w:tabs>
                <w:tab w:val="left" w:pos="993"/>
              </w:tabs>
              <w:spacing w:line="257" w:lineRule="auto"/>
              <w:contextualSpacing/>
              <w:jc w:val="both"/>
              <w:rPr>
                <w:lang w:val="ro-RO"/>
              </w:rPr>
            </w:pPr>
          </w:p>
          <w:p w:rsidR="00EB793E" w:rsidRDefault="00EB793E" w:rsidP="00EB793E">
            <w:pPr>
              <w:tabs>
                <w:tab w:val="left" w:pos="993"/>
              </w:tabs>
              <w:spacing w:line="257" w:lineRule="auto"/>
              <w:contextualSpacing/>
              <w:jc w:val="both"/>
              <w:rPr>
                <w:lang w:val="ro-RO"/>
              </w:rPr>
            </w:pPr>
          </w:p>
          <w:p w:rsidR="00EB793E" w:rsidRDefault="00EB793E" w:rsidP="00EB793E">
            <w:pPr>
              <w:tabs>
                <w:tab w:val="left" w:pos="993"/>
              </w:tabs>
              <w:spacing w:line="257" w:lineRule="auto"/>
              <w:contextualSpacing/>
              <w:jc w:val="both"/>
              <w:rPr>
                <w:color w:val="697483"/>
                <w:lang w:val="ro-RO"/>
              </w:rPr>
            </w:pPr>
          </w:p>
          <w:p w:rsidR="004859B4" w:rsidRDefault="004859B4" w:rsidP="00EB793E">
            <w:pPr>
              <w:tabs>
                <w:tab w:val="left" w:pos="993"/>
              </w:tabs>
              <w:spacing w:line="257" w:lineRule="auto"/>
              <w:contextualSpacing/>
              <w:jc w:val="both"/>
              <w:rPr>
                <w:color w:val="697483"/>
                <w:lang w:val="ro-RO"/>
              </w:rPr>
            </w:pPr>
          </w:p>
          <w:p w:rsidR="004859B4" w:rsidRDefault="004859B4" w:rsidP="00EB793E">
            <w:pPr>
              <w:tabs>
                <w:tab w:val="left" w:pos="993"/>
              </w:tabs>
              <w:spacing w:line="257" w:lineRule="auto"/>
              <w:contextualSpacing/>
              <w:jc w:val="both"/>
              <w:rPr>
                <w:color w:val="697483"/>
                <w:lang w:val="ro-RO"/>
              </w:rPr>
            </w:pPr>
          </w:p>
          <w:p w:rsidR="004859B4" w:rsidRDefault="004859B4" w:rsidP="00EB793E">
            <w:pPr>
              <w:tabs>
                <w:tab w:val="left" w:pos="993"/>
              </w:tabs>
              <w:spacing w:line="257" w:lineRule="auto"/>
              <w:contextualSpacing/>
              <w:jc w:val="both"/>
              <w:rPr>
                <w:color w:val="697483"/>
                <w:lang w:val="ro-RO"/>
              </w:rPr>
            </w:pPr>
          </w:p>
          <w:p w:rsidR="008F33FA" w:rsidRDefault="008F33FA" w:rsidP="00EB793E">
            <w:pPr>
              <w:tabs>
                <w:tab w:val="left" w:pos="993"/>
              </w:tabs>
              <w:spacing w:line="257" w:lineRule="auto"/>
              <w:contextualSpacing/>
              <w:jc w:val="both"/>
              <w:rPr>
                <w:color w:val="697483"/>
                <w:lang w:val="ro-RO"/>
              </w:rPr>
            </w:pPr>
          </w:p>
          <w:p w:rsidR="00580AAA" w:rsidRDefault="00580AAA" w:rsidP="00EB793E">
            <w:pPr>
              <w:tabs>
                <w:tab w:val="left" w:pos="993"/>
              </w:tabs>
              <w:spacing w:line="257" w:lineRule="auto"/>
              <w:contextualSpacing/>
              <w:jc w:val="both"/>
              <w:rPr>
                <w:color w:val="697483"/>
                <w:lang w:val="ro-RO"/>
              </w:rPr>
            </w:pPr>
          </w:p>
          <w:p w:rsidR="00580AAA" w:rsidRPr="002B515F" w:rsidRDefault="00580AAA" w:rsidP="00EB793E">
            <w:pPr>
              <w:tabs>
                <w:tab w:val="left" w:pos="993"/>
              </w:tabs>
              <w:spacing w:line="257" w:lineRule="auto"/>
              <w:contextualSpacing/>
              <w:jc w:val="both"/>
              <w:rPr>
                <w:color w:val="697483"/>
                <w:lang w:val="ro-RO"/>
              </w:rPr>
            </w:pPr>
          </w:p>
          <w:p w:rsidR="00E155FC" w:rsidRPr="008F33FA" w:rsidRDefault="00E155FC" w:rsidP="00E155FC">
            <w:pPr>
              <w:numPr>
                <w:ilvl w:val="0"/>
                <w:numId w:val="1"/>
              </w:numPr>
              <w:tabs>
                <w:tab w:val="left" w:pos="993"/>
              </w:tabs>
              <w:spacing w:line="257" w:lineRule="auto"/>
              <w:ind w:firstLine="562"/>
              <w:contextualSpacing/>
              <w:jc w:val="both"/>
              <w:rPr>
                <w:color w:val="697483"/>
                <w:lang w:val="ro-RO"/>
              </w:rPr>
            </w:pPr>
            <w:r w:rsidRPr="002B515F">
              <w:rPr>
                <w:lang w:val="ro-RO"/>
              </w:rPr>
              <w:t>De exclus punctul 5, deoarece contravine art. 7 din Legea cu privire la energia electrică și respectiv Legea cu privire la gazele naturale.</w:t>
            </w:r>
          </w:p>
          <w:p w:rsidR="008F33FA" w:rsidRPr="002B515F" w:rsidRDefault="008F33FA" w:rsidP="00580AAA">
            <w:pPr>
              <w:tabs>
                <w:tab w:val="left" w:pos="993"/>
              </w:tabs>
              <w:spacing w:line="257" w:lineRule="auto"/>
              <w:ind w:left="562"/>
              <w:contextualSpacing/>
              <w:jc w:val="both"/>
              <w:rPr>
                <w:color w:val="697483"/>
                <w:lang w:val="ro-RO"/>
              </w:rPr>
            </w:pPr>
            <w:bookmarkStart w:id="0" w:name="_GoBack"/>
            <w:bookmarkEnd w:id="0"/>
          </w:p>
          <w:p w:rsidR="00E155FC" w:rsidRPr="004859B4" w:rsidRDefault="00E155FC" w:rsidP="00E155FC">
            <w:pPr>
              <w:numPr>
                <w:ilvl w:val="0"/>
                <w:numId w:val="1"/>
              </w:numPr>
              <w:tabs>
                <w:tab w:val="left" w:pos="993"/>
              </w:tabs>
              <w:spacing w:line="257" w:lineRule="auto"/>
              <w:ind w:firstLine="562"/>
              <w:contextualSpacing/>
              <w:jc w:val="both"/>
              <w:rPr>
                <w:color w:val="697483"/>
                <w:lang w:val="ro-RO"/>
              </w:rPr>
            </w:pPr>
            <w:r w:rsidRPr="002B515F">
              <w:rPr>
                <w:lang w:val="ro-RO"/>
              </w:rPr>
              <w:t>În tabelul nr. 1 din Anexa nr. 1, La punctul 4 cifra  “</w:t>
            </w:r>
            <w:r w:rsidRPr="002B515F">
              <w:rPr>
                <w:i/>
                <w:lang w:val="ro-RO"/>
              </w:rPr>
              <w:t>2015</w:t>
            </w:r>
            <w:r w:rsidRPr="002B515F">
              <w:rPr>
                <w:lang w:val="ro-RO"/>
              </w:rPr>
              <w:t>” de substituit cu cifra “</w:t>
            </w:r>
            <w:r w:rsidRPr="002B515F">
              <w:rPr>
                <w:i/>
                <w:lang w:val="ro-RO"/>
              </w:rPr>
              <w:t>2016</w:t>
            </w:r>
            <w:r w:rsidRPr="002B515F">
              <w:rPr>
                <w:lang w:val="ro-RO"/>
              </w:rPr>
              <w:t>”, deoarece suntem deja aproape de anul  2016 și nu este rezonabil de a stabili valori ale  eficienței care încă nu au fost utilizate.</w:t>
            </w:r>
          </w:p>
          <w:p w:rsidR="004859B4" w:rsidRDefault="004859B4" w:rsidP="004859B4">
            <w:pPr>
              <w:tabs>
                <w:tab w:val="left" w:pos="993"/>
              </w:tabs>
              <w:spacing w:line="257" w:lineRule="auto"/>
              <w:contextualSpacing/>
              <w:jc w:val="both"/>
              <w:rPr>
                <w:lang w:val="ro-RO"/>
              </w:rPr>
            </w:pPr>
          </w:p>
          <w:p w:rsidR="004859B4" w:rsidRDefault="004859B4" w:rsidP="004859B4">
            <w:pPr>
              <w:tabs>
                <w:tab w:val="left" w:pos="993"/>
              </w:tabs>
              <w:spacing w:line="257" w:lineRule="auto"/>
              <w:contextualSpacing/>
              <w:jc w:val="both"/>
              <w:rPr>
                <w:lang w:val="ro-RO"/>
              </w:rPr>
            </w:pPr>
          </w:p>
          <w:p w:rsidR="004859B4" w:rsidRDefault="004859B4" w:rsidP="004859B4">
            <w:pPr>
              <w:tabs>
                <w:tab w:val="left" w:pos="993"/>
              </w:tabs>
              <w:spacing w:line="257" w:lineRule="auto"/>
              <w:contextualSpacing/>
              <w:jc w:val="both"/>
              <w:rPr>
                <w:lang w:val="ro-RO"/>
              </w:rPr>
            </w:pPr>
          </w:p>
          <w:p w:rsidR="004859B4" w:rsidRDefault="004859B4" w:rsidP="004859B4">
            <w:pPr>
              <w:tabs>
                <w:tab w:val="left" w:pos="993"/>
              </w:tabs>
              <w:spacing w:line="257" w:lineRule="auto"/>
              <w:contextualSpacing/>
              <w:jc w:val="both"/>
              <w:rPr>
                <w:lang w:val="ro-RO"/>
              </w:rPr>
            </w:pPr>
          </w:p>
          <w:p w:rsidR="004859B4" w:rsidRDefault="004859B4" w:rsidP="004859B4">
            <w:pPr>
              <w:tabs>
                <w:tab w:val="left" w:pos="993"/>
              </w:tabs>
              <w:spacing w:line="257" w:lineRule="auto"/>
              <w:contextualSpacing/>
              <w:jc w:val="both"/>
              <w:rPr>
                <w:lang w:val="ro-RO"/>
              </w:rPr>
            </w:pPr>
          </w:p>
          <w:p w:rsidR="004859B4" w:rsidRDefault="004859B4" w:rsidP="004859B4">
            <w:pPr>
              <w:tabs>
                <w:tab w:val="left" w:pos="993"/>
              </w:tabs>
              <w:spacing w:line="257" w:lineRule="auto"/>
              <w:contextualSpacing/>
              <w:jc w:val="both"/>
              <w:rPr>
                <w:lang w:val="ro-RO"/>
              </w:rPr>
            </w:pPr>
          </w:p>
          <w:p w:rsidR="004859B4" w:rsidRDefault="004859B4" w:rsidP="004859B4">
            <w:pPr>
              <w:tabs>
                <w:tab w:val="left" w:pos="993"/>
              </w:tabs>
              <w:spacing w:line="257" w:lineRule="auto"/>
              <w:contextualSpacing/>
              <w:jc w:val="both"/>
              <w:rPr>
                <w:color w:val="697483"/>
                <w:lang w:val="ro-RO"/>
              </w:rPr>
            </w:pPr>
          </w:p>
          <w:p w:rsidR="004859B4" w:rsidRPr="002B515F" w:rsidRDefault="004859B4" w:rsidP="004859B4">
            <w:pPr>
              <w:tabs>
                <w:tab w:val="left" w:pos="993"/>
              </w:tabs>
              <w:spacing w:line="257" w:lineRule="auto"/>
              <w:contextualSpacing/>
              <w:jc w:val="both"/>
              <w:rPr>
                <w:color w:val="697483"/>
                <w:lang w:val="ro-RO"/>
              </w:rPr>
            </w:pPr>
          </w:p>
          <w:p w:rsidR="00E155FC" w:rsidRPr="002B515F" w:rsidRDefault="00E155FC" w:rsidP="00E155FC">
            <w:pPr>
              <w:numPr>
                <w:ilvl w:val="0"/>
                <w:numId w:val="1"/>
              </w:numPr>
              <w:tabs>
                <w:tab w:val="left" w:pos="993"/>
              </w:tabs>
              <w:spacing w:line="257" w:lineRule="auto"/>
              <w:ind w:firstLine="562"/>
              <w:contextualSpacing/>
              <w:jc w:val="both"/>
              <w:rPr>
                <w:color w:val="697483"/>
                <w:lang w:val="ro-RO"/>
              </w:rPr>
            </w:pPr>
            <w:r w:rsidRPr="002B515F">
              <w:rPr>
                <w:lang w:val="ro-RO"/>
              </w:rPr>
              <w:t>La nota aferentă tabelului nr. 1 din Anexa nr. 1 și tabelului nr. 2 din Anexa nr. 2 este necesar de revizuit valoa</w:t>
            </w:r>
            <w:r w:rsidR="00E545F2">
              <w:rPr>
                <w:lang w:val="ro-RO"/>
              </w:rPr>
              <w:t>rea temperaturii standard de 15</w:t>
            </w:r>
            <w:r w:rsidRPr="002B515F">
              <w:rPr>
                <w:lang w:val="ro-RO"/>
              </w:rPr>
              <w:t xml:space="preserve">°C, deoarece temperatura standard pentru gazele naturale este de 20 °C.  </w:t>
            </w:r>
          </w:p>
          <w:p w:rsidR="00E155FC" w:rsidRPr="002B515F" w:rsidRDefault="00E155FC" w:rsidP="00E155FC">
            <w:pPr>
              <w:numPr>
                <w:ilvl w:val="0"/>
                <w:numId w:val="1"/>
              </w:numPr>
              <w:tabs>
                <w:tab w:val="left" w:pos="993"/>
              </w:tabs>
              <w:spacing w:line="257" w:lineRule="auto"/>
              <w:ind w:firstLine="562"/>
              <w:contextualSpacing/>
              <w:jc w:val="both"/>
              <w:rPr>
                <w:color w:val="697483"/>
                <w:lang w:val="ro-RO"/>
              </w:rPr>
            </w:pPr>
            <w:r w:rsidRPr="002B515F">
              <w:rPr>
                <w:lang w:val="ro-RO"/>
              </w:rPr>
              <w:t xml:space="preserve">Punctul 5 din Anexa nr. 1 de expus în următoarea redacție: “5. </w:t>
            </w:r>
            <w:r w:rsidRPr="002B515F">
              <w:rPr>
                <w:i/>
                <w:lang w:val="ro-RO"/>
              </w:rPr>
              <w:t>Dacă o unitate de cogenerare existentă este retehnologizată, iar costul de investiţie pentru retehnologizare depăşeşte 50 % din costul de investiţie pentru o unitate de cogenerare de înaltă eficiență nouă, echivalentă, la aplicarea prevederilor punctelor 3 și 4 din prezenta Anexă se va considera ca anul punerii în funcţiune anul în care se finalizează încercările privind  punerea în funcţiune a unităţii de cogenerare după retehnologizare.</w:t>
            </w:r>
            <w:r w:rsidRPr="002B515F">
              <w:rPr>
                <w:lang w:val="ro-RO"/>
              </w:rPr>
              <w:t>”, deoarece este necesar de stabilit că, în viitor, urmează să se construiască doar unități de cogenerare de înaltă eficiență.</w:t>
            </w:r>
          </w:p>
          <w:p w:rsidR="00174804" w:rsidRPr="00AD6653" w:rsidRDefault="00E155FC" w:rsidP="00AD6653">
            <w:pPr>
              <w:numPr>
                <w:ilvl w:val="0"/>
                <w:numId w:val="1"/>
              </w:numPr>
              <w:tabs>
                <w:tab w:val="left" w:pos="993"/>
              </w:tabs>
              <w:spacing w:line="257" w:lineRule="auto"/>
              <w:ind w:firstLine="562"/>
              <w:contextualSpacing/>
              <w:jc w:val="both"/>
              <w:rPr>
                <w:color w:val="697483"/>
                <w:lang w:val="ro-RO"/>
              </w:rPr>
            </w:pPr>
            <w:r w:rsidRPr="002B515F">
              <w:rPr>
                <w:lang w:val="ro-RO"/>
              </w:rPr>
              <w:t>Punctele 8, 9 și 10 din Anexa nr. 1 urmează a fi excluse ca fiind nenecesare. Legea cu privire la energia termică și promovarea cogenerării nu prevede o astfel de adaptare și este necesar de luat în considerare care sunt pierderile reale de energie electrică din rețelele electrice.</w:t>
            </w:r>
          </w:p>
        </w:tc>
        <w:tc>
          <w:tcPr>
            <w:tcW w:w="4217" w:type="dxa"/>
          </w:tcPr>
          <w:p w:rsidR="00174804" w:rsidRDefault="00174804" w:rsidP="00DE20FA">
            <w:pPr>
              <w:rPr>
                <w:lang w:val="ro-RO"/>
              </w:rPr>
            </w:pPr>
          </w:p>
          <w:p w:rsidR="00DE20FA" w:rsidRDefault="00DE20FA" w:rsidP="00DE20FA">
            <w:pPr>
              <w:rPr>
                <w:lang w:val="ro-RO"/>
              </w:rPr>
            </w:pPr>
          </w:p>
          <w:p w:rsidR="00DE20FA" w:rsidRDefault="00DE20FA" w:rsidP="00DE20FA">
            <w:pPr>
              <w:rPr>
                <w:lang w:val="ro-RO"/>
              </w:rPr>
            </w:pPr>
          </w:p>
          <w:p w:rsidR="004859B4" w:rsidRDefault="004859B4" w:rsidP="00DE20FA">
            <w:pPr>
              <w:rPr>
                <w:lang w:val="ro-RO"/>
              </w:rPr>
            </w:pPr>
          </w:p>
          <w:p w:rsidR="00DE20FA" w:rsidRDefault="00DE20FA" w:rsidP="00DE20FA">
            <w:pPr>
              <w:rPr>
                <w:lang w:val="ro-RO"/>
              </w:rPr>
            </w:pPr>
            <w:r w:rsidRPr="002B515F">
              <w:rPr>
                <w:lang w:val="ro-RO"/>
              </w:rPr>
              <w:t>Se acceptă.</w:t>
            </w:r>
            <w:r>
              <w:rPr>
                <w:lang w:val="ro-RO"/>
              </w:rPr>
              <w:t xml:space="preserve"> Textul a fost redactat.</w:t>
            </w:r>
          </w:p>
          <w:p w:rsidR="00DE20FA" w:rsidRDefault="00DE20FA" w:rsidP="00DE20FA">
            <w:pPr>
              <w:rPr>
                <w:lang w:val="ro-RO"/>
              </w:rPr>
            </w:pPr>
          </w:p>
          <w:p w:rsidR="00DE20FA" w:rsidRDefault="00DE20FA" w:rsidP="00DE20FA">
            <w:pPr>
              <w:rPr>
                <w:lang w:val="ro-RO"/>
              </w:rPr>
            </w:pPr>
          </w:p>
          <w:p w:rsidR="00580AAA" w:rsidRDefault="00580AAA" w:rsidP="00DE20FA">
            <w:pPr>
              <w:rPr>
                <w:lang w:val="ro-RO"/>
              </w:rPr>
            </w:pPr>
          </w:p>
          <w:p w:rsidR="00DE20FA" w:rsidRPr="00AD6653" w:rsidRDefault="00DE20FA" w:rsidP="004859B4">
            <w:pPr>
              <w:jc w:val="both"/>
              <w:rPr>
                <w:b/>
                <w:lang w:val="ro-RO"/>
              </w:rPr>
            </w:pPr>
            <w:r w:rsidRPr="004859B4">
              <w:rPr>
                <w:lang w:val="ro-RO"/>
              </w:rPr>
              <w:t>Nu se acceptă.</w:t>
            </w:r>
            <w:r w:rsidR="00EB793E" w:rsidRPr="004859B4">
              <w:rPr>
                <w:lang w:val="ro-RO"/>
              </w:rPr>
              <w:t xml:space="preserve"> În conformitate cu prevederile Deciziei din 19 decembrie 2011 sunt disponibile valorile de referință numai pînă în anul 2015.</w:t>
            </w:r>
            <w:r w:rsidR="004859B4" w:rsidRPr="004859B4">
              <w:rPr>
                <w:lang w:val="ro-RO"/>
              </w:rPr>
              <w:t xml:space="preserve"> Odată </w:t>
            </w:r>
            <w:r w:rsidR="004859B4" w:rsidRPr="00AD6653">
              <w:rPr>
                <w:lang w:val="en-US"/>
              </w:rPr>
              <w:t>cu aprobarea și intrarea în vigoare a actului UE Regulamentul delegat al Comi</w:t>
            </w:r>
            <w:r w:rsidR="004859B4">
              <w:rPr>
                <w:lang w:val="en-US"/>
              </w:rPr>
              <w:t>si</w:t>
            </w:r>
            <w:r w:rsidR="004859B4" w:rsidRPr="00AD6653">
              <w:rPr>
                <w:lang w:val="en-US"/>
              </w:rPr>
              <w:t>ei de revizuire a valorilor de referință armonizate ale randamentului pentru producția separată de energie electrică și termică</w:t>
            </w:r>
            <w:r w:rsidR="004859B4">
              <w:rPr>
                <w:lang w:val="en-US"/>
              </w:rPr>
              <w:t xml:space="preserve"> HG în cauză va fi modificată.</w:t>
            </w:r>
          </w:p>
          <w:p w:rsidR="00DE20FA" w:rsidRDefault="00DE20FA" w:rsidP="00DE20FA">
            <w:pPr>
              <w:rPr>
                <w:lang w:val="ro-RO"/>
              </w:rPr>
            </w:pPr>
          </w:p>
          <w:p w:rsidR="00DE20FA" w:rsidRDefault="00DE20FA" w:rsidP="00DE20FA">
            <w:pPr>
              <w:rPr>
                <w:lang w:val="ro-RO"/>
              </w:rPr>
            </w:pPr>
            <w:r w:rsidRPr="002B515F">
              <w:rPr>
                <w:lang w:val="ro-RO"/>
              </w:rPr>
              <w:t>Se acceptă.</w:t>
            </w:r>
            <w:r>
              <w:rPr>
                <w:lang w:val="ro-RO"/>
              </w:rPr>
              <w:t xml:space="preserve"> Textul a fost redactat.</w:t>
            </w:r>
          </w:p>
          <w:p w:rsidR="00DE20FA" w:rsidRDefault="00DE20FA" w:rsidP="00DE20FA">
            <w:pPr>
              <w:rPr>
                <w:lang w:val="ro-RO"/>
              </w:rPr>
            </w:pPr>
          </w:p>
          <w:p w:rsidR="00580AAA" w:rsidRDefault="00580AAA" w:rsidP="00DE20FA">
            <w:pPr>
              <w:rPr>
                <w:lang w:val="ro-RO"/>
              </w:rPr>
            </w:pPr>
          </w:p>
          <w:p w:rsidR="00580AAA" w:rsidRDefault="00580AAA" w:rsidP="00DE20FA">
            <w:pPr>
              <w:rPr>
                <w:lang w:val="ro-RO"/>
              </w:rPr>
            </w:pPr>
          </w:p>
          <w:p w:rsidR="004859B4" w:rsidRDefault="004859B4" w:rsidP="004859B4">
            <w:pPr>
              <w:jc w:val="both"/>
              <w:rPr>
                <w:b/>
                <w:lang w:val="ro-RO"/>
              </w:rPr>
            </w:pPr>
            <w:r w:rsidRPr="004859B4">
              <w:rPr>
                <w:lang w:val="ro-RO"/>
              </w:rPr>
              <w:t xml:space="preserve">Nu se acceptă. În conformitate cu prevederile Deciziei din 19 decembrie 2011 sunt disponibile valorile de referință numai pînă în anul 2015. Odată </w:t>
            </w:r>
            <w:r w:rsidRPr="00AD6653">
              <w:rPr>
                <w:lang w:val="en-US"/>
              </w:rPr>
              <w:t>cu aprobarea și intrarea în vigoare a actului UE Regulamentul delegat al Comi</w:t>
            </w:r>
            <w:r>
              <w:rPr>
                <w:lang w:val="en-US"/>
              </w:rPr>
              <w:t>si</w:t>
            </w:r>
            <w:r w:rsidRPr="00AD6653">
              <w:rPr>
                <w:lang w:val="en-US"/>
              </w:rPr>
              <w:t xml:space="preserve">ei de revizuire a valorilor de referință armonizate ale randamentului </w:t>
            </w:r>
            <w:r w:rsidRPr="00AD6653">
              <w:rPr>
                <w:lang w:val="en-US"/>
              </w:rPr>
              <w:lastRenderedPageBreak/>
              <w:t>pentru producția separată de energie electrică și termică</w:t>
            </w:r>
            <w:r w:rsidR="008F33FA">
              <w:rPr>
                <w:lang w:val="en-US"/>
              </w:rPr>
              <w:t>,</w:t>
            </w:r>
            <w:r>
              <w:rPr>
                <w:lang w:val="en-US"/>
              </w:rPr>
              <w:t xml:space="preserve"> HG în cauză va fi modificată.</w:t>
            </w:r>
          </w:p>
          <w:p w:rsidR="004859B4" w:rsidRDefault="004859B4" w:rsidP="004859B4">
            <w:pPr>
              <w:jc w:val="both"/>
              <w:rPr>
                <w:b/>
                <w:lang w:val="ro-RO"/>
              </w:rPr>
            </w:pPr>
          </w:p>
          <w:p w:rsidR="00580AAA" w:rsidRPr="004859B4" w:rsidRDefault="00580AAA" w:rsidP="004859B4">
            <w:pPr>
              <w:jc w:val="both"/>
              <w:rPr>
                <w:b/>
                <w:lang w:val="ro-RO"/>
              </w:rPr>
            </w:pPr>
          </w:p>
          <w:p w:rsidR="00DE20FA" w:rsidRDefault="00DE20FA" w:rsidP="00DE20FA">
            <w:pPr>
              <w:rPr>
                <w:lang w:val="ro-RO"/>
              </w:rPr>
            </w:pPr>
            <w:r w:rsidRPr="002B515F">
              <w:rPr>
                <w:lang w:val="ro-RO"/>
              </w:rPr>
              <w:t>Se acceptă</w:t>
            </w:r>
            <w:r>
              <w:rPr>
                <w:lang w:val="ro-RO"/>
              </w:rPr>
              <w:t xml:space="preserve"> parțial</w:t>
            </w:r>
            <w:r w:rsidRPr="002B515F">
              <w:rPr>
                <w:lang w:val="ro-RO"/>
              </w:rPr>
              <w:t>.</w:t>
            </w:r>
            <w:r>
              <w:rPr>
                <w:lang w:val="ro-RO"/>
              </w:rPr>
              <w:t xml:space="preserve"> Textul a fost redactat.</w:t>
            </w:r>
          </w:p>
          <w:p w:rsidR="00DE20FA" w:rsidRDefault="00DE20FA" w:rsidP="00DE20FA">
            <w:pPr>
              <w:rPr>
                <w:lang w:val="ro-RO"/>
              </w:rPr>
            </w:pPr>
          </w:p>
          <w:p w:rsidR="00667CB3" w:rsidRDefault="00667CB3" w:rsidP="00DE20FA">
            <w:pPr>
              <w:rPr>
                <w:lang w:val="ro-RO"/>
              </w:rPr>
            </w:pPr>
          </w:p>
          <w:p w:rsidR="00AD6653" w:rsidRDefault="00AD6653" w:rsidP="00AD6653">
            <w:pPr>
              <w:rPr>
                <w:lang w:val="ro-RO"/>
              </w:rPr>
            </w:pPr>
            <w:r w:rsidRPr="002B515F">
              <w:rPr>
                <w:lang w:val="ro-RO"/>
              </w:rPr>
              <w:t>Se acceptă.</w:t>
            </w:r>
            <w:r>
              <w:rPr>
                <w:lang w:val="ro-RO"/>
              </w:rPr>
              <w:t xml:space="preserve"> Textul a fost redactat.</w:t>
            </w:r>
          </w:p>
          <w:p w:rsidR="00AD6653" w:rsidRDefault="00AD6653" w:rsidP="00AD6653">
            <w:pPr>
              <w:rPr>
                <w:lang w:val="ro-RO"/>
              </w:rPr>
            </w:pPr>
          </w:p>
          <w:p w:rsidR="00DE20FA" w:rsidRDefault="00DE20FA" w:rsidP="00DE20FA">
            <w:pPr>
              <w:rPr>
                <w:lang w:val="ro-RO"/>
              </w:rPr>
            </w:pPr>
          </w:p>
          <w:p w:rsidR="00AD6653" w:rsidRDefault="00AD6653" w:rsidP="00DE20FA">
            <w:pPr>
              <w:rPr>
                <w:lang w:val="ro-RO"/>
              </w:rPr>
            </w:pPr>
          </w:p>
          <w:p w:rsidR="00AD6653" w:rsidRDefault="00AD6653" w:rsidP="00DE20FA">
            <w:pPr>
              <w:rPr>
                <w:lang w:val="ro-RO"/>
              </w:rPr>
            </w:pPr>
          </w:p>
          <w:p w:rsidR="00AD6653" w:rsidRDefault="00AD6653" w:rsidP="00DE20FA">
            <w:pPr>
              <w:rPr>
                <w:lang w:val="ro-RO"/>
              </w:rPr>
            </w:pPr>
          </w:p>
          <w:p w:rsidR="00580AAA" w:rsidRDefault="00580AAA" w:rsidP="00DE20FA">
            <w:pPr>
              <w:rPr>
                <w:lang w:val="ro-RO"/>
              </w:rPr>
            </w:pPr>
          </w:p>
          <w:p w:rsidR="004859B4" w:rsidRPr="002B515F" w:rsidRDefault="004859B4" w:rsidP="00DE20FA">
            <w:pPr>
              <w:rPr>
                <w:lang w:val="ro-RO"/>
              </w:rPr>
            </w:pPr>
            <w:r>
              <w:rPr>
                <w:lang w:val="ro-RO"/>
              </w:rPr>
              <w:t>Nu se acceptă. Va fi luată în considerare propunerea Agenției pentru Eficiență Energetică</w:t>
            </w:r>
          </w:p>
        </w:tc>
      </w:tr>
      <w:tr w:rsidR="00174804" w:rsidRPr="00580AAA" w:rsidTr="00151B52">
        <w:trPr>
          <w:trHeight w:val="520"/>
        </w:trPr>
        <w:tc>
          <w:tcPr>
            <w:tcW w:w="15120" w:type="dxa"/>
            <w:gridSpan w:val="3"/>
            <w:vAlign w:val="center"/>
          </w:tcPr>
          <w:p w:rsidR="00174804" w:rsidRPr="002B515F" w:rsidRDefault="00B42C7D" w:rsidP="00B42C7D">
            <w:pPr>
              <w:jc w:val="center"/>
              <w:rPr>
                <w:b/>
                <w:sz w:val="28"/>
                <w:szCs w:val="28"/>
                <w:lang w:val="ro-RO"/>
              </w:rPr>
            </w:pPr>
            <w:r w:rsidRPr="002B515F">
              <w:rPr>
                <w:b/>
                <w:sz w:val="28"/>
                <w:szCs w:val="28"/>
                <w:lang w:val="ro-RO"/>
              </w:rPr>
              <w:lastRenderedPageBreak/>
              <w:t>Agenţia pentru Eficienţă Energetică</w:t>
            </w:r>
            <w:r w:rsidR="00174804" w:rsidRPr="002B515F">
              <w:rPr>
                <w:b/>
                <w:sz w:val="28"/>
                <w:szCs w:val="28"/>
                <w:lang w:val="ro-RO"/>
              </w:rPr>
              <w:t xml:space="preserve"> a prezentat scrisoarea nr. </w:t>
            </w:r>
            <w:r w:rsidRPr="002B515F">
              <w:rPr>
                <w:b/>
                <w:sz w:val="28"/>
                <w:szCs w:val="28"/>
                <w:lang w:val="ro-RO"/>
              </w:rPr>
              <w:t>29-874/a</w:t>
            </w:r>
            <w:r w:rsidR="00174804" w:rsidRPr="002B515F">
              <w:rPr>
                <w:b/>
                <w:sz w:val="28"/>
                <w:szCs w:val="28"/>
                <w:lang w:val="ro-RO"/>
              </w:rPr>
              <w:t xml:space="preserve"> din </w:t>
            </w:r>
            <w:r w:rsidRPr="002B515F">
              <w:rPr>
                <w:b/>
                <w:sz w:val="28"/>
                <w:szCs w:val="28"/>
                <w:lang w:val="ro-RO"/>
              </w:rPr>
              <w:t>27</w:t>
            </w:r>
            <w:r w:rsidR="00174804" w:rsidRPr="002B515F">
              <w:rPr>
                <w:b/>
                <w:sz w:val="28"/>
                <w:szCs w:val="28"/>
                <w:lang w:val="ro-RO"/>
              </w:rPr>
              <w:t xml:space="preserve"> </w:t>
            </w:r>
            <w:r w:rsidRPr="002B515F">
              <w:rPr>
                <w:b/>
                <w:sz w:val="28"/>
                <w:szCs w:val="28"/>
                <w:lang w:val="ro-RO"/>
              </w:rPr>
              <w:t>octo</w:t>
            </w:r>
            <w:r w:rsidR="00174804" w:rsidRPr="002B515F">
              <w:rPr>
                <w:b/>
                <w:sz w:val="28"/>
                <w:szCs w:val="28"/>
                <w:lang w:val="ro-RO"/>
              </w:rPr>
              <w:t>mbrie 201</w:t>
            </w:r>
            <w:r w:rsidRPr="002B515F">
              <w:rPr>
                <w:b/>
                <w:sz w:val="28"/>
                <w:szCs w:val="28"/>
                <w:lang w:val="ro-RO"/>
              </w:rPr>
              <w:t>5</w:t>
            </w:r>
          </w:p>
        </w:tc>
      </w:tr>
      <w:tr w:rsidR="00174804" w:rsidRPr="00580AAA" w:rsidTr="00151B52">
        <w:trPr>
          <w:trHeight w:val="90"/>
        </w:trPr>
        <w:tc>
          <w:tcPr>
            <w:tcW w:w="840" w:type="dxa"/>
          </w:tcPr>
          <w:p w:rsidR="00174804" w:rsidRPr="002B515F" w:rsidRDefault="00174804" w:rsidP="00151B52">
            <w:pPr>
              <w:jc w:val="center"/>
              <w:rPr>
                <w:lang w:val="ro-RO"/>
              </w:rPr>
            </w:pPr>
            <w:r w:rsidRPr="002B515F">
              <w:rPr>
                <w:lang w:val="ro-RO"/>
              </w:rPr>
              <w:t>1.</w:t>
            </w:r>
          </w:p>
        </w:tc>
        <w:tc>
          <w:tcPr>
            <w:tcW w:w="10063" w:type="dxa"/>
          </w:tcPr>
          <w:p w:rsidR="00174804" w:rsidRPr="002B515F" w:rsidRDefault="00B42C7D" w:rsidP="00151B52">
            <w:pPr>
              <w:jc w:val="both"/>
              <w:rPr>
                <w:rFonts w:eastAsia="Arial Unicode MS"/>
                <w:bCs/>
                <w:lang w:val="ro-RO"/>
              </w:rPr>
            </w:pPr>
            <w:r w:rsidRPr="002B515F">
              <w:rPr>
                <w:lang w:val="ro-RO"/>
              </w:rPr>
              <w:t xml:space="preserve">Agenţia pentru Eficienţă Energetică a examinat proiectul Hotărîrii Guvernului </w:t>
            </w:r>
            <w:r w:rsidRPr="002B515F">
              <w:rPr>
                <w:lang w:val="en-US"/>
              </w:rPr>
              <w:t>pentru aprobarea valorilor de referinţă armonizate ale eficienţei pentru producerea separată de energie electrică și termică şi comunică susţinerea acestuia, cu recomandarea de a indica formula/relaţia ce aplică factorul de corecţie din pct. 8 al anexei nr. 1 din Hotărîrea prenotată.</w:t>
            </w:r>
          </w:p>
        </w:tc>
        <w:tc>
          <w:tcPr>
            <w:tcW w:w="4217" w:type="dxa"/>
          </w:tcPr>
          <w:p w:rsidR="00174804" w:rsidRPr="002B515F" w:rsidRDefault="00174804" w:rsidP="002B515F">
            <w:pPr>
              <w:ind w:right="-108"/>
              <w:rPr>
                <w:color w:val="000000"/>
                <w:lang w:val="ro-RO"/>
              </w:rPr>
            </w:pPr>
            <w:r w:rsidRPr="002B515F">
              <w:rPr>
                <w:color w:val="000000"/>
                <w:lang w:val="ro-RO"/>
              </w:rPr>
              <w:t>Se acceptă. Textul a fost redactat.</w:t>
            </w:r>
          </w:p>
        </w:tc>
      </w:tr>
      <w:tr w:rsidR="00174804" w:rsidRPr="00580AAA" w:rsidTr="00151B52">
        <w:trPr>
          <w:trHeight w:val="521"/>
        </w:trPr>
        <w:tc>
          <w:tcPr>
            <w:tcW w:w="15120" w:type="dxa"/>
            <w:gridSpan w:val="3"/>
            <w:vAlign w:val="center"/>
          </w:tcPr>
          <w:p w:rsidR="00174804" w:rsidRPr="002B515F" w:rsidRDefault="00B42C7D" w:rsidP="00B42C7D">
            <w:pPr>
              <w:jc w:val="center"/>
              <w:rPr>
                <w:b/>
                <w:sz w:val="28"/>
                <w:szCs w:val="28"/>
                <w:lang w:val="ro-RO"/>
              </w:rPr>
            </w:pPr>
            <w:r w:rsidRPr="002B515F">
              <w:rPr>
                <w:b/>
                <w:sz w:val="28"/>
                <w:szCs w:val="28"/>
                <w:lang w:val="ro-RO"/>
              </w:rPr>
              <w:t xml:space="preserve">Institutul </w:t>
            </w:r>
            <w:r w:rsidR="00E27231" w:rsidRPr="002B515F">
              <w:rPr>
                <w:b/>
                <w:sz w:val="28"/>
                <w:szCs w:val="28"/>
                <w:lang w:val="ro-RO"/>
              </w:rPr>
              <w:t xml:space="preserve">de </w:t>
            </w:r>
            <w:r w:rsidRPr="002B515F">
              <w:rPr>
                <w:b/>
                <w:sz w:val="28"/>
                <w:szCs w:val="28"/>
                <w:lang w:val="ro-RO"/>
              </w:rPr>
              <w:t>Energetic</w:t>
            </w:r>
            <w:r w:rsidR="00E27231" w:rsidRPr="002B515F">
              <w:rPr>
                <w:b/>
                <w:sz w:val="28"/>
                <w:szCs w:val="28"/>
                <w:lang w:val="ro-RO"/>
              </w:rPr>
              <w:t>ă</w:t>
            </w:r>
            <w:r w:rsidRPr="002B515F">
              <w:rPr>
                <w:b/>
                <w:sz w:val="28"/>
                <w:szCs w:val="28"/>
                <w:lang w:val="ro-RO"/>
              </w:rPr>
              <w:t xml:space="preserve"> al AŞM </w:t>
            </w:r>
            <w:r w:rsidR="00174804" w:rsidRPr="002B515F">
              <w:rPr>
                <w:b/>
                <w:sz w:val="28"/>
                <w:szCs w:val="28"/>
                <w:lang w:val="ro-RO"/>
              </w:rPr>
              <w:t xml:space="preserve">a prezentat avizul prin scrisoarea nr. </w:t>
            </w:r>
            <w:r w:rsidR="00E279DC" w:rsidRPr="002B515F">
              <w:rPr>
                <w:b/>
                <w:sz w:val="28"/>
                <w:szCs w:val="28"/>
                <w:lang w:val="ro-RO"/>
              </w:rPr>
              <w:t>47/21-144</w:t>
            </w:r>
            <w:r w:rsidRPr="002B515F">
              <w:rPr>
                <w:b/>
                <w:sz w:val="28"/>
                <w:szCs w:val="28"/>
                <w:lang w:val="ro-RO"/>
              </w:rPr>
              <w:t xml:space="preserve"> din </w:t>
            </w:r>
            <w:r w:rsidR="00E279DC" w:rsidRPr="002B515F">
              <w:rPr>
                <w:b/>
                <w:sz w:val="28"/>
                <w:szCs w:val="28"/>
                <w:lang w:val="ro-RO"/>
              </w:rPr>
              <w:t xml:space="preserve">11 </w:t>
            </w:r>
            <w:r w:rsidR="00174804" w:rsidRPr="002B515F">
              <w:rPr>
                <w:b/>
                <w:sz w:val="28"/>
                <w:szCs w:val="28"/>
                <w:lang w:val="ro-RO"/>
              </w:rPr>
              <w:t>noiembrie 201</w:t>
            </w:r>
            <w:r w:rsidRPr="002B515F">
              <w:rPr>
                <w:b/>
                <w:sz w:val="28"/>
                <w:szCs w:val="28"/>
                <w:lang w:val="ro-RO"/>
              </w:rPr>
              <w:t>5</w:t>
            </w:r>
          </w:p>
        </w:tc>
      </w:tr>
      <w:tr w:rsidR="00174804" w:rsidRPr="002B515F" w:rsidTr="00151B52">
        <w:trPr>
          <w:trHeight w:val="384"/>
        </w:trPr>
        <w:tc>
          <w:tcPr>
            <w:tcW w:w="840" w:type="dxa"/>
          </w:tcPr>
          <w:p w:rsidR="00174804" w:rsidRPr="002B515F" w:rsidRDefault="00174804" w:rsidP="00151B52">
            <w:pPr>
              <w:jc w:val="center"/>
              <w:rPr>
                <w:lang w:val="ro-RO"/>
              </w:rPr>
            </w:pPr>
            <w:r w:rsidRPr="002B515F">
              <w:rPr>
                <w:lang w:val="ro-RO"/>
              </w:rPr>
              <w:t>1.</w:t>
            </w:r>
          </w:p>
        </w:tc>
        <w:tc>
          <w:tcPr>
            <w:tcW w:w="10063" w:type="dxa"/>
          </w:tcPr>
          <w:p w:rsidR="00174804" w:rsidRPr="002B515F" w:rsidRDefault="00E279DC" w:rsidP="00E279DC">
            <w:pPr>
              <w:jc w:val="both"/>
              <w:rPr>
                <w:lang w:val="ro-RO"/>
              </w:rPr>
            </w:pPr>
            <w:r w:rsidRPr="002B515F">
              <w:rPr>
                <w:lang w:val="ro-RO"/>
              </w:rPr>
              <w:t>Institutul de Energetică al AŞM comunică, că adoptarea de</w:t>
            </w:r>
            <w:r w:rsidR="009C713F">
              <w:rPr>
                <w:lang w:val="ro-RO"/>
              </w:rPr>
              <w:t xml:space="preserve"> către Guvernul RM a proiectulu</w:t>
            </w:r>
            <w:r w:rsidRPr="002B515F">
              <w:rPr>
                <w:lang w:val="ro-RO"/>
              </w:rPr>
              <w:t xml:space="preserve">i privind </w:t>
            </w:r>
            <w:r w:rsidRPr="002B515F">
              <w:rPr>
                <w:lang w:val="en-US"/>
              </w:rPr>
              <w:t>aprobarea valorilor de referinţă armonizate ale eficienţei pentru producerea separată de energie electrică și termică</w:t>
            </w:r>
            <w:r w:rsidRPr="002B515F">
              <w:rPr>
                <w:lang w:val="ro-RO"/>
              </w:rPr>
              <w:t xml:space="preserve"> va contribui la realizarea măsurilor respective prevăzute în Planul de măsuri privind eficienţa energetică pentru perioada pînă în anul 2020. Dificultăţile posibile privind realizarea acestor valori vor fi evidenţiate în procesul implementării şi corectate atît la sfîrşitul anului 2016, cît şi din patru în patru ani cum este prevăzut în proiectul Hotărîrii Guvernului.</w:t>
            </w:r>
          </w:p>
          <w:p w:rsidR="00E279DC" w:rsidRPr="002B515F" w:rsidRDefault="00E279DC" w:rsidP="00E279DC">
            <w:pPr>
              <w:jc w:val="both"/>
              <w:rPr>
                <w:lang w:val="ro-RO"/>
              </w:rPr>
            </w:pPr>
            <w:r w:rsidRPr="002B515F">
              <w:rPr>
                <w:lang w:val="ro-RO"/>
              </w:rPr>
              <w:t xml:space="preserve">Ce ţine de propuneri şi obiecţii, Institutul de Energetică al AŞM atrage atenţia că, punctele de distribuire a energiei termice sunt amplasate nu nemijlocit alături de consumatorul final, ci în anumite </w:t>
            </w:r>
            <w:r w:rsidRPr="002B515F">
              <w:rPr>
                <w:lang w:val="ro-RO"/>
              </w:rPr>
              <w:lastRenderedPageBreak/>
              <w:t>locuri, fapt ce trebuie luat în consideraţie la calcularea pierderilor.</w:t>
            </w:r>
          </w:p>
        </w:tc>
        <w:tc>
          <w:tcPr>
            <w:tcW w:w="4217" w:type="dxa"/>
          </w:tcPr>
          <w:p w:rsidR="002B515F" w:rsidRPr="002B515F" w:rsidRDefault="002B515F" w:rsidP="002B515F">
            <w:pPr>
              <w:rPr>
                <w:color w:val="000000"/>
                <w:lang w:val="ro-RO"/>
              </w:rPr>
            </w:pPr>
          </w:p>
          <w:p w:rsidR="002B515F" w:rsidRPr="002B515F" w:rsidRDefault="002B515F" w:rsidP="002B515F">
            <w:pPr>
              <w:rPr>
                <w:color w:val="000000"/>
                <w:lang w:val="ro-RO"/>
              </w:rPr>
            </w:pPr>
          </w:p>
          <w:p w:rsidR="00174804" w:rsidRPr="002B515F" w:rsidRDefault="002B515F" w:rsidP="002B515F">
            <w:pPr>
              <w:rPr>
                <w:color w:val="000000"/>
                <w:lang w:val="ro-RO"/>
              </w:rPr>
            </w:pPr>
            <w:r w:rsidRPr="002B515F">
              <w:rPr>
                <w:color w:val="000000"/>
                <w:lang w:val="ro-RO"/>
              </w:rPr>
              <w:t>Se acceptă.</w:t>
            </w:r>
          </w:p>
          <w:p w:rsidR="002B515F" w:rsidRPr="002B515F" w:rsidRDefault="002B515F" w:rsidP="002B515F">
            <w:pPr>
              <w:rPr>
                <w:color w:val="000000"/>
                <w:lang w:val="ro-RO"/>
              </w:rPr>
            </w:pPr>
          </w:p>
          <w:p w:rsidR="002B515F" w:rsidRPr="002B515F" w:rsidRDefault="002B515F" w:rsidP="002B515F">
            <w:pPr>
              <w:rPr>
                <w:color w:val="000000"/>
                <w:lang w:val="ro-RO"/>
              </w:rPr>
            </w:pPr>
          </w:p>
          <w:p w:rsidR="002B515F" w:rsidRPr="002B515F" w:rsidRDefault="002B515F" w:rsidP="002B515F">
            <w:pPr>
              <w:rPr>
                <w:color w:val="000000"/>
                <w:lang w:val="ro-RO"/>
              </w:rPr>
            </w:pPr>
          </w:p>
          <w:p w:rsidR="002B515F" w:rsidRPr="002B515F" w:rsidRDefault="002B515F" w:rsidP="002B515F">
            <w:pPr>
              <w:rPr>
                <w:lang w:val="ro-RO"/>
              </w:rPr>
            </w:pPr>
            <w:r w:rsidRPr="002B515F">
              <w:rPr>
                <w:color w:val="000000"/>
                <w:lang w:val="ro-RO"/>
              </w:rPr>
              <w:t>Se acceptă.</w:t>
            </w:r>
          </w:p>
        </w:tc>
      </w:tr>
      <w:tr w:rsidR="00174804" w:rsidRPr="00580AAA" w:rsidTr="00151B52">
        <w:trPr>
          <w:trHeight w:val="585"/>
        </w:trPr>
        <w:tc>
          <w:tcPr>
            <w:tcW w:w="15120" w:type="dxa"/>
            <w:gridSpan w:val="3"/>
            <w:vAlign w:val="center"/>
          </w:tcPr>
          <w:p w:rsidR="00174804" w:rsidRPr="002B515F" w:rsidRDefault="00B42C7D" w:rsidP="00B42C7D">
            <w:pPr>
              <w:jc w:val="center"/>
              <w:rPr>
                <w:sz w:val="28"/>
                <w:szCs w:val="28"/>
                <w:lang w:val="ro-RO"/>
              </w:rPr>
            </w:pPr>
            <w:r w:rsidRPr="002B515F">
              <w:rPr>
                <w:b/>
                <w:sz w:val="28"/>
                <w:szCs w:val="28"/>
                <w:lang w:val="ro-RO"/>
              </w:rPr>
              <w:lastRenderedPageBreak/>
              <w:t>SA</w:t>
            </w:r>
            <w:r w:rsidR="00174804" w:rsidRPr="002B515F">
              <w:rPr>
                <w:b/>
                <w:sz w:val="28"/>
                <w:szCs w:val="28"/>
                <w:lang w:val="ro-RO"/>
              </w:rPr>
              <w:t xml:space="preserve"> ,,Termo</w:t>
            </w:r>
            <w:r w:rsidRPr="002B515F">
              <w:rPr>
                <w:b/>
                <w:sz w:val="28"/>
                <w:szCs w:val="28"/>
                <w:lang w:val="ro-RO"/>
              </w:rPr>
              <w:t xml:space="preserve">electrica” </w:t>
            </w:r>
            <w:r w:rsidR="00174804" w:rsidRPr="002B515F">
              <w:rPr>
                <w:b/>
                <w:sz w:val="28"/>
                <w:szCs w:val="28"/>
                <w:lang w:val="ro-RO"/>
              </w:rPr>
              <w:t xml:space="preserve">a prezentat avizul prin scrisoarea nr. </w:t>
            </w:r>
            <w:r w:rsidRPr="002B515F">
              <w:rPr>
                <w:b/>
                <w:sz w:val="28"/>
                <w:szCs w:val="28"/>
                <w:lang w:val="ro-RO"/>
              </w:rPr>
              <w:t xml:space="preserve">79/1583 din 2 </w:t>
            </w:r>
            <w:r w:rsidR="00174804" w:rsidRPr="002B515F">
              <w:rPr>
                <w:b/>
                <w:sz w:val="28"/>
                <w:szCs w:val="28"/>
                <w:lang w:val="ro-RO"/>
              </w:rPr>
              <w:t xml:space="preserve">noiembrie </w:t>
            </w:r>
            <w:r w:rsidRPr="002B515F">
              <w:rPr>
                <w:b/>
                <w:sz w:val="28"/>
                <w:szCs w:val="28"/>
                <w:lang w:val="ro-RO"/>
              </w:rPr>
              <w:t>2015</w:t>
            </w:r>
          </w:p>
        </w:tc>
      </w:tr>
      <w:tr w:rsidR="00174804" w:rsidRPr="002B515F" w:rsidTr="00151B52">
        <w:trPr>
          <w:trHeight w:val="105"/>
        </w:trPr>
        <w:tc>
          <w:tcPr>
            <w:tcW w:w="840" w:type="dxa"/>
          </w:tcPr>
          <w:p w:rsidR="00174804" w:rsidRPr="002B515F" w:rsidRDefault="00174804" w:rsidP="00151B52">
            <w:pPr>
              <w:jc w:val="center"/>
              <w:rPr>
                <w:lang w:val="ro-RO"/>
              </w:rPr>
            </w:pPr>
            <w:r w:rsidRPr="002B515F">
              <w:rPr>
                <w:lang w:val="ro-RO"/>
              </w:rPr>
              <w:t>1.</w:t>
            </w:r>
          </w:p>
        </w:tc>
        <w:tc>
          <w:tcPr>
            <w:tcW w:w="10063" w:type="dxa"/>
          </w:tcPr>
          <w:p w:rsidR="00174804" w:rsidRPr="002B515F" w:rsidRDefault="00E27231" w:rsidP="00151B52">
            <w:pPr>
              <w:pStyle w:val="BodyTextIndent"/>
              <w:ind w:left="0" w:right="-2"/>
              <w:jc w:val="both"/>
              <w:rPr>
                <w:rFonts w:ascii="Times New Roman" w:hAnsi="Times New Roman"/>
                <w:sz w:val="24"/>
                <w:szCs w:val="24"/>
                <w:lang w:val="en-US"/>
              </w:rPr>
            </w:pPr>
            <w:r w:rsidRPr="002B515F">
              <w:rPr>
                <w:rFonts w:ascii="Times New Roman" w:hAnsi="Times New Roman"/>
                <w:sz w:val="24"/>
                <w:szCs w:val="24"/>
                <w:lang w:val="ro-RO"/>
              </w:rPr>
              <w:t xml:space="preserve">SA ,,Termoelectrica” a luat act de proiectul Hotărîrii Guvernului </w:t>
            </w:r>
            <w:r w:rsidRPr="002B515F">
              <w:rPr>
                <w:rFonts w:ascii="Times New Roman" w:hAnsi="Times New Roman"/>
                <w:sz w:val="24"/>
                <w:szCs w:val="24"/>
                <w:lang w:val="en-US"/>
              </w:rPr>
              <w:t>pentru aprobarea valorilor de referinţă armonizate ale eficienţei pentru producerea separată de energie electrică și termică.</w:t>
            </w:r>
          </w:p>
          <w:p w:rsidR="00E27231" w:rsidRDefault="00E27231" w:rsidP="00E27231">
            <w:pPr>
              <w:pStyle w:val="BodyTextIndent"/>
              <w:ind w:left="0" w:right="-2"/>
              <w:jc w:val="both"/>
              <w:rPr>
                <w:rFonts w:ascii="Times New Roman" w:hAnsi="Times New Roman"/>
                <w:sz w:val="24"/>
                <w:szCs w:val="24"/>
                <w:lang w:val="ro-RO"/>
              </w:rPr>
            </w:pPr>
            <w:r w:rsidRPr="002B515F">
              <w:rPr>
                <w:rFonts w:ascii="Times New Roman" w:hAnsi="Times New Roman"/>
                <w:sz w:val="24"/>
                <w:szCs w:val="24"/>
                <w:lang w:val="en-US"/>
              </w:rPr>
              <w:t xml:space="preserve">În acest context </w:t>
            </w:r>
            <w:r w:rsidRPr="002B515F">
              <w:rPr>
                <w:rFonts w:ascii="Times New Roman" w:hAnsi="Times New Roman"/>
                <w:sz w:val="24"/>
                <w:szCs w:val="24"/>
                <w:lang w:val="ro-RO"/>
              </w:rPr>
              <w:t>SA ,,Termoelectrica” a analizat matricea valorilor de referinţă şi a studiat riscurile de impact ale reglementării date asupra activităţii întreprinderii, şi constată că reglementarea dată va avea impact în tandem cu Regulamentul Agenţiei Naţionale pentru Reglementare în Energetică cu privire la garanţia de origine a energiei electrice produse. Astfel, angajaţii SA ,,Termoelectrica” vor fi recunoscători pentru implicarea lor în discuţiile proiectului Regulamentului menţionat.</w:t>
            </w:r>
          </w:p>
          <w:p w:rsidR="00AD6653" w:rsidRPr="002B515F" w:rsidRDefault="00AD6653" w:rsidP="00E27231">
            <w:pPr>
              <w:pStyle w:val="BodyTextIndent"/>
              <w:ind w:left="0" w:right="-2"/>
              <w:jc w:val="both"/>
              <w:rPr>
                <w:rFonts w:ascii="Times New Roman" w:hAnsi="Times New Roman"/>
                <w:sz w:val="24"/>
                <w:szCs w:val="24"/>
                <w:lang w:val="ro-RO"/>
              </w:rPr>
            </w:pPr>
          </w:p>
        </w:tc>
        <w:tc>
          <w:tcPr>
            <w:tcW w:w="4217" w:type="dxa"/>
          </w:tcPr>
          <w:p w:rsidR="00E27231" w:rsidRPr="002B515F" w:rsidRDefault="00E27231" w:rsidP="00151B52">
            <w:pPr>
              <w:rPr>
                <w:color w:val="000000"/>
                <w:lang w:val="ro-RO"/>
              </w:rPr>
            </w:pPr>
          </w:p>
          <w:p w:rsidR="00E27231" w:rsidRPr="002B515F" w:rsidRDefault="00E27231" w:rsidP="00151B52">
            <w:pPr>
              <w:rPr>
                <w:color w:val="000000"/>
                <w:lang w:val="ro-RO"/>
              </w:rPr>
            </w:pPr>
          </w:p>
          <w:p w:rsidR="00E27231" w:rsidRPr="002B515F" w:rsidRDefault="00E27231" w:rsidP="00151B52">
            <w:pPr>
              <w:rPr>
                <w:color w:val="000000"/>
                <w:lang w:val="ro-RO"/>
              </w:rPr>
            </w:pPr>
          </w:p>
          <w:p w:rsidR="00E27231" w:rsidRPr="002B515F" w:rsidRDefault="00E27231" w:rsidP="00151B52">
            <w:pPr>
              <w:rPr>
                <w:color w:val="000000"/>
                <w:lang w:val="ro-RO"/>
              </w:rPr>
            </w:pPr>
          </w:p>
          <w:p w:rsidR="00E27231" w:rsidRPr="002B515F" w:rsidRDefault="00E27231" w:rsidP="00151B52">
            <w:pPr>
              <w:rPr>
                <w:color w:val="000000"/>
                <w:lang w:val="ro-RO"/>
              </w:rPr>
            </w:pPr>
          </w:p>
          <w:p w:rsidR="00174804" w:rsidRPr="002B515F" w:rsidRDefault="00E27231" w:rsidP="00151B52">
            <w:pPr>
              <w:rPr>
                <w:color w:val="000000"/>
                <w:lang w:val="ro-RO"/>
              </w:rPr>
            </w:pPr>
            <w:r w:rsidRPr="002B515F">
              <w:rPr>
                <w:color w:val="000000"/>
                <w:lang w:val="ro-RO"/>
              </w:rPr>
              <w:t>Se acceptă.</w:t>
            </w:r>
          </w:p>
        </w:tc>
      </w:tr>
      <w:tr w:rsidR="00174804" w:rsidRPr="00580AAA" w:rsidTr="00151B52">
        <w:trPr>
          <w:trHeight w:val="511"/>
        </w:trPr>
        <w:tc>
          <w:tcPr>
            <w:tcW w:w="15120" w:type="dxa"/>
            <w:gridSpan w:val="3"/>
            <w:vAlign w:val="center"/>
          </w:tcPr>
          <w:p w:rsidR="00174804" w:rsidRPr="002B515F" w:rsidRDefault="00E27231" w:rsidP="00E27231">
            <w:pPr>
              <w:jc w:val="center"/>
              <w:rPr>
                <w:sz w:val="28"/>
                <w:szCs w:val="28"/>
                <w:lang w:val="ro-RO"/>
              </w:rPr>
            </w:pPr>
            <w:r w:rsidRPr="002B515F">
              <w:rPr>
                <w:b/>
                <w:sz w:val="28"/>
                <w:szCs w:val="28"/>
                <w:lang w:val="ro-RO"/>
              </w:rPr>
              <w:t>SA</w:t>
            </w:r>
            <w:r w:rsidR="00174804" w:rsidRPr="002B515F">
              <w:rPr>
                <w:b/>
                <w:sz w:val="28"/>
                <w:szCs w:val="28"/>
                <w:lang w:val="ro-RO"/>
              </w:rPr>
              <w:t xml:space="preserve"> ,,CET-</w:t>
            </w:r>
            <w:r w:rsidRPr="002B515F">
              <w:rPr>
                <w:b/>
                <w:sz w:val="28"/>
                <w:szCs w:val="28"/>
                <w:lang w:val="ro-RO"/>
              </w:rPr>
              <w:t>Nord</w:t>
            </w:r>
            <w:r w:rsidR="00174804" w:rsidRPr="002B515F">
              <w:rPr>
                <w:b/>
                <w:sz w:val="28"/>
                <w:szCs w:val="28"/>
                <w:lang w:val="ro-RO"/>
              </w:rPr>
              <w:t xml:space="preserve">” a prezentat avizul prin scrisoarea nr. </w:t>
            </w:r>
            <w:r w:rsidR="00E155FC" w:rsidRPr="002B515F">
              <w:rPr>
                <w:b/>
                <w:sz w:val="28"/>
                <w:szCs w:val="28"/>
                <w:lang w:val="ro-RO"/>
              </w:rPr>
              <w:t xml:space="preserve">01-9/620 </w:t>
            </w:r>
            <w:r w:rsidR="00174804" w:rsidRPr="002B515F">
              <w:rPr>
                <w:b/>
                <w:sz w:val="28"/>
                <w:szCs w:val="28"/>
                <w:lang w:val="ro-RO"/>
              </w:rPr>
              <w:t xml:space="preserve">din </w:t>
            </w:r>
            <w:r w:rsidR="00E155FC" w:rsidRPr="002B515F">
              <w:rPr>
                <w:b/>
                <w:sz w:val="28"/>
                <w:szCs w:val="28"/>
                <w:lang w:val="ro-RO"/>
              </w:rPr>
              <w:t>11</w:t>
            </w:r>
            <w:r w:rsidR="00174804" w:rsidRPr="002B515F">
              <w:rPr>
                <w:b/>
                <w:sz w:val="28"/>
                <w:szCs w:val="28"/>
                <w:lang w:val="ro-RO"/>
              </w:rPr>
              <w:t xml:space="preserve"> </w:t>
            </w:r>
            <w:r w:rsidRPr="002B515F">
              <w:rPr>
                <w:b/>
                <w:sz w:val="28"/>
                <w:szCs w:val="28"/>
                <w:lang w:val="ro-RO"/>
              </w:rPr>
              <w:t>noie</w:t>
            </w:r>
            <w:r w:rsidR="00174804" w:rsidRPr="002B515F">
              <w:rPr>
                <w:b/>
                <w:sz w:val="28"/>
                <w:szCs w:val="28"/>
                <w:lang w:val="ro-RO"/>
              </w:rPr>
              <w:t>mbrie 201</w:t>
            </w:r>
            <w:r w:rsidRPr="002B515F">
              <w:rPr>
                <w:b/>
                <w:sz w:val="28"/>
                <w:szCs w:val="28"/>
                <w:lang w:val="ro-RO"/>
              </w:rPr>
              <w:t>5</w:t>
            </w:r>
          </w:p>
        </w:tc>
      </w:tr>
      <w:tr w:rsidR="00174804" w:rsidRPr="002B515F" w:rsidTr="00151B52">
        <w:trPr>
          <w:trHeight w:val="105"/>
        </w:trPr>
        <w:tc>
          <w:tcPr>
            <w:tcW w:w="840" w:type="dxa"/>
          </w:tcPr>
          <w:p w:rsidR="00174804" w:rsidRPr="002B515F" w:rsidRDefault="00174804" w:rsidP="00151B52">
            <w:pPr>
              <w:jc w:val="center"/>
              <w:rPr>
                <w:lang w:val="ro-RO"/>
              </w:rPr>
            </w:pPr>
            <w:r w:rsidRPr="002B515F">
              <w:rPr>
                <w:lang w:val="ro-RO"/>
              </w:rPr>
              <w:t>1.</w:t>
            </w:r>
          </w:p>
        </w:tc>
        <w:tc>
          <w:tcPr>
            <w:tcW w:w="10063" w:type="dxa"/>
          </w:tcPr>
          <w:p w:rsidR="00174804" w:rsidRPr="002B515F" w:rsidRDefault="00E155FC" w:rsidP="00E155FC">
            <w:pPr>
              <w:jc w:val="both"/>
              <w:rPr>
                <w:lang w:val="ro-RO"/>
              </w:rPr>
            </w:pPr>
            <w:r w:rsidRPr="002B515F">
              <w:rPr>
                <w:lang w:val="ro-RO"/>
              </w:rPr>
              <w:t xml:space="preserve">SA ,,CET-Nord” a examinat proiectul Hotărîrii Guvernului </w:t>
            </w:r>
            <w:r w:rsidRPr="002B515F">
              <w:rPr>
                <w:lang w:val="en-US"/>
              </w:rPr>
              <w:t>pentru aprobarea valorilor de referinţă armonizate ale eficienţei pentru producerea separată de energie electrică f</w:t>
            </w:r>
            <w:r w:rsidRPr="002B515F">
              <w:rPr>
                <w:lang w:val="ro-RO"/>
              </w:rPr>
              <w:t>ără a avea careva întrebări sau propuneri.</w:t>
            </w:r>
          </w:p>
        </w:tc>
        <w:tc>
          <w:tcPr>
            <w:tcW w:w="4217" w:type="dxa"/>
          </w:tcPr>
          <w:p w:rsidR="00174804" w:rsidRPr="002B515F" w:rsidRDefault="00174804" w:rsidP="00151B52">
            <w:pPr>
              <w:ind w:right="-108"/>
              <w:jc w:val="center"/>
              <w:rPr>
                <w:color w:val="000000"/>
                <w:lang w:val="ro-RO"/>
              </w:rPr>
            </w:pPr>
          </w:p>
          <w:p w:rsidR="00174804" w:rsidRPr="002B515F" w:rsidRDefault="00E155FC" w:rsidP="00151B52">
            <w:pPr>
              <w:rPr>
                <w:lang w:val="ro-RO"/>
              </w:rPr>
            </w:pPr>
            <w:r w:rsidRPr="002B515F">
              <w:rPr>
                <w:color w:val="000000"/>
                <w:lang w:val="ro-RO"/>
              </w:rPr>
              <w:t>Se acceptă.</w:t>
            </w:r>
          </w:p>
        </w:tc>
      </w:tr>
      <w:tr w:rsidR="00174804" w:rsidRPr="00580AAA" w:rsidTr="00151B52">
        <w:trPr>
          <w:trHeight w:val="496"/>
        </w:trPr>
        <w:tc>
          <w:tcPr>
            <w:tcW w:w="15120" w:type="dxa"/>
            <w:gridSpan w:val="3"/>
            <w:vAlign w:val="center"/>
          </w:tcPr>
          <w:p w:rsidR="00174804" w:rsidRPr="002B515F" w:rsidRDefault="00387613" w:rsidP="00387613">
            <w:pPr>
              <w:jc w:val="center"/>
              <w:rPr>
                <w:sz w:val="28"/>
                <w:szCs w:val="28"/>
                <w:lang w:val="ro-RO"/>
              </w:rPr>
            </w:pPr>
            <w:r w:rsidRPr="002B515F">
              <w:rPr>
                <w:b/>
                <w:sz w:val="28"/>
                <w:szCs w:val="28"/>
                <w:lang w:val="ro-RO"/>
              </w:rPr>
              <w:t>SA</w:t>
            </w:r>
            <w:r w:rsidR="00174804" w:rsidRPr="002B515F">
              <w:rPr>
                <w:b/>
                <w:sz w:val="28"/>
                <w:szCs w:val="28"/>
                <w:lang w:val="ro-RO"/>
              </w:rPr>
              <w:t xml:space="preserve"> ,,</w:t>
            </w:r>
            <w:r w:rsidRPr="002B515F">
              <w:rPr>
                <w:b/>
                <w:sz w:val="28"/>
                <w:szCs w:val="28"/>
                <w:lang w:val="ro-RO"/>
              </w:rPr>
              <w:t>Apă-Canal Chişinău</w:t>
            </w:r>
            <w:r w:rsidR="00174804" w:rsidRPr="002B515F">
              <w:rPr>
                <w:b/>
                <w:sz w:val="28"/>
                <w:szCs w:val="28"/>
                <w:lang w:val="ro-RO"/>
              </w:rPr>
              <w:t xml:space="preserve">” a prezentat avizul prin scrisoarea nr. </w:t>
            </w:r>
            <w:r w:rsidR="00E155FC" w:rsidRPr="002B515F">
              <w:rPr>
                <w:b/>
                <w:sz w:val="28"/>
                <w:szCs w:val="28"/>
                <w:lang w:val="ro-RO"/>
              </w:rPr>
              <w:t>01-2449</w:t>
            </w:r>
            <w:r w:rsidRPr="002B515F">
              <w:rPr>
                <w:b/>
                <w:sz w:val="28"/>
                <w:szCs w:val="28"/>
                <w:lang w:val="ro-RO"/>
              </w:rPr>
              <w:t xml:space="preserve"> din</w:t>
            </w:r>
            <w:r w:rsidR="00E155FC" w:rsidRPr="002B515F">
              <w:rPr>
                <w:b/>
                <w:sz w:val="28"/>
                <w:szCs w:val="28"/>
                <w:lang w:val="ro-RO"/>
              </w:rPr>
              <w:t xml:space="preserve"> 12</w:t>
            </w:r>
            <w:r w:rsidRPr="002B515F">
              <w:rPr>
                <w:b/>
                <w:sz w:val="28"/>
                <w:szCs w:val="28"/>
                <w:lang w:val="ro-RO"/>
              </w:rPr>
              <w:t xml:space="preserve"> noiembrie </w:t>
            </w:r>
            <w:r w:rsidR="00174804" w:rsidRPr="002B515F">
              <w:rPr>
                <w:b/>
                <w:sz w:val="28"/>
                <w:szCs w:val="28"/>
                <w:lang w:val="ro-RO"/>
              </w:rPr>
              <w:t>201</w:t>
            </w:r>
            <w:r w:rsidRPr="002B515F">
              <w:rPr>
                <w:b/>
                <w:sz w:val="28"/>
                <w:szCs w:val="28"/>
                <w:lang w:val="ro-RO"/>
              </w:rPr>
              <w:t>5</w:t>
            </w:r>
          </w:p>
        </w:tc>
      </w:tr>
      <w:tr w:rsidR="00174804" w:rsidRPr="002B515F" w:rsidTr="00151B52">
        <w:trPr>
          <w:trHeight w:val="105"/>
        </w:trPr>
        <w:tc>
          <w:tcPr>
            <w:tcW w:w="840" w:type="dxa"/>
          </w:tcPr>
          <w:p w:rsidR="00174804" w:rsidRPr="002B515F" w:rsidRDefault="00174804" w:rsidP="00151B52">
            <w:pPr>
              <w:jc w:val="center"/>
              <w:rPr>
                <w:lang w:val="ro-RO"/>
              </w:rPr>
            </w:pPr>
            <w:r w:rsidRPr="002B515F">
              <w:rPr>
                <w:lang w:val="ro-RO"/>
              </w:rPr>
              <w:t>1.</w:t>
            </w:r>
          </w:p>
        </w:tc>
        <w:tc>
          <w:tcPr>
            <w:tcW w:w="10063" w:type="dxa"/>
          </w:tcPr>
          <w:p w:rsidR="00174804" w:rsidRPr="002B515F" w:rsidRDefault="00E155FC" w:rsidP="00E155FC">
            <w:pPr>
              <w:pStyle w:val="1"/>
              <w:ind w:left="0"/>
              <w:jc w:val="both"/>
              <w:rPr>
                <w:lang w:val="en-US"/>
              </w:rPr>
            </w:pPr>
            <w:r w:rsidRPr="002B515F">
              <w:t xml:space="preserve">SA ,,Apă-Canal Chişinău” a examinat proiectul Hotărîrii Guvernului </w:t>
            </w:r>
            <w:r w:rsidRPr="002B515F">
              <w:rPr>
                <w:lang w:val="en-US"/>
              </w:rPr>
              <w:t>pentru aprobarea valorilor de referinţă armonizate ale eficienţei pentru producerea separată de energie electrică și termică şi comunică următoarele.</w:t>
            </w:r>
          </w:p>
          <w:p w:rsidR="00E155FC" w:rsidRPr="002B515F" w:rsidRDefault="00E155FC" w:rsidP="009C713F">
            <w:pPr>
              <w:pStyle w:val="1"/>
              <w:spacing w:after="0"/>
              <w:ind w:left="0"/>
              <w:jc w:val="both"/>
            </w:pPr>
            <w:r w:rsidRPr="002B515F">
              <w:t>SA ,,Apă-Canal Chişinău” nu deţine date specifice domeniului vizat de proiectul actului normativ propus spre examinare, respectiv, nu poate oferi careva propuneri sau obiecţii concrete pe marginea acestuia. Aspectele reglementărilor prevăzute în proiect ţin de competenţa ANRE şi pot fi examinate în fond de respectiva entitate specializată, care dispune de specialişti experimentaţi în domeniu şi de date statistice reale de pe întreg teritoriul ţării.</w:t>
            </w:r>
          </w:p>
        </w:tc>
        <w:tc>
          <w:tcPr>
            <w:tcW w:w="4217" w:type="dxa"/>
          </w:tcPr>
          <w:p w:rsidR="00E155FC" w:rsidRPr="002B515F" w:rsidRDefault="00E155FC" w:rsidP="00151B52">
            <w:pPr>
              <w:rPr>
                <w:color w:val="000000"/>
                <w:lang w:val="ro-RO"/>
              </w:rPr>
            </w:pPr>
          </w:p>
          <w:p w:rsidR="00E155FC" w:rsidRPr="002B515F" w:rsidRDefault="00E155FC" w:rsidP="00151B52">
            <w:pPr>
              <w:rPr>
                <w:color w:val="000000"/>
                <w:lang w:val="ro-RO"/>
              </w:rPr>
            </w:pPr>
          </w:p>
          <w:p w:rsidR="00E155FC" w:rsidRPr="002B515F" w:rsidRDefault="00E155FC" w:rsidP="00151B52">
            <w:pPr>
              <w:rPr>
                <w:color w:val="000000"/>
                <w:lang w:val="ro-RO"/>
              </w:rPr>
            </w:pPr>
          </w:p>
          <w:p w:rsidR="00E155FC" w:rsidRPr="002B515F" w:rsidRDefault="00E155FC" w:rsidP="00151B52">
            <w:pPr>
              <w:rPr>
                <w:color w:val="000000"/>
                <w:lang w:val="ro-RO"/>
              </w:rPr>
            </w:pPr>
          </w:p>
          <w:p w:rsidR="00174804" w:rsidRPr="002B515F" w:rsidRDefault="00E155FC" w:rsidP="00151B52">
            <w:pPr>
              <w:rPr>
                <w:lang w:val="ro-RO"/>
              </w:rPr>
            </w:pPr>
            <w:r w:rsidRPr="002B515F">
              <w:rPr>
                <w:color w:val="000000"/>
                <w:lang w:val="ro-RO"/>
              </w:rPr>
              <w:t>Se acceptă.</w:t>
            </w:r>
          </w:p>
        </w:tc>
      </w:tr>
    </w:tbl>
    <w:p w:rsidR="00943F8A" w:rsidRPr="00E27231" w:rsidRDefault="00943F8A">
      <w:pPr>
        <w:rPr>
          <w:lang w:val="ro-RO"/>
        </w:rPr>
      </w:pPr>
    </w:p>
    <w:sectPr w:rsidR="00943F8A" w:rsidRPr="00E27231" w:rsidSect="000D2639">
      <w:pgSz w:w="16838" w:h="11906" w:orient="landscape"/>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3638C"/>
    <w:multiLevelType w:val="hybridMultilevel"/>
    <w:tmpl w:val="CF4C1016"/>
    <w:lvl w:ilvl="0" w:tplc="81BEED08">
      <w:start w:val="1"/>
      <w:numFmt w:val="decimal"/>
      <w:lvlText w:val="%1."/>
      <w:lvlJc w:val="left"/>
      <w:pPr>
        <w:ind w:left="927" w:hanging="360"/>
      </w:pPr>
      <w:rPr>
        <w:rFonts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9BB1F95"/>
    <w:multiLevelType w:val="multilevel"/>
    <w:tmpl w:val="9F96A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2D67026"/>
    <w:multiLevelType w:val="hybridMultilevel"/>
    <w:tmpl w:val="68BA31F4"/>
    <w:lvl w:ilvl="0" w:tplc="C96CBEF6">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69047ADE"/>
    <w:multiLevelType w:val="hybridMultilevel"/>
    <w:tmpl w:val="4394E444"/>
    <w:lvl w:ilvl="0" w:tplc="FBA8FB7A">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04"/>
    <w:rsid w:val="00003EB1"/>
    <w:rsid w:val="00004069"/>
    <w:rsid w:val="00015FD4"/>
    <w:rsid w:val="0002531B"/>
    <w:rsid w:val="00035089"/>
    <w:rsid w:val="0004167B"/>
    <w:rsid w:val="00045A33"/>
    <w:rsid w:val="000657CA"/>
    <w:rsid w:val="00066CB9"/>
    <w:rsid w:val="000703AC"/>
    <w:rsid w:val="000715FA"/>
    <w:rsid w:val="00096317"/>
    <w:rsid w:val="000B51E9"/>
    <w:rsid w:val="000D30CA"/>
    <w:rsid w:val="000E7DF3"/>
    <w:rsid w:val="000F3165"/>
    <w:rsid w:val="00125EA8"/>
    <w:rsid w:val="00143803"/>
    <w:rsid w:val="00174804"/>
    <w:rsid w:val="00183721"/>
    <w:rsid w:val="00190641"/>
    <w:rsid w:val="001C5684"/>
    <w:rsid w:val="00201E8F"/>
    <w:rsid w:val="002033D3"/>
    <w:rsid w:val="0020489C"/>
    <w:rsid w:val="0028039F"/>
    <w:rsid w:val="00291780"/>
    <w:rsid w:val="002B515F"/>
    <w:rsid w:val="002C5650"/>
    <w:rsid w:val="002C7A5E"/>
    <w:rsid w:val="002D3EF2"/>
    <w:rsid w:val="002E3374"/>
    <w:rsid w:val="00344F8F"/>
    <w:rsid w:val="003536BA"/>
    <w:rsid w:val="00373199"/>
    <w:rsid w:val="003749DB"/>
    <w:rsid w:val="00387613"/>
    <w:rsid w:val="00392C1D"/>
    <w:rsid w:val="003A46B5"/>
    <w:rsid w:val="003A75CA"/>
    <w:rsid w:val="003B6ADD"/>
    <w:rsid w:val="003D135B"/>
    <w:rsid w:val="003D2101"/>
    <w:rsid w:val="003D211D"/>
    <w:rsid w:val="00404E38"/>
    <w:rsid w:val="00406169"/>
    <w:rsid w:val="00417420"/>
    <w:rsid w:val="00441F42"/>
    <w:rsid w:val="00483F74"/>
    <w:rsid w:val="004859B4"/>
    <w:rsid w:val="00497B71"/>
    <w:rsid w:val="004A3A5E"/>
    <w:rsid w:val="004F17E7"/>
    <w:rsid w:val="005227C2"/>
    <w:rsid w:val="00542122"/>
    <w:rsid w:val="00554AC9"/>
    <w:rsid w:val="00561090"/>
    <w:rsid w:val="00567959"/>
    <w:rsid w:val="0058046A"/>
    <w:rsid w:val="00580AAA"/>
    <w:rsid w:val="005A0FF2"/>
    <w:rsid w:val="005C540A"/>
    <w:rsid w:val="005C5F19"/>
    <w:rsid w:val="005F544F"/>
    <w:rsid w:val="00602D25"/>
    <w:rsid w:val="00603988"/>
    <w:rsid w:val="006214A8"/>
    <w:rsid w:val="00641495"/>
    <w:rsid w:val="00646523"/>
    <w:rsid w:val="00662373"/>
    <w:rsid w:val="00663EA8"/>
    <w:rsid w:val="00667CB3"/>
    <w:rsid w:val="006812C7"/>
    <w:rsid w:val="00693BD3"/>
    <w:rsid w:val="006D1DD3"/>
    <w:rsid w:val="006D3CEF"/>
    <w:rsid w:val="006D494B"/>
    <w:rsid w:val="006F3D9D"/>
    <w:rsid w:val="00705AA9"/>
    <w:rsid w:val="00723333"/>
    <w:rsid w:val="007244E2"/>
    <w:rsid w:val="00736695"/>
    <w:rsid w:val="00750AA9"/>
    <w:rsid w:val="007844BD"/>
    <w:rsid w:val="007865C2"/>
    <w:rsid w:val="007929EA"/>
    <w:rsid w:val="00872384"/>
    <w:rsid w:val="00893565"/>
    <w:rsid w:val="008A2029"/>
    <w:rsid w:val="008A5CAA"/>
    <w:rsid w:val="008B09BA"/>
    <w:rsid w:val="008B3ABA"/>
    <w:rsid w:val="008B790A"/>
    <w:rsid w:val="008C4804"/>
    <w:rsid w:val="008F1851"/>
    <w:rsid w:val="008F33FA"/>
    <w:rsid w:val="008F3D33"/>
    <w:rsid w:val="0092488E"/>
    <w:rsid w:val="00927CF3"/>
    <w:rsid w:val="00943F8A"/>
    <w:rsid w:val="00997118"/>
    <w:rsid w:val="009C713F"/>
    <w:rsid w:val="009D7399"/>
    <w:rsid w:val="009F1000"/>
    <w:rsid w:val="00A07A1E"/>
    <w:rsid w:val="00A113D4"/>
    <w:rsid w:val="00A1793C"/>
    <w:rsid w:val="00A34583"/>
    <w:rsid w:val="00A411F2"/>
    <w:rsid w:val="00A5637A"/>
    <w:rsid w:val="00A609A9"/>
    <w:rsid w:val="00A84F2B"/>
    <w:rsid w:val="00A86013"/>
    <w:rsid w:val="00A970BF"/>
    <w:rsid w:val="00AA717A"/>
    <w:rsid w:val="00AC4C29"/>
    <w:rsid w:val="00AD6653"/>
    <w:rsid w:val="00B03B8E"/>
    <w:rsid w:val="00B060AC"/>
    <w:rsid w:val="00B112AF"/>
    <w:rsid w:val="00B3370A"/>
    <w:rsid w:val="00B42C7D"/>
    <w:rsid w:val="00B666E5"/>
    <w:rsid w:val="00B67D32"/>
    <w:rsid w:val="00B73976"/>
    <w:rsid w:val="00B76353"/>
    <w:rsid w:val="00B82DB7"/>
    <w:rsid w:val="00B92644"/>
    <w:rsid w:val="00B95897"/>
    <w:rsid w:val="00BC001A"/>
    <w:rsid w:val="00BC184A"/>
    <w:rsid w:val="00BD706B"/>
    <w:rsid w:val="00BE1174"/>
    <w:rsid w:val="00BF6AE6"/>
    <w:rsid w:val="00C04907"/>
    <w:rsid w:val="00C11F61"/>
    <w:rsid w:val="00C13113"/>
    <w:rsid w:val="00C30D12"/>
    <w:rsid w:val="00C341C0"/>
    <w:rsid w:val="00C475CF"/>
    <w:rsid w:val="00C935B3"/>
    <w:rsid w:val="00CA5701"/>
    <w:rsid w:val="00D043EB"/>
    <w:rsid w:val="00D047CB"/>
    <w:rsid w:val="00D118E7"/>
    <w:rsid w:val="00D327C7"/>
    <w:rsid w:val="00D4132C"/>
    <w:rsid w:val="00D4581C"/>
    <w:rsid w:val="00D51984"/>
    <w:rsid w:val="00D607B0"/>
    <w:rsid w:val="00D62F7D"/>
    <w:rsid w:val="00D71CE4"/>
    <w:rsid w:val="00D75901"/>
    <w:rsid w:val="00D868F0"/>
    <w:rsid w:val="00D97578"/>
    <w:rsid w:val="00DE20FA"/>
    <w:rsid w:val="00DE658C"/>
    <w:rsid w:val="00DF097A"/>
    <w:rsid w:val="00E031C5"/>
    <w:rsid w:val="00E155FC"/>
    <w:rsid w:val="00E27231"/>
    <w:rsid w:val="00E279DC"/>
    <w:rsid w:val="00E34E6F"/>
    <w:rsid w:val="00E50C7E"/>
    <w:rsid w:val="00E545F2"/>
    <w:rsid w:val="00E65A44"/>
    <w:rsid w:val="00E66FC5"/>
    <w:rsid w:val="00E7281D"/>
    <w:rsid w:val="00E871C8"/>
    <w:rsid w:val="00EA0DAE"/>
    <w:rsid w:val="00EA5604"/>
    <w:rsid w:val="00EB1A13"/>
    <w:rsid w:val="00EB4E87"/>
    <w:rsid w:val="00EB793E"/>
    <w:rsid w:val="00ED7C12"/>
    <w:rsid w:val="00EE48FC"/>
    <w:rsid w:val="00EF334E"/>
    <w:rsid w:val="00F12F80"/>
    <w:rsid w:val="00F41231"/>
    <w:rsid w:val="00F46F8F"/>
    <w:rsid w:val="00F500D0"/>
    <w:rsid w:val="00F654B1"/>
    <w:rsid w:val="00F75DE2"/>
    <w:rsid w:val="00F90DAA"/>
    <w:rsid w:val="00FB41F6"/>
    <w:rsid w:val="00FD1269"/>
    <w:rsid w:val="00FD1D26"/>
    <w:rsid w:val="00FF044E"/>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04"/>
    <w:rPr>
      <w:rFonts w:ascii="Times New Roman" w:eastAsia="Times New Roman" w:hAnsi="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5FA"/>
    <w:pPr>
      <w:ind w:left="720"/>
      <w:contextualSpacing/>
    </w:pPr>
  </w:style>
  <w:style w:type="paragraph" w:styleId="NormalWeb">
    <w:name w:val="Normal (Web)"/>
    <w:basedOn w:val="Normal"/>
    <w:uiPriority w:val="99"/>
    <w:rsid w:val="00174804"/>
    <w:pPr>
      <w:ind w:firstLine="567"/>
      <w:jc w:val="both"/>
    </w:pPr>
  </w:style>
  <w:style w:type="paragraph" w:styleId="BodyTextIndent">
    <w:name w:val="Body Text Indent"/>
    <w:basedOn w:val="Normal"/>
    <w:link w:val="BodyTextIndentChar"/>
    <w:uiPriority w:val="99"/>
    <w:rsid w:val="00174804"/>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rsid w:val="00174804"/>
    <w:rPr>
      <w:sz w:val="22"/>
      <w:szCs w:val="22"/>
    </w:rPr>
  </w:style>
  <w:style w:type="paragraph" w:customStyle="1" w:styleId="1">
    <w:name w:val="Абзац списка1"/>
    <w:basedOn w:val="Normal"/>
    <w:uiPriority w:val="99"/>
    <w:rsid w:val="00174804"/>
    <w:pPr>
      <w:spacing w:after="200" w:line="276" w:lineRule="auto"/>
      <w:ind w:left="720"/>
      <w:contextualSpacing/>
    </w:pPr>
    <w:rPr>
      <w:rFonts w:eastAsia="Calibri"/>
      <w:lang w:val="ro-RO" w:eastAsia="en-US"/>
    </w:rPr>
  </w:style>
  <w:style w:type="character" w:customStyle="1" w:styleId="docheader1">
    <w:name w:val="doc_header1"/>
    <w:basedOn w:val="DefaultParagraphFont"/>
    <w:uiPriority w:val="99"/>
    <w:rsid w:val="00174804"/>
    <w:rPr>
      <w:rFonts w:ascii="Times New Roman" w:hAnsi="Times New Roman" w:cs="Times New Roman"/>
      <w:b/>
      <w:bCs/>
      <w:color w:val="000000"/>
      <w:sz w:val="24"/>
      <w:szCs w:val="24"/>
    </w:rPr>
  </w:style>
  <w:style w:type="character" w:customStyle="1" w:styleId="a">
    <w:name w:val="Основной текст_"/>
    <w:basedOn w:val="DefaultParagraphFont"/>
    <w:link w:val="10"/>
    <w:rsid w:val="00174804"/>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
    <w:rsid w:val="00174804"/>
    <w:rPr>
      <w:rFonts w:ascii="Times New Roman" w:eastAsia="Times New Roman" w:hAnsi="Times New Roman"/>
      <w:b/>
      <w:bCs/>
      <w:spacing w:val="10"/>
      <w:sz w:val="21"/>
      <w:szCs w:val="21"/>
      <w:shd w:val="clear" w:color="auto" w:fill="FFFFFF"/>
    </w:rPr>
  </w:style>
  <w:style w:type="character" w:customStyle="1" w:styleId="a0">
    <w:name w:val="Основной текст + Полужирный"/>
    <w:basedOn w:val="a"/>
    <w:rsid w:val="00174804"/>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
    <w:rsid w:val="00174804"/>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
    <w:rsid w:val="00174804"/>
    <w:rPr>
      <w:rFonts w:ascii="Times New Roman" w:eastAsia="Times New Roman" w:hAnsi="Times New Roman"/>
      <w:b/>
      <w:bCs/>
      <w:sz w:val="23"/>
      <w:szCs w:val="23"/>
      <w:shd w:val="clear" w:color="auto" w:fill="FFFFFF"/>
    </w:rPr>
  </w:style>
  <w:style w:type="paragraph" w:customStyle="1" w:styleId="10">
    <w:name w:val="Основной текст1"/>
    <w:basedOn w:val="Normal"/>
    <w:link w:val="a"/>
    <w:rsid w:val="00174804"/>
    <w:pPr>
      <w:shd w:val="clear" w:color="auto" w:fill="FFFFFF"/>
      <w:spacing w:before="300" w:line="307" w:lineRule="exact"/>
      <w:jc w:val="both"/>
    </w:pPr>
    <w:rPr>
      <w:sz w:val="25"/>
      <w:szCs w:val="25"/>
      <w:lang w:eastAsia="en-US"/>
    </w:rPr>
  </w:style>
  <w:style w:type="character" w:customStyle="1" w:styleId="a1">
    <w:name w:val="Основной текст + Курсив"/>
    <w:basedOn w:val="a"/>
    <w:rsid w:val="00174804"/>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DefaultParagraphFont"/>
    <w:link w:val="60"/>
    <w:rsid w:val="00174804"/>
    <w:rPr>
      <w:rFonts w:ascii="Times New Roman" w:eastAsia="Times New Roman" w:hAnsi="Times New Roman"/>
      <w:sz w:val="27"/>
      <w:szCs w:val="27"/>
      <w:shd w:val="clear" w:color="auto" w:fill="FFFFFF"/>
    </w:rPr>
  </w:style>
  <w:style w:type="character" w:customStyle="1" w:styleId="12">
    <w:name w:val="Заголовок №1 (2)"/>
    <w:basedOn w:val="DefaultParagraphFont"/>
    <w:rsid w:val="00174804"/>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Normal"/>
    <w:link w:val="6"/>
    <w:rsid w:val="00174804"/>
    <w:pPr>
      <w:shd w:val="clear" w:color="auto" w:fill="FFFFFF"/>
      <w:spacing w:line="350" w:lineRule="exact"/>
      <w:jc w:val="both"/>
    </w:pPr>
    <w:rPr>
      <w:sz w:val="27"/>
      <w:szCs w:val="27"/>
      <w:lang w:eastAsia="en-US"/>
    </w:rPr>
  </w:style>
  <w:style w:type="paragraph" w:styleId="BodyText">
    <w:name w:val="Body Text"/>
    <w:basedOn w:val="Normal"/>
    <w:link w:val="BodyTextChar"/>
    <w:uiPriority w:val="99"/>
    <w:unhideWhenUsed/>
    <w:rsid w:val="002C5650"/>
    <w:pPr>
      <w:spacing w:after="120"/>
    </w:pPr>
  </w:style>
  <w:style w:type="character" w:customStyle="1" w:styleId="BodyTextChar">
    <w:name w:val="Body Text Char"/>
    <w:basedOn w:val="DefaultParagraphFont"/>
    <w:link w:val="BodyText"/>
    <w:uiPriority w:val="99"/>
    <w:rsid w:val="002C5650"/>
    <w:rPr>
      <w:rFonts w:ascii="Times New Roman" w:eastAsia="Times New Roman" w:hAnsi="Times New Roman"/>
      <w:sz w:val="24"/>
      <w:szCs w:val="24"/>
      <w:lang w:eastAsia="ru-RU"/>
    </w:rPr>
  </w:style>
  <w:style w:type="paragraph" w:customStyle="1" w:styleId="Default">
    <w:name w:val="Default"/>
    <w:rsid w:val="002C5650"/>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AD6653"/>
    <w:rPr>
      <w:rFonts w:ascii="Tahoma" w:hAnsi="Tahoma" w:cs="Tahoma"/>
      <w:sz w:val="16"/>
      <w:szCs w:val="16"/>
    </w:rPr>
  </w:style>
  <w:style w:type="character" w:customStyle="1" w:styleId="BalloonTextChar">
    <w:name w:val="Balloon Text Char"/>
    <w:basedOn w:val="DefaultParagraphFont"/>
    <w:link w:val="BalloonText"/>
    <w:uiPriority w:val="99"/>
    <w:semiHidden/>
    <w:rsid w:val="00AD665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04"/>
    <w:rPr>
      <w:rFonts w:ascii="Times New Roman" w:eastAsia="Times New Roman" w:hAnsi="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715FA"/>
    <w:pPr>
      <w:ind w:left="720"/>
      <w:contextualSpacing/>
    </w:pPr>
  </w:style>
  <w:style w:type="paragraph" w:styleId="NormalWeb">
    <w:name w:val="Normal (Web)"/>
    <w:basedOn w:val="Normal"/>
    <w:uiPriority w:val="99"/>
    <w:rsid w:val="00174804"/>
    <w:pPr>
      <w:ind w:firstLine="567"/>
      <w:jc w:val="both"/>
    </w:pPr>
  </w:style>
  <w:style w:type="paragraph" w:styleId="BodyTextIndent">
    <w:name w:val="Body Text Indent"/>
    <w:basedOn w:val="Normal"/>
    <w:link w:val="BodyTextIndentChar"/>
    <w:uiPriority w:val="99"/>
    <w:rsid w:val="00174804"/>
    <w:pPr>
      <w:spacing w:after="120" w:line="276" w:lineRule="auto"/>
      <w:ind w:left="283"/>
    </w:pPr>
    <w:rPr>
      <w:rFonts w:ascii="Calibri" w:eastAsia="Calibri" w:hAnsi="Calibri"/>
      <w:sz w:val="22"/>
      <w:szCs w:val="22"/>
      <w:lang w:eastAsia="en-US"/>
    </w:rPr>
  </w:style>
  <w:style w:type="character" w:customStyle="1" w:styleId="BodyTextIndentChar">
    <w:name w:val="Body Text Indent Char"/>
    <w:basedOn w:val="DefaultParagraphFont"/>
    <w:link w:val="BodyTextIndent"/>
    <w:uiPriority w:val="99"/>
    <w:rsid w:val="00174804"/>
    <w:rPr>
      <w:sz w:val="22"/>
      <w:szCs w:val="22"/>
    </w:rPr>
  </w:style>
  <w:style w:type="paragraph" w:customStyle="1" w:styleId="1">
    <w:name w:val="Абзац списка1"/>
    <w:basedOn w:val="Normal"/>
    <w:uiPriority w:val="99"/>
    <w:rsid w:val="00174804"/>
    <w:pPr>
      <w:spacing w:after="200" w:line="276" w:lineRule="auto"/>
      <w:ind w:left="720"/>
      <w:contextualSpacing/>
    </w:pPr>
    <w:rPr>
      <w:rFonts w:eastAsia="Calibri"/>
      <w:lang w:val="ro-RO" w:eastAsia="en-US"/>
    </w:rPr>
  </w:style>
  <w:style w:type="character" w:customStyle="1" w:styleId="docheader1">
    <w:name w:val="doc_header1"/>
    <w:basedOn w:val="DefaultParagraphFont"/>
    <w:uiPriority w:val="99"/>
    <w:rsid w:val="00174804"/>
    <w:rPr>
      <w:rFonts w:ascii="Times New Roman" w:hAnsi="Times New Roman" w:cs="Times New Roman"/>
      <w:b/>
      <w:bCs/>
      <w:color w:val="000000"/>
      <w:sz w:val="24"/>
      <w:szCs w:val="24"/>
    </w:rPr>
  </w:style>
  <w:style w:type="character" w:customStyle="1" w:styleId="a">
    <w:name w:val="Основной текст_"/>
    <w:basedOn w:val="DefaultParagraphFont"/>
    <w:link w:val="10"/>
    <w:rsid w:val="00174804"/>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
    <w:rsid w:val="00174804"/>
    <w:rPr>
      <w:rFonts w:ascii="Times New Roman" w:eastAsia="Times New Roman" w:hAnsi="Times New Roman"/>
      <w:b/>
      <w:bCs/>
      <w:spacing w:val="10"/>
      <w:sz w:val="21"/>
      <w:szCs w:val="21"/>
      <w:shd w:val="clear" w:color="auto" w:fill="FFFFFF"/>
    </w:rPr>
  </w:style>
  <w:style w:type="character" w:customStyle="1" w:styleId="a0">
    <w:name w:val="Основной текст + Полужирный"/>
    <w:basedOn w:val="a"/>
    <w:rsid w:val="00174804"/>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
    <w:rsid w:val="00174804"/>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
    <w:rsid w:val="00174804"/>
    <w:rPr>
      <w:rFonts w:ascii="Times New Roman" w:eastAsia="Times New Roman" w:hAnsi="Times New Roman"/>
      <w:b/>
      <w:bCs/>
      <w:sz w:val="23"/>
      <w:szCs w:val="23"/>
      <w:shd w:val="clear" w:color="auto" w:fill="FFFFFF"/>
    </w:rPr>
  </w:style>
  <w:style w:type="paragraph" w:customStyle="1" w:styleId="10">
    <w:name w:val="Основной текст1"/>
    <w:basedOn w:val="Normal"/>
    <w:link w:val="a"/>
    <w:rsid w:val="00174804"/>
    <w:pPr>
      <w:shd w:val="clear" w:color="auto" w:fill="FFFFFF"/>
      <w:spacing w:before="300" w:line="307" w:lineRule="exact"/>
      <w:jc w:val="both"/>
    </w:pPr>
    <w:rPr>
      <w:sz w:val="25"/>
      <w:szCs w:val="25"/>
      <w:lang w:eastAsia="en-US"/>
    </w:rPr>
  </w:style>
  <w:style w:type="character" w:customStyle="1" w:styleId="a1">
    <w:name w:val="Основной текст + Курсив"/>
    <w:basedOn w:val="a"/>
    <w:rsid w:val="00174804"/>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DefaultParagraphFont"/>
    <w:link w:val="60"/>
    <w:rsid w:val="00174804"/>
    <w:rPr>
      <w:rFonts w:ascii="Times New Roman" w:eastAsia="Times New Roman" w:hAnsi="Times New Roman"/>
      <w:sz w:val="27"/>
      <w:szCs w:val="27"/>
      <w:shd w:val="clear" w:color="auto" w:fill="FFFFFF"/>
    </w:rPr>
  </w:style>
  <w:style w:type="character" w:customStyle="1" w:styleId="12">
    <w:name w:val="Заголовок №1 (2)"/>
    <w:basedOn w:val="DefaultParagraphFont"/>
    <w:rsid w:val="00174804"/>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Normal"/>
    <w:link w:val="6"/>
    <w:rsid w:val="00174804"/>
    <w:pPr>
      <w:shd w:val="clear" w:color="auto" w:fill="FFFFFF"/>
      <w:spacing w:line="350" w:lineRule="exact"/>
      <w:jc w:val="both"/>
    </w:pPr>
    <w:rPr>
      <w:sz w:val="27"/>
      <w:szCs w:val="27"/>
      <w:lang w:eastAsia="en-US"/>
    </w:rPr>
  </w:style>
  <w:style w:type="paragraph" w:styleId="BodyText">
    <w:name w:val="Body Text"/>
    <w:basedOn w:val="Normal"/>
    <w:link w:val="BodyTextChar"/>
    <w:uiPriority w:val="99"/>
    <w:unhideWhenUsed/>
    <w:rsid w:val="002C5650"/>
    <w:pPr>
      <w:spacing w:after="120"/>
    </w:pPr>
  </w:style>
  <w:style w:type="character" w:customStyle="1" w:styleId="BodyTextChar">
    <w:name w:val="Body Text Char"/>
    <w:basedOn w:val="DefaultParagraphFont"/>
    <w:link w:val="BodyText"/>
    <w:uiPriority w:val="99"/>
    <w:rsid w:val="002C5650"/>
    <w:rPr>
      <w:rFonts w:ascii="Times New Roman" w:eastAsia="Times New Roman" w:hAnsi="Times New Roman"/>
      <w:sz w:val="24"/>
      <w:szCs w:val="24"/>
      <w:lang w:eastAsia="ru-RU"/>
    </w:rPr>
  </w:style>
  <w:style w:type="paragraph" w:customStyle="1" w:styleId="Default">
    <w:name w:val="Default"/>
    <w:rsid w:val="002C5650"/>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AD6653"/>
    <w:rPr>
      <w:rFonts w:ascii="Tahoma" w:hAnsi="Tahoma" w:cs="Tahoma"/>
      <w:sz w:val="16"/>
      <w:szCs w:val="16"/>
    </w:rPr>
  </w:style>
  <w:style w:type="character" w:customStyle="1" w:styleId="BalloonTextChar">
    <w:name w:val="Balloon Text Char"/>
    <w:basedOn w:val="DefaultParagraphFont"/>
    <w:link w:val="BalloonText"/>
    <w:uiPriority w:val="99"/>
    <w:semiHidden/>
    <w:rsid w:val="00AD665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0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861</TotalTime>
  <Pages>7</Pages>
  <Words>2628</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Jomiru</dc:creator>
  <cp:lastModifiedBy>Jomiru</cp:lastModifiedBy>
  <cp:revision>10</cp:revision>
  <cp:lastPrinted>2015-12-29T12:38:00Z</cp:lastPrinted>
  <dcterms:created xsi:type="dcterms:W3CDTF">2015-11-10T07:59:00Z</dcterms:created>
  <dcterms:modified xsi:type="dcterms:W3CDTF">2016-01-12T07:32:00Z</dcterms:modified>
</cp:coreProperties>
</file>