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89" w:rsidRPr="00094C86" w:rsidRDefault="00B23689" w:rsidP="00082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C86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B23689" w:rsidRPr="00094C86" w:rsidRDefault="00B23689" w:rsidP="00082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C86">
        <w:rPr>
          <w:rFonts w:ascii="Times New Roman" w:hAnsi="Times New Roman" w:cs="Times New Roman"/>
          <w:sz w:val="28"/>
          <w:szCs w:val="28"/>
        </w:rPr>
        <w:t xml:space="preserve">La proiectul Hotărârii Guvernului cu privire la metodologia de evaluare a </w:t>
      </w:r>
      <w:r w:rsidR="002174ED" w:rsidRPr="00094C86">
        <w:rPr>
          <w:rFonts w:ascii="Times New Roman" w:hAnsi="Times New Roman" w:cs="Times New Roman"/>
          <w:sz w:val="28"/>
          <w:szCs w:val="28"/>
        </w:rPr>
        <w:t>performanței</w:t>
      </w:r>
      <w:r w:rsidRPr="00094C86">
        <w:rPr>
          <w:rFonts w:ascii="Times New Roman" w:hAnsi="Times New Roman" w:cs="Times New Roman"/>
          <w:sz w:val="28"/>
          <w:szCs w:val="28"/>
        </w:rPr>
        <w:t xml:space="preserve"> </w:t>
      </w:r>
      <w:r w:rsidRPr="00094C86">
        <w:rPr>
          <w:rFonts w:ascii="Times New Roman" w:hAnsi="Times New Roman" w:cs="Times New Roman"/>
          <w:bCs/>
          <w:sz w:val="28"/>
          <w:szCs w:val="28"/>
        </w:rPr>
        <w:t xml:space="preserve">autorităților administrative centrale și organelor subordonate acestora </w:t>
      </w:r>
      <w:r w:rsidRPr="00094C86">
        <w:rPr>
          <w:rFonts w:ascii="Times New Roman" w:hAnsi="Times New Roman" w:cs="Times New Roman"/>
          <w:sz w:val="28"/>
          <w:szCs w:val="28"/>
        </w:rPr>
        <w:t>în procesul de executare a funcțiilor de reglementare</w:t>
      </w:r>
    </w:p>
    <w:p w:rsidR="005B52D9" w:rsidRPr="00094C86" w:rsidRDefault="00B23689" w:rsidP="00082B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4C86">
        <w:rPr>
          <w:rFonts w:ascii="Times New Roman" w:hAnsi="Times New Roman" w:cs="Times New Roman"/>
          <w:sz w:val="28"/>
          <w:szCs w:val="28"/>
        </w:rPr>
        <w:t>Proiectul Hotărârii Guvernului cu privi</w:t>
      </w:r>
      <w:r w:rsidR="002174ED" w:rsidRPr="00094C86">
        <w:rPr>
          <w:rFonts w:ascii="Times New Roman" w:hAnsi="Times New Roman" w:cs="Times New Roman"/>
          <w:sz w:val="28"/>
          <w:szCs w:val="28"/>
        </w:rPr>
        <w:t xml:space="preserve">re la </w:t>
      </w:r>
      <w:r w:rsidR="002174ED" w:rsidRPr="00094C86">
        <w:rPr>
          <w:rFonts w:ascii="Times New Roman" w:hAnsi="Times New Roman" w:cs="Times New Roman"/>
          <w:i/>
          <w:sz w:val="28"/>
          <w:szCs w:val="28"/>
        </w:rPr>
        <w:t xml:space="preserve">metodologia de evaluare a performanței </w:t>
      </w:r>
      <w:r w:rsidRPr="00094C86">
        <w:rPr>
          <w:rFonts w:ascii="Times New Roman" w:hAnsi="Times New Roman" w:cs="Times New Roman"/>
          <w:bCs/>
          <w:i/>
          <w:sz w:val="28"/>
          <w:szCs w:val="28"/>
        </w:rPr>
        <w:t xml:space="preserve">autorităților administrative centrale și organelor subordonate acestora </w:t>
      </w:r>
      <w:r w:rsidRPr="00094C86">
        <w:rPr>
          <w:rFonts w:ascii="Times New Roman" w:hAnsi="Times New Roman" w:cs="Times New Roman"/>
          <w:i/>
          <w:sz w:val="28"/>
          <w:szCs w:val="28"/>
        </w:rPr>
        <w:t>în procesul de executare a funcțiilor de reglementare</w:t>
      </w:r>
      <w:r w:rsidR="00C743CA" w:rsidRPr="00094C86">
        <w:rPr>
          <w:rFonts w:ascii="Times New Roman" w:hAnsi="Times New Roman" w:cs="Times New Roman"/>
          <w:sz w:val="28"/>
          <w:szCs w:val="28"/>
        </w:rPr>
        <w:t>a fost</w:t>
      </w:r>
      <w:r w:rsidRPr="00094C86">
        <w:rPr>
          <w:rFonts w:ascii="Times New Roman" w:hAnsi="Times New Roman" w:cs="Times New Roman"/>
          <w:sz w:val="28"/>
          <w:szCs w:val="28"/>
        </w:rPr>
        <w:t xml:space="preserve"> elaborat de Ministerul Economiei </w:t>
      </w:r>
      <w:r w:rsidR="000966C5" w:rsidRPr="00094C86">
        <w:rPr>
          <w:rFonts w:ascii="Times New Roman" w:hAnsi="Times New Roman" w:cs="Times New Roman"/>
          <w:sz w:val="28"/>
          <w:szCs w:val="28"/>
        </w:rPr>
        <w:t xml:space="preserve">în cadrul </w:t>
      </w:r>
      <w:r w:rsidR="000876AC" w:rsidRPr="00094C86">
        <w:rPr>
          <w:rFonts w:ascii="Times New Roman" w:hAnsi="Times New Roman" w:cs="Times New Roman"/>
          <w:sz w:val="28"/>
          <w:szCs w:val="28"/>
        </w:rPr>
        <w:t>Proiectului</w:t>
      </w:r>
      <w:r w:rsidR="000966C5" w:rsidRPr="00094C86">
        <w:rPr>
          <w:rFonts w:ascii="Times New Roman" w:hAnsi="Times New Roman" w:cs="Times New Roman"/>
          <w:sz w:val="28"/>
          <w:szCs w:val="28"/>
        </w:rPr>
        <w:t xml:space="preserve"> de Ameliorare a Competitivităţii 2 (CEP II) </w:t>
      </w:r>
      <w:r w:rsidR="00C743CA" w:rsidRPr="00094C86">
        <w:rPr>
          <w:rFonts w:ascii="Times New Roman" w:hAnsi="Times New Roman" w:cs="Times New Roman"/>
          <w:sz w:val="28"/>
          <w:szCs w:val="28"/>
        </w:rPr>
        <w:t>finanțat</w:t>
      </w:r>
      <w:r w:rsidR="000966C5" w:rsidRPr="00094C86">
        <w:rPr>
          <w:rFonts w:ascii="Times New Roman" w:hAnsi="Times New Roman" w:cs="Times New Roman"/>
          <w:sz w:val="28"/>
          <w:szCs w:val="28"/>
        </w:rPr>
        <w:t xml:space="preserve"> de Asociaţia Internaţională pentru Dezvoltare</w:t>
      </w:r>
      <w:r w:rsidR="005B52D9" w:rsidRPr="00094C86">
        <w:rPr>
          <w:rFonts w:ascii="Times New Roman" w:hAnsi="Times New Roman" w:cs="Times New Roman"/>
          <w:sz w:val="28"/>
          <w:szCs w:val="28"/>
        </w:rPr>
        <w:t>.</w:t>
      </w:r>
      <w:r w:rsidR="002174ED" w:rsidRPr="00094C86">
        <w:rPr>
          <w:rFonts w:ascii="Times New Roman" w:hAnsi="Times New Roman" w:cs="Times New Roman"/>
          <w:sz w:val="28"/>
          <w:szCs w:val="28"/>
        </w:rPr>
        <w:t xml:space="preserve"> </w:t>
      </w:r>
      <w:r w:rsidR="005B52D9" w:rsidRPr="00094C86">
        <w:rPr>
          <w:rFonts w:ascii="Times New Roman" w:hAnsi="Times New Roman" w:cs="Times New Roman"/>
          <w:sz w:val="28"/>
          <w:szCs w:val="28"/>
        </w:rPr>
        <w:t xml:space="preserve">Proiectul Hotărârii Guvernului </w:t>
      </w:r>
      <w:r w:rsidR="00E74D64" w:rsidRPr="00094C86">
        <w:rPr>
          <w:rFonts w:ascii="Times New Roman" w:hAnsi="Times New Roman" w:cs="Times New Roman"/>
          <w:bCs/>
          <w:sz w:val="28"/>
          <w:szCs w:val="28"/>
        </w:rPr>
        <w:t xml:space="preserve">vine întru executarea Legii nr.235-XVI din 20 iulie 2006 cu privire la principiile de bază de reglementare a activităţii de întreprinzător şi </w:t>
      </w:r>
      <w:r w:rsidR="00E74D64" w:rsidRPr="00094C86">
        <w:rPr>
          <w:rFonts w:ascii="Times New Roman" w:hAnsi="Times New Roman" w:cs="Times New Roman"/>
          <w:sz w:val="28"/>
          <w:szCs w:val="28"/>
        </w:rPr>
        <w:t xml:space="preserve">are la bază </w:t>
      </w:r>
      <w:r w:rsidR="00E74D64" w:rsidRPr="00094C86">
        <w:rPr>
          <w:rFonts w:ascii="Times New Roman" w:hAnsi="Times New Roman" w:cs="Times New Roman"/>
          <w:bCs/>
          <w:sz w:val="28"/>
          <w:szCs w:val="28"/>
        </w:rPr>
        <w:t>Strategia reformei cadrului de reglementare a activităţii de întreprinzător pentru anii 2013-2020.</w:t>
      </w:r>
    </w:p>
    <w:p w:rsidR="00B90CAA" w:rsidRPr="00094C86" w:rsidRDefault="00B90CAA" w:rsidP="00082B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52D9" w:rsidRPr="00094C86" w:rsidRDefault="00075441" w:rsidP="00082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C86">
        <w:rPr>
          <w:rFonts w:ascii="Times New Roman" w:hAnsi="Times New Roman" w:cs="Times New Roman"/>
          <w:sz w:val="28"/>
          <w:szCs w:val="28"/>
        </w:rPr>
        <w:t xml:space="preserve">În pofida </w:t>
      </w:r>
      <w:r w:rsidR="00D11C2A" w:rsidRPr="00094C86">
        <w:rPr>
          <w:rFonts w:ascii="Times New Roman" w:hAnsi="Times New Roman" w:cs="Times New Roman"/>
          <w:sz w:val="28"/>
          <w:szCs w:val="28"/>
        </w:rPr>
        <w:t>progrese</w:t>
      </w:r>
      <w:r w:rsidRPr="00094C86">
        <w:rPr>
          <w:rFonts w:ascii="Times New Roman" w:hAnsi="Times New Roman" w:cs="Times New Roman"/>
          <w:sz w:val="28"/>
          <w:szCs w:val="28"/>
        </w:rPr>
        <w:t>lor înregistrate</w:t>
      </w:r>
      <w:r w:rsidR="00D11C2A" w:rsidRPr="00094C86">
        <w:rPr>
          <w:rFonts w:ascii="Times New Roman" w:hAnsi="Times New Roman" w:cs="Times New Roman"/>
          <w:sz w:val="28"/>
          <w:szCs w:val="28"/>
        </w:rPr>
        <w:t xml:space="preserve"> în implementarea reformelor, climatul de afaceri în Moldova rămâne a fi unul caracterizat de imprevizibilitate şi costuri sporite suportate de întreprinderi în interacţiunea lor cu Guvernul</w:t>
      </w:r>
      <w:r w:rsidRPr="00094C86">
        <w:rPr>
          <w:rFonts w:ascii="Times New Roman" w:hAnsi="Times New Roman" w:cs="Times New Roman"/>
          <w:sz w:val="28"/>
          <w:szCs w:val="28"/>
        </w:rPr>
        <w:t xml:space="preserve"> dar și de către autoritățile publice în </w:t>
      </w:r>
      <w:proofErr w:type="spellStart"/>
      <w:r w:rsidRPr="00094C86">
        <w:rPr>
          <w:rFonts w:ascii="Times New Roman" w:hAnsi="Times New Roman" w:cs="Times New Roman"/>
          <w:sz w:val="28"/>
          <w:szCs w:val="28"/>
        </w:rPr>
        <w:t>parea</w:t>
      </w:r>
      <w:proofErr w:type="spellEnd"/>
      <w:r w:rsidRPr="00094C86">
        <w:rPr>
          <w:rFonts w:ascii="Times New Roman" w:hAnsi="Times New Roman" w:cs="Times New Roman"/>
          <w:sz w:val="28"/>
          <w:szCs w:val="28"/>
        </w:rPr>
        <w:t xml:space="preserve"> ce ține de administrarea reglementărilor</w:t>
      </w:r>
      <w:r w:rsidR="00D11C2A" w:rsidRPr="00094C86">
        <w:rPr>
          <w:rFonts w:ascii="Times New Roman" w:hAnsi="Times New Roman" w:cs="Times New Roman"/>
          <w:sz w:val="28"/>
          <w:szCs w:val="28"/>
        </w:rPr>
        <w:t>. Existen</w:t>
      </w:r>
      <w:r w:rsidR="006E746B" w:rsidRPr="00094C86">
        <w:rPr>
          <w:rFonts w:ascii="Times New Roman" w:hAnsi="Times New Roman" w:cs="Times New Roman"/>
          <w:sz w:val="28"/>
          <w:szCs w:val="28"/>
        </w:rPr>
        <w:t>ţa unor proceduri complicate, ne</w:t>
      </w:r>
      <w:r w:rsidR="00D11C2A" w:rsidRPr="00094C86">
        <w:rPr>
          <w:rFonts w:ascii="Times New Roman" w:hAnsi="Times New Roman" w:cs="Times New Roman"/>
          <w:sz w:val="28"/>
          <w:szCs w:val="28"/>
        </w:rPr>
        <w:t>transparente şi imprevizibile ca şi finalitate în timp în procesul de obţinere a premiselor, autorizaţiilor, licenţelor şi a altor documente solicitate de autorităţi de la întreprinderi descurajează investiţiile atât autohtone câ</w:t>
      </w:r>
      <w:r w:rsidR="002B7D3E" w:rsidRPr="00094C86">
        <w:rPr>
          <w:rFonts w:ascii="Times New Roman" w:hAnsi="Times New Roman" w:cs="Times New Roman"/>
          <w:sz w:val="28"/>
          <w:szCs w:val="28"/>
        </w:rPr>
        <w:t>t şi străine,</w:t>
      </w:r>
      <w:r w:rsidR="00D11C2A" w:rsidRPr="00094C86">
        <w:rPr>
          <w:rFonts w:ascii="Times New Roman" w:hAnsi="Times New Roman" w:cs="Times New Roman"/>
          <w:sz w:val="28"/>
          <w:szCs w:val="28"/>
        </w:rPr>
        <w:t xml:space="preserve"> tind să submineze competitivitatea companiilor private din Moldova şi în consecinţă, </w:t>
      </w:r>
      <w:r w:rsidR="006E746B" w:rsidRPr="00094C86">
        <w:rPr>
          <w:rFonts w:ascii="Times New Roman" w:hAnsi="Times New Roman" w:cs="Times New Roman"/>
          <w:sz w:val="28"/>
          <w:szCs w:val="28"/>
        </w:rPr>
        <w:t>creează</w:t>
      </w:r>
      <w:r w:rsidR="00D11C2A" w:rsidRPr="00094C86">
        <w:rPr>
          <w:rFonts w:ascii="Times New Roman" w:hAnsi="Times New Roman" w:cs="Times New Roman"/>
          <w:sz w:val="28"/>
          <w:szCs w:val="28"/>
        </w:rPr>
        <w:t xml:space="preserve"> premise propice corupţiei, favoritismului şi creşterii nivelului economiei informale. </w:t>
      </w:r>
    </w:p>
    <w:p w:rsidR="005B52D9" w:rsidRPr="00094C86" w:rsidRDefault="002B7D3E" w:rsidP="00082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C86">
        <w:rPr>
          <w:rFonts w:ascii="Times New Roman" w:hAnsi="Times New Roman" w:cs="Times New Roman"/>
          <w:sz w:val="28"/>
          <w:szCs w:val="28"/>
        </w:rPr>
        <w:t>Guvernul Republicii Moldova</w:t>
      </w:r>
      <w:r w:rsidR="00D978C3" w:rsidRPr="00094C86">
        <w:rPr>
          <w:rFonts w:ascii="Times New Roman" w:hAnsi="Times New Roman" w:cs="Times New Roman"/>
          <w:sz w:val="28"/>
          <w:szCs w:val="28"/>
        </w:rPr>
        <w:t>,</w:t>
      </w:r>
      <w:r w:rsidRPr="00094C86">
        <w:rPr>
          <w:rFonts w:ascii="Times New Roman" w:hAnsi="Times New Roman" w:cs="Times New Roman"/>
          <w:sz w:val="28"/>
          <w:szCs w:val="28"/>
        </w:rPr>
        <w:t xml:space="preserve"> </w:t>
      </w:r>
      <w:r w:rsidR="00CA7C80" w:rsidRPr="00094C86">
        <w:rPr>
          <w:rFonts w:ascii="Times New Roman" w:hAnsi="Times New Roman" w:cs="Times New Roman"/>
          <w:sz w:val="28"/>
          <w:szCs w:val="28"/>
        </w:rPr>
        <w:t>conşti</w:t>
      </w:r>
      <w:r w:rsidR="007B23F4" w:rsidRPr="00094C86">
        <w:rPr>
          <w:rFonts w:ascii="Times New Roman" w:hAnsi="Times New Roman" w:cs="Times New Roman"/>
          <w:sz w:val="28"/>
          <w:szCs w:val="28"/>
        </w:rPr>
        <w:t>e</w:t>
      </w:r>
      <w:r w:rsidR="00CA7C80" w:rsidRPr="00094C86">
        <w:rPr>
          <w:rFonts w:ascii="Times New Roman" w:hAnsi="Times New Roman" w:cs="Times New Roman"/>
          <w:sz w:val="28"/>
          <w:szCs w:val="28"/>
        </w:rPr>
        <w:t>n</w:t>
      </w:r>
      <w:r w:rsidR="007B23F4" w:rsidRPr="00094C86">
        <w:rPr>
          <w:rFonts w:ascii="Times New Roman" w:hAnsi="Times New Roman" w:cs="Times New Roman"/>
          <w:sz w:val="28"/>
          <w:szCs w:val="28"/>
        </w:rPr>
        <w:t>tizând necesitatea fortificării capacităţilor de supraveghere a implementării strategiilor de reformă şi a</w:t>
      </w:r>
      <w:r w:rsidRPr="00094C86">
        <w:rPr>
          <w:rFonts w:ascii="Times New Roman" w:hAnsi="Times New Roman" w:cs="Times New Roman"/>
          <w:sz w:val="28"/>
          <w:szCs w:val="28"/>
        </w:rPr>
        <w:t xml:space="preserve"> </w:t>
      </w:r>
      <w:r w:rsidR="007B23F4" w:rsidRPr="00094C86">
        <w:rPr>
          <w:rFonts w:ascii="Times New Roman" w:hAnsi="Times New Roman" w:cs="Times New Roman"/>
          <w:sz w:val="28"/>
          <w:szCs w:val="28"/>
        </w:rPr>
        <w:t>asigurării faptului că reglementările adoptate nu impun costuri nejustificate asupra întreprinderilor, doreşte să sporească responsabilitatea autorităţilor publice prin implementarea unui sistem de ind</w:t>
      </w:r>
      <w:r w:rsidR="00CA7C80" w:rsidRPr="00094C86">
        <w:rPr>
          <w:rFonts w:ascii="Times New Roman" w:hAnsi="Times New Roman" w:cs="Times New Roman"/>
          <w:sz w:val="28"/>
          <w:szCs w:val="28"/>
        </w:rPr>
        <w:t xml:space="preserve">icatori de performanţă, care pe de o parte ar responsabiliza autorităţile ce reglementează activitatea de întreprinzător, iar pe de altă parte le-ar stimula </w:t>
      </w:r>
      <w:r w:rsidR="00D978C3" w:rsidRPr="00094C86">
        <w:rPr>
          <w:rFonts w:ascii="Times New Roman" w:hAnsi="Times New Roman" w:cs="Times New Roman"/>
          <w:sz w:val="28"/>
          <w:szCs w:val="28"/>
        </w:rPr>
        <w:t>să o facă mai eficient</w:t>
      </w:r>
      <w:r w:rsidR="00CA7C80" w:rsidRPr="00094C86">
        <w:rPr>
          <w:rFonts w:ascii="Times New Roman" w:hAnsi="Times New Roman" w:cs="Times New Roman"/>
          <w:sz w:val="28"/>
          <w:szCs w:val="28"/>
        </w:rPr>
        <w:t>.</w:t>
      </w:r>
    </w:p>
    <w:p w:rsidR="00720234" w:rsidRPr="00094C86" w:rsidRDefault="00720234" w:rsidP="00082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C69" w:rsidRPr="00094C86" w:rsidRDefault="009903EF" w:rsidP="00082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C86">
        <w:rPr>
          <w:rFonts w:ascii="Times New Roman" w:hAnsi="Times New Roman" w:cs="Times New Roman"/>
          <w:sz w:val="28"/>
          <w:szCs w:val="28"/>
        </w:rPr>
        <w:t>În acest context, m</w:t>
      </w:r>
      <w:r w:rsidR="00CA7C80" w:rsidRPr="00094C86">
        <w:rPr>
          <w:rFonts w:ascii="Times New Roman" w:hAnsi="Times New Roman" w:cs="Times New Roman"/>
          <w:sz w:val="28"/>
          <w:szCs w:val="28"/>
        </w:rPr>
        <w:t>etodologia</w:t>
      </w:r>
      <w:r w:rsidRPr="00094C86">
        <w:rPr>
          <w:rFonts w:ascii="Times New Roman" w:hAnsi="Times New Roman" w:cs="Times New Roman"/>
          <w:sz w:val="28"/>
          <w:szCs w:val="28"/>
        </w:rPr>
        <w:t xml:space="preserve"> </w:t>
      </w:r>
      <w:r w:rsidR="00CA7C80" w:rsidRPr="00094C86">
        <w:rPr>
          <w:rFonts w:ascii="Times New Roman" w:hAnsi="Times New Roman" w:cs="Times New Roman"/>
          <w:sz w:val="28"/>
          <w:szCs w:val="28"/>
        </w:rPr>
        <w:t xml:space="preserve">are ca scop stabilirea unui mecanism unitar de evaluare anuală a </w:t>
      </w:r>
      <w:r w:rsidRPr="00094C86">
        <w:rPr>
          <w:rFonts w:ascii="Times New Roman" w:hAnsi="Times New Roman" w:cs="Times New Roman"/>
          <w:sz w:val="28"/>
          <w:szCs w:val="28"/>
        </w:rPr>
        <w:t>performanței</w:t>
      </w:r>
      <w:r w:rsidR="00CA7C80" w:rsidRPr="00094C86">
        <w:rPr>
          <w:rFonts w:ascii="Times New Roman" w:hAnsi="Times New Roman" w:cs="Times New Roman"/>
          <w:sz w:val="28"/>
          <w:szCs w:val="28"/>
        </w:rPr>
        <w:t xml:space="preserve"> autorităților publice asupra mediului de afaceri în procesul de executare a funcțiilor de reglementare și</w:t>
      </w:r>
      <w:r w:rsidR="00963CA6" w:rsidRPr="00094C86">
        <w:rPr>
          <w:rFonts w:ascii="Times New Roman" w:hAnsi="Times New Roman" w:cs="Times New Roman"/>
          <w:sz w:val="28"/>
          <w:szCs w:val="28"/>
        </w:rPr>
        <w:t xml:space="preserve"> de îmbunătățire a</w:t>
      </w:r>
      <w:r w:rsidR="00CA7C80" w:rsidRPr="00094C86">
        <w:rPr>
          <w:rFonts w:ascii="Times New Roman" w:hAnsi="Times New Roman" w:cs="Times New Roman"/>
          <w:sz w:val="28"/>
          <w:szCs w:val="28"/>
        </w:rPr>
        <w:t xml:space="preserve"> performanței acestora.</w:t>
      </w:r>
      <w:r w:rsidR="00FF6578" w:rsidRPr="00094C86">
        <w:rPr>
          <w:rFonts w:ascii="Times New Roman" w:hAnsi="Times New Roman" w:cs="Times New Roman"/>
          <w:sz w:val="28"/>
          <w:szCs w:val="28"/>
        </w:rPr>
        <w:t xml:space="preserve"> </w:t>
      </w:r>
      <w:r w:rsidR="00CA7C80" w:rsidRPr="00094C86">
        <w:rPr>
          <w:rFonts w:ascii="Times New Roman" w:hAnsi="Times New Roman" w:cs="Times New Roman"/>
          <w:sz w:val="28"/>
          <w:szCs w:val="28"/>
        </w:rPr>
        <w:t xml:space="preserve">Principalele obiective ale Metodologiei </w:t>
      </w:r>
      <w:r w:rsidR="006E746B" w:rsidRPr="00094C86">
        <w:rPr>
          <w:rFonts w:ascii="Times New Roman" w:hAnsi="Times New Roman" w:cs="Times New Roman"/>
          <w:sz w:val="28"/>
          <w:szCs w:val="28"/>
        </w:rPr>
        <w:t>sunt</w:t>
      </w:r>
      <w:r w:rsidR="00CA7C80" w:rsidRPr="00094C86">
        <w:rPr>
          <w:rFonts w:ascii="Times New Roman" w:hAnsi="Times New Roman" w:cs="Times New Roman"/>
          <w:sz w:val="28"/>
          <w:szCs w:val="28"/>
        </w:rPr>
        <w:t>:</w:t>
      </w:r>
      <w:r w:rsidR="00153C69" w:rsidRPr="00094C86">
        <w:rPr>
          <w:rFonts w:ascii="Times New Roman" w:hAnsi="Times New Roman" w:cs="Times New Roman"/>
          <w:sz w:val="28"/>
          <w:szCs w:val="28"/>
        </w:rPr>
        <w:t xml:space="preserve"> (a) </w:t>
      </w:r>
      <w:r w:rsidR="00153C69" w:rsidRPr="00094C86">
        <w:rPr>
          <w:rFonts w:ascii="Times New Roman" w:eastAsia="Times New Roman" w:hAnsi="Times New Roman" w:cs="Times New Roman"/>
          <w:sz w:val="28"/>
          <w:szCs w:val="28"/>
          <w:lang w:eastAsia="ru-RU"/>
        </w:rPr>
        <w:t>stabilirea unui set de indicatori critic</w:t>
      </w:r>
      <w:r w:rsidR="00153C69" w:rsidRPr="00094C86">
        <w:rPr>
          <w:rFonts w:ascii="Times New Roman" w:hAnsi="Times New Roman" w:cs="Times New Roman"/>
          <w:sz w:val="28"/>
          <w:szCs w:val="28"/>
        </w:rPr>
        <w:t xml:space="preserve">i pentru evaluarea performanței autorităților </w:t>
      </w:r>
      <w:r w:rsidR="00153C69" w:rsidRPr="0009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publice </w:t>
      </w:r>
      <w:r w:rsidR="00153C69" w:rsidRPr="00094C86">
        <w:rPr>
          <w:rFonts w:ascii="Times New Roman" w:hAnsi="Times New Roman" w:cs="Times New Roman"/>
          <w:sz w:val="28"/>
          <w:szCs w:val="28"/>
        </w:rPr>
        <w:t>în procesul de executare a funcțiilor de reglementare</w:t>
      </w:r>
      <w:r w:rsidR="00153C69" w:rsidRPr="0009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(b) reducerea poverii administrative și costurilor asociate reglementării asupra întreprinderilor; (c) </w:t>
      </w:r>
      <w:r w:rsidR="00153C69" w:rsidRPr="00094C86">
        <w:rPr>
          <w:rFonts w:ascii="Times New Roman" w:hAnsi="Times New Roman" w:cs="Times New Roman"/>
          <w:sz w:val="28"/>
          <w:szCs w:val="28"/>
        </w:rPr>
        <w:t xml:space="preserve">elaborarea recomandărilor și îmbunătăţirea performanţei </w:t>
      </w:r>
      <w:r w:rsidR="00153C69" w:rsidRPr="0009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autorităților publice în procesul de reglementare; </w:t>
      </w:r>
    </w:p>
    <w:p w:rsidR="00B90CAA" w:rsidRPr="00094C86" w:rsidRDefault="00B90CAA" w:rsidP="00082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2C" w:rsidRPr="00094C86" w:rsidRDefault="005300F8" w:rsidP="000C7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C86">
        <w:rPr>
          <w:rFonts w:ascii="Times New Roman" w:hAnsi="Times New Roman" w:cs="Times New Roman"/>
          <w:sz w:val="28"/>
          <w:szCs w:val="28"/>
        </w:rPr>
        <w:t>La elaborarea metodologiei s-a ţinut cont de cele mai bune practici internaţionale în domeniul „</w:t>
      </w:r>
      <w:r w:rsidR="00082BF0" w:rsidRPr="00094C86">
        <w:rPr>
          <w:rFonts w:ascii="Times New Roman" w:hAnsi="Times New Roman" w:cs="Times New Roman"/>
          <w:sz w:val="28"/>
          <w:szCs w:val="28"/>
        </w:rPr>
        <w:t>reglementării inteligente</w:t>
      </w:r>
      <w:r w:rsidRPr="00094C86">
        <w:rPr>
          <w:rFonts w:ascii="Times New Roman" w:hAnsi="Times New Roman" w:cs="Times New Roman"/>
          <w:sz w:val="28"/>
          <w:szCs w:val="28"/>
        </w:rPr>
        <w:t>”,</w:t>
      </w:r>
      <w:r w:rsidR="00082BF0" w:rsidRPr="00094C86">
        <w:rPr>
          <w:rFonts w:ascii="Times New Roman" w:hAnsi="Times New Roman" w:cs="Times New Roman"/>
          <w:sz w:val="28"/>
          <w:szCs w:val="28"/>
        </w:rPr>
        <w:t xml:space="preserve"> recomandărilor Organizației pentru Cooperare Economică și Dezvoltare</w:t>
      </w:r>
      <w:r w:rsidR="00FA5315" w:rsidRPr="00094C86">
        <w:rPr>
          <w:rFonts w:ascii="Times New Roman" w:hAnsi="Times New Roman" w:cs="Times New Roman"/>
          <w:sz w:val="28"/>
          <w:szCs w:val="28"/>
        </w:rPr>
        <w:t xml:space="preserve"> (OCDE)</w:t>
      </w:r>
      <w:r w:rsidR="003A553C" w:rsidRPr="00094C86">
        <w:rPr>
          <w:rFonts w:ascii="Times New Roman" w:hAnsi="Times New Roman" w:cs="Times New Roman"/>
          <w:sz w:val="28"/>
          <w:szCs w:val="28"/>
        </w:rPr>
        <w:t xml:space="preserve">, politicilor naționale în domeniul bunei guvernări: </w:t>
      </w:r>
      <w:r w:rsidR="003A553C" w:rsidRPr="00094C86">
        <w:rPr>
          <w:rFonts w:ascii="Times New Roman" w:hAnsi="Times New Roman" w:cs="Times New Roman"/>
          <w:bCs/>
          <w:sz w:val="28"/>
          <w:szCs w:val="28"/>
        </w:rPr>
        <w:t xml:space="preserve">Strategia reformei cadrului de reglementare a activităţii de întreprinzător pentru anii 2013-2020, politici din domeniul e-guvernare (Programul de reformare a serviciilor publice pentru anii 2014-2016), abordări în măsurarea percepției poverii reglementării </w:t>
      </w:r>
      <w:r w:rsidR="003A553C" w:rsidRPr="00094C86">
        <w:rPr>
          <w:rFonts w:ascii="Times New Roman" w:hAnsi="Times New Roman" w:cs="Times New Roman"/>
          <w:bCs/>
          <w:sz w:val="28"/>
          <w:szCs w:val="28"/>
        </w:rPr>
        <w:lastRenderedPageBreak/>
        <w:t>utilizate în țările membre ale OCDE.</w:t>
      </w:r>
      <w:r w:rsidR="00FF4160" w:rsidRPr="0009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680C" w:rsidRPr="00094C86">
        <w:rPr>
          <w:rFonts w:ascii="Times New Roman" w:hAnsi="Times New Roman" w:cs="Times New Roman"/>
          <w:sz w:val="28"/>
          <w:szCs w:val="28"/>
        </w:rPr>
        <w:t xml:space="preserve">Metodologia prevede utilizarea a </w:t>
      </w:r>
      <w:r w:rsidR="000C7A21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BB680C" w:rsidRPr="00F545E0">
        <w:rPr>
          <w:rFonts w:ascii="Times New Roman" w:hAnsi="Times New Roman" w:cs="Times New Roman"/>
          <w:sz w:val="28"/>
          <w:szCs w:val="28"/>
        </w:rPr>
        <w:t xml:space="preserve"> de indicatori</w:t>
      </w:r>
      <w:r w:rsidR="00BB680C" w:rsidRPr="00094C86">
        <w:rPr>
          <w:rFonts w:ascii="Times New Roman" w:hAnsi="Times New Roman" w:cs="Times New Roman"/>
          <w:sz w:val="28"/>
          <w:szCs w:val="28"/>
        </w:rPr>
        <w:t>, care pot fi definiţi la nivelul fiecărei autorităţi de reglementare</w:t>
      </w:r>
      <w:r w:rsidR="00720234" w:rsidRPr="00094C86">
        <w:rPr>
          <w:rFonts w:ascii="Times New Roman" w:hAnsi="Times New Roman" w:cs="Times New Roman"/>
          <w:sz w:val="28"/>
          <w:szCs w:val="28"/>
        </w:rPr>
        <w:t xml:space="preserve">. Aceștia au fost cuprinși în următoarele grupuri: </w:t>
      </w:r>
      <w:r w:rsidR="00F545E0" w:rsidRPr="00F545E0">
        <w:rPr>
          <w:rFonts w:ascii="Times New Roman" w:hAnsi="Times New Roman" w:cs="Times New Roman"/>
          <w:sz w:val="28"/>
          <w:szCs w:val="28"/>
        </w:rPr>
        <w:t>Grupul 1: Indicatori de impact asupra costurilor de conformare;</w:t>
      </w:r>
      <w:r w:rsidR="00F545E0">
        <w:rPr>
          <w:rFonts w:ascii="Times New Roman" w:hAnsi="Times New Roman" w:cs="Times New Roman"/>
          <w:sz w:val="28"/>
          <w:szCs w:val="28"/>
        </w:rPr>
        <w:t xml:space="preserve"> </w:t>
      </w:r>
      <w:r w:rsidR="00F545E0" w:rsidRPr="00F545E0">
        <w:rPr>
          <w:rFonts w:ascii="Times New Roman" w:hAnsi="Times New Roman" w:cs="Times New Roman"/>
          <w:sz w:val="28"/>
          <w:szCs w:val="28"/>
        </w:rPr>
        <w:t>Grupul 2: Indicatori de calitate a controalelor și altor interacțiuni cu întreprinderile;</w:t>
      </w:r>
      <w:r w:rsidR="00F545E0">
        <w:rPr>
          <w:rFonts w:ascii="Times New Roman" w:hAnsi="Times New Roman" w:cs="Times New Roman"/>
          <w:sz w:val="28"/>
          <w:szCs w:val="28"/>
        </w:rPr>
        <w:t xml:space="preserve"> </w:t>
      </w:r>
      <w:r w:rsidR="00F545E0" w:rsidRPr="00F545E0">
        <w:rPr>
          <w:rFonts w:ascii="Times New Roman" w:hAnsi="Times New Roman" w:cs="Times New Roman"/>
          <w:sz w:val="28"/>
          <w:szCs w:val="28"/>
        </w:rPr>
        <w:t>Grupul 3: Indicatori de transparență, claritate, previzibilitate și accesibilitate a reglementării;</w:t>
      </w:r>
      <w:r w:rsidR="00F545E0">
        <w:rPr>
          <w:rFonts w:ascii="Times New Roman" w:hAnsi="Times New Roman" w:cs="Times New Roman"/>
          <w:sz w:val="28"/>
          <w:szCs w:val="28"/>
        </w:rPr>
        <w:t xml:space="preserve"> </w:t>
      </w:r>
      <w:r w:rsidR="00F545E0" w:rsidRPr="00F545E0">
        <w:rPr>
          <w:rFonts w:ascii="Times New Roman" w:hAnsi="Times New Roman" w:cs="Times New Roman"/>
          <w:sz w:val="28"/>
          <w:szCs w:val="28"/>
        </w:rPr>
        <w:t>Grupul 4:  Indicatori ai bunelor practi</w:t>
      </w:r>
      <w:r w:rsidR="00F545E0">
        <w:rPr>
          <w:rFonts w:ascii="Times New Roman" w:hAnsi="Times New Roman" w:cs="Times New Roman"/>
          <w:sz w:val="28"/>
          <w:szCs w:val="28"/>
        </w:rPr>
        <w:t>ci de reglementare în ministere.</w:t>
      </w:r>
      <w:r w:rsidR="00FF4160" w:rsidRPr="0009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1C4" w:rsidRPr="00094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procesul selectării s-a </w:t>
      </w:r>
      <w:r w:rsidR="002F5E3E" w:rsidRPr="00094C86">
        <w:rPr>
          <w:rFonts w:ascii="Times New Roman" w:hAnsi="Times New Roman" w:cs="Times New Roman"/>
          <w:sz w:val="28"/>
          <w:szCs w:val="28"/>
        </w:rPr>
        <w:t xml:space="preserve">ținut </w:t>
      </w:r>
      <w:r w:rsidR="00FF4160" w:rsidRPr="00094C86">
        <w:rPr>
          <w:rFonts w:ascii="Times New Roman" w:hAnsi="Times New Roman" w:cs="Times New Roman"/>
          <w:sz w:val="28"/>
          <w:szCs w:val="28"/>
        </w:rPr>
        <w:t>con</w:t>
      </w:r>
      <w:r w:rsidR="002F5E3E" w:rsidRPr="00094C86">
        <w:rPr>
          <w:rFonts w:ascii="Times New Roman" w:hAnsi="Times New Roman" w:cs="Times New Roman"/>
          <w:sz w:val="28"/>
          <w:szCs w:val="28"/>
        </w:rPr>
        <w:t>t</w:t>
      </w:r>
      <w:r w:rsidR="004E71C4" w:rsidRPr="00094C86">
        <w:rPr>
          <w:rFonts w:ascii="Times New Roman" w:hAnsi="Times New Roman" w:cs="Times New Roman"/>
          <w:sz w:val="28"/>
          <w:szCs w:val="28"/>
        </w:rPr>
        <w:t xml:space="preserve"> de următoarele criterii: </w:t>
      </w:r>
      <w:r w:rsidR="004456E7" w:rsidRPr="00094C86">
        <w:rPr>
          <w:rFonts w:ascii="Times New Roman" w:hAnsi="Times New Roman" w:cs="Times New Roman"/>
          <w:sz w:val="28"/>
          <w:szCs w:val="28"/>
        </w:rPr>
        <w:t xml:space="preserve">disponibilitatea surselor de date </w:t>
      </w:r>
      <w:r w:rsidR="002F5E3E" w:rsidRPr="00094C86">
        <w:rPr>
          <w:rFonts w:ascii="Times New Roman" w:hAnsi="Times New Roman" w:cs="Times New Roman"/>
          <w:sz w:val="28"/>
          <w:szCs w:val="28"/>
        </w:rPr>
        <w:t>credibile și obiective</w:t>
      </w:r>
      <w:r w:rsidR="004456E7" w:rsidRPr="00094C86">
        <w:rPr>
          <w:rFonts w:ascii="Times New Roman" w:hAnsi="Times New Roman" w:cs="Times New Roman"/>
          <w:sz w:val="28"/>
          <w:szCs w:val="28"/>
        </w:rPr>
        <w:t xml:space="preserve">, posibilitatea verificării datelor, posibilitatea obținerii datelor cu </w:t>
      </w:r>
      <w:r w:rsidR="00BB680C" w:rsidRPr="00094C86">
        <w:rPr>
          <w:rFonts w:ascii="Times New Roman" w:hAnsi="Times New Roman" w:cs="Times New Roman"/>
          <w:sz w:val="28"/>
          <w:szCs w:val="28"/>
        </w:rPr>
        <w:t xml:space="preserve">costuri minime </w:t>
      </w:r>
      <w:r w:rsidR="008D2721" w:rsidRPr="00094C86">
        <w:rPr>
          <w:rFonts w:ascii="Times New Roman" w:hAnsi="Times New Roman" w:cs="Times New Roman"/>
          <w:sz w:val="28"/>
          <w:szCs w:val="28"/>
        </w:rPr>
        <w:t xml:space="preserve">pentru autorități și evaluatori, posibilitatea acumulării continue a datelor pentru evaluarea progresului în timp, </w:t>
      </w:r>
      <w:r w:rsidR="00144B50" w:rsidRPr="00094C86">
        <w:rPr>
          <w:rFonts w:ascii="Times New Roman" w:hAnsi="Times New Roman" w:cs="Times New Roman"/>
          <w:sz w:val="28"/>
          <w:szCs w:val="28"/>
        </w:rPr>
        <w:t>impact asupra costurilor de conformare.</w:t>
      </w:r>
    </w:p>
    <w:p w:rsidR="007C28DF" w:rsidRPr="00094C86" w:rsidRDefault="00FF6578" w:rsidP="00082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C86">
        <w:rPr>
          <w:rFonts w:ascii="Times New Roman" w:hAnsi="Times New Roman" w:cs="Times New Roman"/>
          <w:sz w:val="28"/>
          <w:szCs w:val="28"/>
        </w:rPr>
        <w:t xml:space="preserve">Evaluarea </w:t>
      </w:r>
      <w:r w:rsidR="00A05E45" w:rsidRPr="00094C86">
        <w:rPr>
          <w:rFonts w:ascii="Times New Roman" w:hAnsi="Times New Roman" w:cs="Times New Roman"/>
          <w:sz w:val="28"/>
          <w:szCs w:val="28"/>
        </w:rPr>
        <w:t xml:space="preserve">performanței se va efectua anual </w:t>
      </w:r>
      <w:r w:rsidR="0051630C" w:rsidRPr="00094C86">
        <w:rPr>
          <w:rFonts w:ascii="Times New Roman" w:hAnsi="Times New Roman" w:cs="Times New Roman"/>
          <w:sz w:val="28"/>
          <w:szCs w:val="28"/>
        </w:rPr>
        <w:t xml:space="preserve">începând cu 1 ianuarie 2016 </w:t>
      </w:r>
      <w:r w:rsidR="00A05E45" w:rsidRPr="00094C86">
        <w:rPr>
          <w:rFonts w:ascii="Times New Roman" w:hAnsi="Times New Roman" w:cs="Times New Roman"/>
          <w:sz w:val="28"/>
          <w:szCs w:val="28"/>
        </w:rPr>
        <w:t>ș</w:t>
      </w:r>
      <w:r w:rsidR="00F545E0">
        <w:rPr>
          <w:rFonts w:ascii="Times New Roman" w:hAnsi="Times New Roman" w:cs="Times New Roman"/>
          <w:sz w:val="28"/>
          <w:szCs w:val="28"/>
        </w:rPr>
        <w:t xml:space="preserve">i va cuprinde un șir de </w:t>
      </w:r>
      <w:r w:rsidR="00F545E0">
        <w:rPr>
          <w:rFonts w:ascii="Times New Roman" w:hAnsi="Times New Roman" w:cs="Times New Roman"/>
          <w:sz w:val="28"/>
          <w:szCs w:val="28"/>
        </w:rPr>
        <w:tab/>
      </w:r>
      <w:r w:rsidR="00A05E45" w:rsidRPr="00094C86">
        <w:rPr>
          <w:rFonts w:ascii="Times New Roman" w:hAnsi="Times New Roman" w:cs="Times New Roman"/>
          <w:i/>
          <w:sz w:val="28"/>
          <w:szCs w:val="28"/>
        </w:rPr>
        <w:t xml:space="preserve">autorități publice conform anexei nr. 2 la proiectul hotărârii. </w:t>
      </w:r>
      <w:r w:rsidR="007534DC" w:rsidRPr="00094C86">
        <w:rPr>
          <w:rFonts w:ascii="Times New Roman" w:hAnsi="Times New Roman" w:cs="Times New Roman"/>
          <w:sz w:val="28"/>
          <w:szCs w:val="28"/>
        </w:rPr>
        <w:t>Aceste autorități au fost considerate ca având cel mai mare impact asupra mediului de afaceri din Republica Moldova</w:t>
      </w:r>
      <w:r w:rsidR="00F545E0">
        <w:rPr>
          <w:rFonts w:ascii="Times New Roman" w:hAnsi="Times New Roman" w:cs="Times New Roman"/>
          <w:sz w:val="28"/>
          <w:szCs w:val="28"/>
        </w:rPr>
        <w:t>,</w:t>
      </w:r>
      <w:r w:rsidR="007534DC" w:rsidRPr="00094C86">
        <w:rPr>
          <w:rFonts w:ascii="Times New Roman" w:hAnsi="Times New Roman" w:cs="Times New Roman"/>
          <w:sz w:val="28"/>
          <w:szCs w:val="28"/>
        </w:rPr>
        <w:t xml:space="preserve"> iar selectarea acestora s-a axat în special pe următorii factori: </w:t>
      </w:r>
      <w:r w:rsidR="00645945" w:rsidRPr="00094C86">
        <w:rPr>
          <w:rFonts w:ascii="Times New Roman" w:hAnsi="Times New Roman" w:cs="Times New Roman"/>
          <w:sz w:val="28"/>
          <w:szCs w:val="28"/>
        </w:rPr>
        <w:t xml:space="preserve">numărul de </w:t>
      </w:r>
      <w:r w:rsidR="007534DC" w:rsidRPr="00094C86">
        <w:rPr>
          <w:rFonts w:ascii="Times New Roman" w:hAnsi="Times New Roman" w:cs="Times New Roman"/>
          <w:sz w:val="28"/>
          <w:szCs w:val="28"/>
        </w:rPr>
        <w:t xml:space="preserve">gradul de implicare în </w:t>
      </w:r>
      <w:r w:rsidR="00645945" w:rsidRPr="00094C86">
        <w:rPr>
          <w:rFonts w:ascii="Times New Roman" w:hAnsi="Times New Roman" w:cs="Times New Roman"/>
          <w:sz w:val="28"/>
          <w:szCs w:val="28"/>
        </w:rPr>
        <w:t xml:space="preserve">procesul de emitere a </w:t>
      </w:r>
      <w:r w:rsidR="00C320A0" w:rsidRPr="00094C86">
        <w:rPr>
          <w:rFonts w:ascii="Times New Roman" w:hAnsi="Times New Roman" w:cs="Times New Roman"/>
          <w:sz w:val="28"/>
          <w:szCs w:val="28"/>
        </w:rPr>
        <w:t>actelor permisive</w:t>
      </w:r>
      <w:r w:rsidR="00645945" w:rsidRPr="00094C86">
        <w:rPr>
          <w:rFonts w:ascii="Times New Roman" w:hAnsi="Times New Roman" w:cs="Times New Roman"/>
          <w:sz w:val="28"/>
          <w:szCs w:val="28"/>
        </w:rPr>
        <w:t>;</w:t>
      </w:r>
      <w:r w:rsidR="00E25C8C" w:rsidRPr="00094C86">
        <w:rPr>
          <w:rFonts w:ascii="Times New Roman" w:hAnsi="Times New Roman" w:cs="Times New Roman"/>
          <w:sz w:val="28"/>
          <w:szCs w:val="28"/>
        </w:rPr>
        <w:t xml:space="preserve"> </w:t>
      </w:r>
      <w:r w:rsidR="00645945" w:rsidRPr="00094C86">
        <w:rPr>
          <w:rFonts w:ascii="Times New Roman" w:hAnsi="Times New Roman" w:cs="Times New Roman"/>
          <w:sz w:val="28"/>
          <w:szCs w:val="28"/>
        </w:rPr>
        <w:t xml:space="preserve">numărul de </w:t>
      </w:r>
      <w:r w:rsidR="00C320A0" w:rsidRPr="00094C86">
        <w:rPr>
          <w:rFonts w:ascii="Times New Roman" w:hAnsi="Times New Roman" w:cs="Times New Roman"/>
          <w:sz w:val="28"/>
          <w:szCs w:val="28"/>
        </w:rPr>
        <w:t>acte permisive aflate în competența autorității publice</w:t>
      </w:r>
      <w:r w:rsidR="00645945" w:rsidRPr="00094C86">
        <w:rPr>
          <w:rFonts w:ascii="Times New Roman" w:hAnsi="Times New Roman" w:cs="Times New Roman"/>
          <w:sz w:val="28"/>
          <w:szCs w:val="28"/>
        </w:rPr>
        <w:t>;</w:t>
      </w:r>
      <w:r w:rsidR="00E25C8C" w:rsidRPr="00094C86">
        <w:rPr>
          <w:rFonts w:ascii="Times New Roman" w:hAnsi="Times New Roman" w:cs="Times New Roman"/>
          <w:sz w:val="28"/>
          <w:szCs w:val="28"/>
        </w:rPr>
        <w:t xml:space="preserve"> </w:t>
      </w:r>
      <w:r w:rsidR="00645945" w:rsidRPr="00094C86">
        <w:rPr>
          <w:rFonts w:ascii="Times New Roman" w:hAnsi="Times New Roman" w:cs="Times New Roman"/>
          <w:sz w:val="28"/>
          <w:szCs w:val="28"/>
        </w:rPr>
        <w:t>numărul de întreprinderi</w:t>
      </w:r>
      <w:r w:rsidR="00C320A0" w:rsidRPr="00094C86">
        <w:rPr>
          <w:rFonts w:ascii="Times New Roman" w:hAnsi="Times New Roman" w:cs="Times New Roman"/>
          <w:sz w:val="28"/>
          <w:szCs w:val="28"/>
        </w:rPr>
        <w:t xml:space="preserve"> vizate de </w:t>
      </w:r>
      <w:r w:rsidR="007C28DF" w:rsidRPr="00094C86">
        <w:rPr>
          <w:rFonts w:ascii="Times New Roman" w:hAnsi="Times New Roman" w:cs="Times New Roman"/>
          <w:sz w:val="28"/>
          <w:szCs w:val="28"/>
        </w:rPr>
        <w:t>reglementarea</w:t>
      </w:r>
      <w:r w:rsidR="00C320A0" w:rsidRPr="00094C86">
        <w:rPr>
          <w:rFonts w:ascii="Times New Roman" w:hAnsi="Times New Roman" w:cs="Times New Roman"/>
          <w:sz w:val="28"/>
          <w:szCs w:val="28"/>
        </w:rPr>
        <w:t xml:space="preserve"> autorității</w:t>
      </w:r>
      <w:r w:rsidR="007C28DF" w:rsidRPr="00094C86">
        <w:rPr>
          <w:rFonts w:ascii="Times New Roman" w:hAnsi="Times New Roman" w:cs="Times New Roman"/>
          <w:sz w:val="28"/>
          <w:szCs w:val="28"/>
        </w:rPr>
        <w:t xml:space="preserve">, existența competențelor în domeniul efectuării controalelor. </w:t>
      </w:r>
    </w:p>
    <w:p w:rsidR="007C28DF" w:rsidRPr="00094C86" w:rsidRDefault="007C28DF" w:rsidP="00082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17C" w:rsidRPr="00094C86" w:rsidRDefault="00431636" w:rsidP="00082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C86">
        <w:rPr>
          <w:rFonts w:ascii="Times New Roman" w:hAnsi="Times New Roman" w:cs="Times New Roman"/>
          <w:sz w:val="28"/>
          <w:szCs w:val="28"/>
        </w:rPr>
        <w:t xml:space="preserve">Procesul de evaluare va fi coordonat de către Grupul național de evaluare care urmează a fi creat prin ordinul Secretarului general al Guvernului. </w:t>
      </w:r>
      <w:r w:rsidR="00113884" w:rsidRPr="00094C86">
        <w:rPr>
          <w:rFonts w:ascii="Times New Roman" w:hAnsi="Times New Roman" w:cs="Times New Roman"/>
          <w:sz w:val="28"/>
          <w:szCs w:val="28"/>
        </w:rPr>
        <w:t>La nivelul autorităților publice vor fi create grupuri de evaluare care vor răspunde la chestionarele de evaluare și vor interacționa cu Grupul național de evaluare î</w:t>
      </w:r>
      <w:r w:rsidR="00CA0A81" w:rsidRPr="00094C86">
        <w:rPr>
          <w:rFonts w:ascii="Times New Roman" w:hAnsi="Times New Roman" w:cs="Times New Roman"/>
          <w:sz w:val="28"/>
          <w:szCs w:val="28"/>
        </w:rPr>
        <w:t xml:space="preserve">n procesul </w:t>
      </w:r>
      <w:r w:rsidR="003177D4" w:rsidRPr="00094C86">
        <w:rPr>
          <w:rFonts w:ascii="Times New Roman" w:hAnsi="Times New Roman" w:cs="Times New Roman"/>
          <w:sz w:val="28"/>
          <w:szCs w:val="28"/>
        </w:rPr>
        <w:t xml:space="preserve">evaluării. Colectarea datelor pentru Grupul de indicatori 5 va fi efectuată de către prestatori de servicii independenți </w:t>
      </w:r>
      <w:r w:rsidR="00633047" w:rsidRPr="00094C86">
        <w:rPr>
          <w:rFonts w:ascii="Times New Roman" w:hAnsi="Times New Roman" w:cs="Times New Roman"/>
          <w:sz w:val="28"/>
          <w:szCs w:val="28"/>
        </w:rPr>
        <w:t xml:space="preserve">selectați prin intermediul </w:t>
      </w:r>
      <w:r w:rsidR="00CC13CB" w:rsidRPr="00094C86">
        <w:rPr>
          <w:rFonts w:ascii="Times New Roman" w:hAnsi="Times New Roman" w:cs="Times New Roman"/>
          <w:sz w:val="28"/>
          <w:szCs w:val="28"/>
        </w:rPr>
        <w:t>Proiectului de Ameliorare a Competitivităţii II.</w:t>
      </w:r>
    </w:p>
    <w:p w:rsidR="00094C86" w:rsidRPr="00094C86" w:rsidRDefault="00094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4C86" w:rsidRPr="00094C86" w:rsidSect="00094C86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7CA"/>
    <w:multiLevelType w:val="hybridMultilevel"/>
    <w:tmpl w:val="155E3E38"/>
    <w:lvl w:ilvl="0" w:tplc="0419001B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E4132C"/>
    <w:multiLevelType w:val="hybridMultilevel"/>
    <w:tmpl w:val="499C6B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7C0E51"/>
    <w:multiLevelType w:val="hybridMultilevel"/>
    <w:tmpl w:val="155AA644"/>
    <w:lvl w:ilvl="0" w:tplc="BDF288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853EA"/>
    <w:multiLevelType w:val="hybridMultilevel"/>
    <w:tmpl w:val="07CC8592"/>
    <w:lvl w:ilvl="0" w:tplc="256E31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5279DF"/>
    <w:multiLevelType w:val="hybridMultilevel"/>
    <w:tmpl w:val="859650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2791C"/>
    <w:multiLevelType w:val="hybridMultilevel"/>
    <w:tmpl w:val="EF845A0E"/>
    <w:lvl w:ilvl="0" w:tplc="041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B154CB8"/>
    <w:multiLevelType w:val="hybridMultilevel"/>
    <w:tmpl w:val="FB6E6204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3689"/>
    <w:rsid w:val="00075441"/>
    <w:rsid w:val="00082BF0"/>
    <w:rsid w:val="000876AC"/>
    <w:rsid w:val="0009010B"/>
    <w:rsid w:val="00094C86"/>
    <w:rsid w:val="000966C5"/>
    <w:rsid w:val="000C7A21"/>
    <w:rsid w:val="000D5074"/>
    <w:rsid w:val="00113884"/>
    <w:rsid w:val="001142A3"/>
    <w:rsid w:val="00144B50"/>
    <w:rsid w:val="00144D9C"/>
    <w:rsid w:val="00153C69"/>
    <w:rsid w:val="001A0671"/>
    <w:rsid w:val="002174ED"/>
    <w:rsid w:val="00240486"/>
    <w:rsid w:val="00245E45"/>
    <w:rsid w:val="00262B9F"/>
    <w:rsid w:val="002B7D3E"/>
    <w:rsid w:val="002F5E3E"/>
    <w:rsid w:val="00317727"/>
    <w:rsid w:val="003177D4"/>
    <w:rsid w:val="00324875"/>
    <w:rsid w:val="003900B7"/>
    <w:rsid w:val="003A553C"/>
    <w:rsid w:val="003D1B41"/>
    <w:rsid w:val="00431636"/>
    <w:rsid w:val="004456E7"/>
    <w:rsid w:val="004674C2"/>
    <w:rsid w:val="00484264"/>
    <w:rsid w:val="004E71C4"/>
    <w:rsid w:val="004F30B2"/>
    <w:rsid w:val="0051630C"/>
    <w:rsid w:val="005300F8"/>
    <w:rsid w:val="0053439E"/>
    <w:rsid w:val="005B52D9"/>
    <w:rsid w:val="00606B20"/>
    <w:rsid w:val="00612661"/>
    <w:rsid w:val="0062138D"/>
    <w:rsid w:val="00633047"/>
    <w:rsid w:val="00641B33"/>
    <w:rsid w:val="00645945"/>
    <w:rsid w:val="00657521"/>
    <w:rsid w:val="006603AC"/>
    <w:rsid w:val="00696130"/>
    <w:rsid w:val="006E399E"/>
    <w:rsid w:val="006E746B"/>
    <w:rsid w:val="00720234"/>
    <w:rsid w:val="00722A23"/>
    <w:rsid w:val="007534DC"/>
    <w:rsid w:val="00767C9E"/>
    <w:rsid w:val="007B23F4"/>
    <w:rsid w:val="007C28DF"/>
    <w:rsid w:val="007E3F64"/>
    <w:rsid w:val="007F365C"/>
    <w:rsid w:val="007F67A3"/>
    <w:rsid w:val="008221BE"/>
    <w:rsid w:val="00830320"/>
    <w:rsid w:val="0086171A"/>
    <w:rsid w:val="00870CD4"/>
    <w:rsid w:val="008D2721"/>
    <w:rsid w:val="008F68E3"/>
    <w:rsid w:val="00910182"/>
    <w:rsid w:val="00911D47"/>
    <w:rsid w:val="00936819"/>
    <w:rsid w:val="00963CA6"/>
    <w:rsid w:val="009903EF"/>
    <w:rsid w:val="009957DD"/>
    <w:rsid w:val="0099692C"/>
    <w:rsid w:val="009D194B"/>
    <w:rsid w:val="009D3C65"/>
    <w:rsid w:val="00A05E45"/>
    <w:rsid w:val="00A11CBD"/>
    <w:rsid w:val="00A64F64"/>
    <w:rsid w:val="00B04545"/>
    <w:rsid w:val="00B23689"/>
    <w:rsid w:val="00B367E1"/>
    <w:rsid w:val="00B568B6"/>
    <w:rsid w:val="00B90CAA"/>
    <w:rsid w:val="00BB680C"/>
    <w:rsid w:val="00BD1349"/>
    <w:rsid w:val="00C320A0"/>
    <w:rsid w:val="00C7417C"/>
    <w:rsid w:val="00C743CA"/>
    <w:rsid w:val="00CA0A81"/>
    <w:rsid w:val="00CA2D0A"/>
    <w:rsid w:val="00CA7C80"/>
    <w:rsid w:val="00CC13CB"/>
    <w:rsid w:val="00D11C2A"/>
    <w:rsid w:val="00D2681B"/>
    <w:rsid w:val="00D978C3"/>
    <w:rsid w:val="00DA795F"/>
    <w:rsid w:val="00E20D0B"/>
    <w:rsid w:val="00E25C8C"/>
    <w:rsid w:val="00E62E19"/>
    <w:rsid w:val="00E74D64"/>
    <w:rsid w:val="00ED78B8"/>
    <w:rsid w:val="00F20A97"/>
    <w:rsid w:val="00F50A26"/>
    <w:rsid w:val="00F545E0"/>
    <w:rsid w:val="00F61D0B"/>
    <w:rsid w:val="00FA5315"/>
    <w:rsid w:val="00FB495A"/>
    <w:rsid w:val="00FE00EF"/>
    <w:rsid w:val="00FF4160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47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C69"/>
    <w:pPr>
      <w:ind w:left="720"/>
      <w:contextualSpacing/>
    </w:pPr>
    <w:rPr>
      <w:lang w:val="en-US"/>
    </w:rPr>
  </w:style>
  <w:style w:type="character" w:styleId="a4">
    <w:name w:val="annotation reference"/>
    <w:basedOn w:val="a0"/>
    <w:uiPriority w:val="99"/>
    <w:semiHidden/>
    <w:unhideWhenUsed/>
    <w:rsid w:val="0069613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961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96130"/>
    <w:rPr>
      <w:sz w:val="20"/>
      <w:szCs w:val="20"/>
      <w:lang w:val="ro-RO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961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96130"/>
    <w:rPr>
      <w:b/>
      <w:bCs/>
      <w:sz w:val="20"/>
      <w:szCs w:val="20"/>
      <w:lang w:val="ro-RO"/>
    </w:rPr>
  </w:style>
  <w:style w:type="paragraph" w:styleId="a9">
    <w:name w:val="Balloon Text"/>
    <w:basedOn w:val="a"/>
    <w:link w:val="aa"/>
    <w:uiPriority w:val="99"/>
    <w:semiHidden/>
    <w:unhideWhenUsed/>
    <w:rsid w:val="0069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6130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792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Dinu Armasu</dc:creator>
  <cp:lastModifiedBy>Ilias Cezar</cp:lastModifiedBy>
  <cp:revision>10</cp:revision>
  <cp:lastPrinted>2015-11-18T21:13:00Z</cp:lastPrinted>
  <dcterms:created xsi:type="dcterms:W3CDTF">2015-11-10T21:15:00Z</dcterms:created>
  <dcterms:modified xsi:type="dcterms:W3CDTF">2016-03-23T07:26:00Z</dcterms:modified>
</cp:coreProperties>
</file>