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50F" w:rsidRPr="005C558A" w:rsidRDefault="0001450F" w:rsidP="0001450F">
      <w:pPr>
        <w:spacing w:after="120"/>
        <w:jc w:val="center"/>
        <w:rPr>
          <w:b/>
          <w:noProof w:val="0"/>
          <w:sz w:val="32"/>
          <w:szCs w:val="24"/>
        </w:rPr>
      </w:pPr>
      <w:r w:rsidRPr="005C558A">
        <w:rPr>
          <w:b/>
          <w:noProof w:val="0"/>
          <w:sz w:val="32"/>
          <w:szCs w:val="24"/>
        </w:rPr>
        <w:t>NOTĂ  INFORMATIVĂ</w:t>
      </w:r>
    </w:p>
    <w:p w:rsidR="00107A7A" w:rsidRPr="00E80543" w:rsidRDefault="00107A7A" w:rsidP="005C558A">
      <w:pPr>
        <w:spacing w:before="120"/>
        <w:jc w:val="center"/>
        <w:rPr>
          <w:b/>
          <w:noProof w:val="0"/>
          <w:sz w:val="24"/>
          <w:szCs w:val="24"/>
        </w:rPr>
      </w:pPr>
      <w:r w:rsidRPr="00E80543">
        <w:rPr>
          <w:b/>
          <w:noProof w:val="0"/>
          <w:sz w:val="24"/>
          <w:szCs w:val="24"/>
        </w:rPr>
        <w:t>la proiectul Hotărârii Guvernului</w:t>
      </w:r>
    </w:p>
    <w:p w:rsidR="0001450F" w:rsidRPr="00E80543" w:rsidRDefault="00107A7A" w:rsidP="00107A7A">
      <w:pPr>
        <w:spacing w:after="120"/>
        <w:jc w:val="center"/>
        <w:rPr>
          <w:b/>
          <w:noProof w:val="0"/>
          <w:sz w:val="24"/>
          <w:szCs w:val="24"/>
        </w:rPr>
      </w:pPr>
      <w:r w:rsidRPr="00E80543">
        <w:rPr>
          <w:b/>
          <w:noProof w:val="0"/>
          <w:sz w:val="24"/>
          <w:szCs w:val="24"/>
        </w:rPr>
        <w:t>cu privire la aprobarea Planului naţional de acţiuni în domeniul eficienţei energetice pentru anii 2016-2018</w:t>
      </w:r>
    </w:p>
    <w:p w:rsidR="00107A7A" w:rsidRPr="00E80543" w:rsidRDefault="00107A7A" w:rsidP="0001450F">
      <w:pPr>
        <w:spacing w:after="120"/>
        <w:jc w:val="both"/>
        <w:rPr>
          <w:noProof w:val="0"/>
          <w:sz w:val="24"/>
          <w:szCs w:val="24"/>
        </w:rPr>
      </w:pPr>
    </w:p>
    <w:p w:rsidR="00882366" w:rsidRPr="00E80543" w:rsidRDefault="00882366" w:rsidP="0001450F">
      <w:pPr>
        <w:spacing w:after="120"/>
        <w:jc w:val="both"/>
        <w:rPr>
          <w:noProof w:val="0"/>
          <w:sz w:val="24"/>
          <w:szCs w:val="24"/>
        </w:rPr>
      </w:pPr>
    </w:p>
    <w:p w:rsidR="007F3985" w:rsidRPr="00E80543" w:rsidRDefault="00762954" w:rsidP="007F3985">
      <w:pPr>
        <w:spacing w:before="120" w:after="120" w:line="360" w:lineRule="auto"/>
        <w:jc w:val="both"/>
        <w:rPr>
          <w:noProof w:val="0"/>
          <w:sz w:val="24"/>
          <w:szCs w:val="24"/>
        </w:rPr>
      </w:pPr>
      <w:r w:rsidRPr="00E80543">
        <w:rPr>
          <w:bCs/>
          <w:noProof w:val="0"/>
          <w:sz w:val="24"/>
          <w:szCs w:val="24"/>
        </w:rPr>
        <w:t xml:space="preserve">În temeiul prevederilor de la art. 9, 17, 18, 19 ale Legii Nr. 142 din 2 iulie 2010 cu privire la eficienţa energetică (Monitorul Oficial al Republicii Moldova, 2010, nr. 155-158, art. 545) şi de la pct. 3 al Hotărârii Guvernului Nr. 833 din 10 noiembrie 2011 cu privire la Programul Naţional pentru Eficienţă Energetică 2011-2020 (Monitorul Oficial al Republicii Moldova, 2011, nr. 197-202, art. 914), Agenția pentru Eficiență Energetică a elaborat proiectul Planului național de </w:t>
      </w:r>
      <w:r w:rsidR="008C79C6">
        <w:rPr>
          <w:bCs/>
          <w:noProof w:val="0"/>
          <w:sz w:val="24"/>
          <w:szCs w:val="24"/>
        </w:rPr>
        <w:t>a</w:t>
      </w:r>
      <w:r w:rsidRPr="00E80543">
        <w:rPr>
          <w:bCs/>
          <w:noProof w:val="0"/>
          <w:sz w:val="24"/>
          <w:szCs w:val="24"/>
        </w:rPr>
        <w:t>cțiuni în domeniul eficienței energetice pentru anii 2016-2018.</w:t>
      </w:r>
    </w:p>
    <w:p w:rsidR="003A48B1" w:rsidRPr="00E80543" w:rsidRDefault="003A48B1" w:rsidP="007F3985">
      <w:pPr>
        <w:spacing w:before="120" w:after="120" w:line="360" w:lineRule="auto"/>
        <w:jc w:val="both"/>
        <w:rPr>
          <w:noProof w:val="0"/>
          <w:sz w:val="24"/>
          <w:szCs w:val="24"/>
        </w:rPr>
      </w:pPr>
      <w:r w:rsidRPr="00E80543">
        <w:rPr>
          <w:noProof w:val="0"/>
          <w:sz w:val="24"/>
          <w:szCs w:val="24"/>
        </w:rPr>
        <w:t>PNAEE 2016-2018 a fost elaborat în conformitate cu rigorile Legii Nr. 317 din 18.07.2003 privind actele normative ale Guvernului şi ale altor autorităţi ale administraţiei publice centrale şi locale, cât și în corespundere cu șablonul celui de-al III-lea Plan național de acțiuni în domeniul efi</w:t>
      </w:r>
      <w:r w:rsidR="007C6E83" w:rsidRPr="00E80543">
        <w:rPr>
          <w:noProof w:val="0"/>
          <w:sz w:val="24"/>
          <w:szCs w:val="24"/>
        </w:rPr>
        <w:t xml:space="preserve">cienței energetice, elaborat de către Secretariatul Comunității Energetice (ținând cont de aderarea </w:t>
      </w:r>
      <w:r w:rsidR="008C79C6">
        <w:rPr>
          <w:noProof w:val="0"/>
          <w:sz w:val="24"/>
          <w:szCs w:val="24"/>
        </w:rPr>
        <w:t xml:space="preserve">în anul </w:t>
      </w:r>
      <w:r w:rsidR="00180B17">
        <w:rPr>
          <w:noProof w:val="0"/>
          <w:sz w:val="24"/>
          <w:szCs w:val="24"/>
        </w:rPr>
        <w:t>2010</w:t>
      </w:r>
      <w:r w:rsidR="00180B17" w:rsidRPr="00E80543">
        <w:rPr>
          <w:noProof w:val="0"/>
          <w:sz w:val="24"/>
          <w:szCs w:val="24"/>
        </w:rPr>
        <w:t xml:space="preserve"> </w:t>
      </w:r>
      <w:r w:rsidR="007C6E83" w:rsidRPr="00E80543">
        <w:rPr>
          <w:noProof w:val="0"/>
          <w:sz w:val="24"/>
          <w:szCs w:val="24"/>
        </w:rPr>
        <w:t xml:space="preserve">a </w:t>
      </w:r>
      <w:r w:rsidR="006B7552" w:rsidRPr="00E80543">
        <w:rPr>
          <w:noProof w:val="0"/>
          <w:sz w:val="24"/>
          <w:szCs w:val="24"/>
        </w:rPr>
        <w:t xml:space="preserve">Republicii </w:t>
      </w:r>
      <w:r w:rsidR="007C6E83" w:rsidRPr="00E80543">
        <w:rPr>
          <w:noProof w:val="0"/>
          <w:sz w:val="24"/>
          <w:szCs w:val="24"/>
        </w:rPr>
        <w:t>Moldova la</w:t>
      </w:r>
      <w:r w:rsidR="006B7552" w:rsidRPr="00E80543">
        <w:rPr>
          <w:noProof w:val="0"/>
          <w:sz w:val="24"/>
          <w:szCs w:val="24"/>
        </w:rPr>
        <w:t xml:space="preserve"> Tratatul de </w:t>
      </w:r>
      <w:r w:rsidR="008C79C6">
        <w:rPr>
          <w:noProof w:val="0"/>
          <w:sz w:val="24"/>
          <w:szCs w:val="24"/>
        </w:rPr>
        <w:t>con</w:t>
      </w:r>
      <w:r w:rsidR="00B93AD6" w:rsidRPr="00E80543">
        <w:rPr>
          <w:noProof w:val="0"/>
          <w:sz w:val="24"/>
          <w:szCs w:val="24"/>
        </w:rPr>
        <w:t>stituire</w:t>
      </w:r>
      <w:r w:rsidR="006B7552" w:rsidRPr="00E80543">
        <w:rPr>
          <w:noProof w:val="0"/>
          <w:sz w:val="24"/>
          <w:szCs w:val="24"/>
        </w:rPr>
        <w:t xml:space="preserve"> a Comunității Energetice, elaborarea celui de-al doilea PNAEE național coincide cu elaborarea celui de-al treilea Plan în cazul altor state Părți Contractante în cadrul Tratatului, în special, statele balcanice</w:t>
      </w:r>
      <w:r w:rsidR="007C6E83" w:rsidRPr="00E80543">
        <w:rPr>
          <w:noProof w:val="0"/>
          <w:sz w:val="24"/>
          <w:szCs w:val="24"/>
        </w:rPr>
        <w:t>)</w:t>
      </w:r>
      <w:r w:rsidR="006B7552" w:rsidRPr="00E80543">
        <w:rPr>
          <w:noProof w:val="0"/>
          <w:sz w:val="24"/>
          <w:szCs w:val="24"/>
        </w:rPr>
        <w:t>.</w:t>
      </w:r>
      <w:r w:rsidR="007C6E83" w:rsidRPr="00E80543">
        <w:rPr>
          <w:noProof w:val="0"/>
          <w:sz w:val="24"/>
          <w:szCs w:val="24"/>
        </w:rPr>
        <w:t xml:space="preserve"> </w:t>
      </w:r>
      <w:r w:rsidRPr="00E80543">
        <w:rPr>
          <w:noProof w:val="0"/>
          <w:sz w:val="24"/>
          <w:szCs w:val="24"/>
        </w:rPr>
        <w:t xml:space="preserve"> </w:t>
      </w:r>
    </w:p>
    <w:p w:rsidR="00297C61" w:rsidRPr="00E80543" w:rsidRDefault="00297C61" w:rsidP="00297C61">
      <w:pPr>
        <w:spacing w:before="120" w:after="120" w:line="360" w:lineRule="auto"/>
        <w:jc w:val="both"/>
        <w:rPr>
          <w:noProof w:val="0"/>
          <w:sz w:val="24"/>
          <w:szCs w:val="24"/>
        </w:rPr>
      </w:pPr>
      <w:r w:rsidRPr="00E80543">
        <w:rPr>
          <w:noProof w:val="0"/>
          <w:sz w:val="24"/>
          <w:szCs w:val="24"/>
        </w:rPr>
        <w:t>Domeniul eficienței energetice, la nivel european, este vizat de prevederile mai multor directive, precum Directiva 2006/32/CE privind eficiența energetică la utilizatorii finali și serviciile energetice</w:t>
      </w:r>
      <w:r w:rsidR="00B93AD6" w:rsidRPr="00E80543">
        <w:rPr>
          <w:noProof w:val="0"/>
          <w:sz w:val="24"/>
          <w:szCs w:val="24"/>
        </w:rPr>
        <w:t xml:space="preserve"> (abrogată prin Directiva 2012/27, dar care mai păstrează unele obiective pentru Părțile Contractante în cadrul Comunității Energetice)</w:t>
      </w:r>
      <w:r w:rsidRPr="00E80543">
        <w:rPr>
          <w:noProof w:val="0"/>
          <w:sz w:val="24"/>
          <w:szCs w:val="24"/>
        </w:rPr>
        <w:t>,</w:t>
      </w:r>
      <w:r w:rsidR="00B93AD6" w:rsidRPr="00E80543">
        <w:rPr>
          <w:noProof w:val="0"/>
        </w:rPr>
        <w:t xml:space="preserve"> </w:t>
      </w:r>
      <w:r w:rsidR="00B93AD6" w:rsidRPr="00E80543">
        <w:rPr>
          <w:noProof w:val="0"/>
          <w:sz w:val="24"/>
          <w:szCs w:val="24"/>
        </w:rPr>
        <w:t>Directiva 2009/125/CE de instituire a unui cadru pentru stabilirea cerințelor în materie de proiectare ecologică aplicabile produselor cu impact energetic,</w:t>
      </w:r>
      <w:r w:rsidRPr="00E80543">
        <w:rPr>
          <w:noProof w:val="0"/>
          <w:sz w:val="24"/>
          <w:szCs w:val="24"/>
        </w:rPr>
        <w:t xml:space="preserve"> </w:t>
      </w:r>
      <w:r w:rsidR="00B93AD6" w:rsidRPr="00E80543">
        <w:rPr>
          <w:noProof w:val="0"/>
          <w:sz w:val="24"/>
          <w:szCs w:val="24"/>
        </w:rPr>
        <w:t xml:space="preserve">Directiva </w:t>
      </w:r>
      <w:r w:rsidRPr="00E80543">
        <w:rPr>
          <w:noProof w:val="0"/>
          <w:sz w:val="24"/>
          <w:szCs w:val="24"/>
        </w:rPr>
        <w:t xml:space="preserve">2010/30/UE </w:t>
      </w:r>
      <w:r w:rsidR="00B93AD6" w:rsidRPr="00E80543">
        <w:rPr>
          <w:noProof w:val="0"/>
          <w:sz w:val="24"/>
          <w:szCs w:val="24"/>
        </w:rPr>
        <w:t>p</w:t>
      </w:r>
      <w:r w:rsidRPr="00E80543">
        <w:rPr>
          <w:noProof w:val="0"/>
          <w:sz w:val="24"/>
          <w:szCs w:val="24"/>
        </w:rPr>
        <w:t xml:space="preserve">rivind </w:t>
      </w:r>
      <w:r w:rsidR="00B93AD6" w:rsidRPr="00E80543">
        <w:rPr>
          <w:noProof w:val="0"/>
          <w:sz w:val="24"/>
          <w:szCs w:val="24"/>
        </w:rPr>
        <w:t>etichetarea</w:t>
      </w:r>
      <w:r w:rsidRPr="00E80543">
        <w:rPr>
          <w:noProof w:val="0"/>
          <w:sz w:val="24"/>
          <w:szCs w:val="24"/>
        </w:rPr>
        <w:t xml:space="preserve"> produselor cu impact energetic</w:t>
      </w:r>
      <w:r w:rsidR="00B93AD6" w:rsidRPr="00E80543">
        <w:rPr>
          <w:noProof w:val="0"/>
          <w:sz w:val="24"/>
          <w:szCs w:val="24"/>
        </w:rPr>
        <w:t xml:space="preserve">, </w:t>
      </w:r>
      <w:r w:rsidRPr="00E80543">
        <w:rPr>
          <w:noProof w:val="0"/>
          <w:sz w:val="24"/>
          <w:szCs w:val="24"/>
        </w:rPr>
        <w:t>Directiva 2010/31/UE privind performanța energetică a clădirilor, Directiva 2012/27/UE privind eficiența energetică</w:t>
      </w:r>
      <w:r w:rsidR="00B93AD6" w:rsidRPr="00E80543">
        <w:rPr>
          <w:noProof w:val="0"/>
          <w:sz w:val="24"/>
          <w:szCs w:val="24"/>
        </w:rPr>
        <w:t xml:space="preserve">. Angajamentul statului Republica Moldova, în calitate de Parte Contractantă în cadrul Tratatului de </w:t>
      </w:r>
      <w:r w:rsidR="008C79C6">
        <w:rPr>
          <w:noProof w:val="0"/>
          <w:sz w:val="24"/>
          <w:szCs w:val="24"/>
        </w:rPr>
        <w:t>con</w:t>
      </w:r>
      <w:r w:rsidR="00B93AD6" w:rsidRPr="00E80543">
        <w:rPr>
          <w:noProof w:val="0"/>
          <w:sz w:val="24"/>
          <w:szCs w:val="24"/>
        </w:rPr>
        <w:t>stituire a Comunității Energetice, presupune transpunerea acestor acte de politici, prin onorarea acestor angajamente și întreprinderea tuturor acțiunilor necesare întru realizarea obiectivelor</w:t>
      </w:r>
      <w:r w:rsidR="007C6ECB" w:rsidRPr="00E80543">
        <w:rPr>
          <w:noProof w:val="0"/>
          <w:sz w:val="24"/>
          <w:szCs w:val="24"/>
        </w:rPr>
        <w:t xml:space="preserve"> stabilite.</w:t>
      </w:r>
    </w:p>
    <w:p w:rsidR="007F3985" w:rsidRPr="00E80543" w:rsidRDefault="007C6ECB" w:rsidP="007F3985">
      <w:pPr>
        <w:spacing w:before="120" w:after="120" w:line="360" w:lineRule="auto"/>
        <w:jc w:val="both"/>
        <w:rPr>
          <w:noProof w:val="0"/>
          <w:sz w:val="24"/>
          <w:szCs w:val="24"/>
        </w:rPr>
      </w:pPr>
      <w:r w:rsidRPr="00E80543">
        <w:rPr>
          <w:noProof w:val="0"/>
          <w:sz w:val="24"/>
          <w:szCs w:val="24"/>
        </w:rPr>
        <w:t>Astfel, b</w:t>
      </w:r>
      <w:r w:rsidR="007F3985" w:rsidRPr="00E80543">
        <w:rPr>
          <w:noProof w:val="0"/>
          <w:sz w:val="24"/>
          <w:szCs w:val="24"/>
        </w:rPr>
        <w:t xml:space="preserve">eneficiind de asistență tehnică în implementarea acestei activități, în cadrul proiectului  </w:t>
      </w:r>
      <w:r w:rsidR="006129C9" w:rsidRPr="00E80543">
        <w:rPr>
          <w:noProof w:val="0"/>
          <w:sz w:val="24"/>
          <w:szCs w:val="24"/>
        </w:rPr>
        <w:t>„Consolidarea capacităților</w:t>
      </w:r>
      <w:r w:rsidR="007F3985" w:rsidRPr="00E80543">
        <w:rPr>
          <w:noProof w:val="0"/>
          <w:sz w:val="24"/>
          <w:szCs w:val="24"/>
        </w:rPr>
        <w:t xml:space="preserve"> de gestionare durabilă a energiei”, oferit</w:t>
      </w:r>
      <w:r w:rsidR="00297C61" w:rsidRPr="00E80543">
        <w:rPr>
          <w:noProof w:val="0"/>
          <w:sz w:val="24"/>
          <w:szCs w:val="24"/>
        </w:rPr>
        <w:t>ă</w:t>
      </w:r>
      <w:r w:rsidR="007F3985" w:rsidRPr="00E80543">
        <w:rPr>
          <w:noProof w:val="0"/>
          <w:sz w:val="24"/>
          <w:szCs w:val="24"/>
        </w:rPr>
        <w:t xml:space="preserve"> de grupul AF Mercados cu finanțare din partea SIDA, Agenția pentru Eficiență Energetică și-a propus efectuarea unei analize ample, atât a documentelor naționale care stabilesc ținte în domeniul EE, cât și a </w:t>
      </w:r>
      <w:r w:rsidR="007F3985" w:rsidRPr="00E80543">
        <w:rPr>
          <w:noProof w:val="0"/>
          <w:sz w:val="24"/>
          <w:szCs w:val="24"/>
        </w:rPr>
        <w:lastRenderedPageBreak/>
        <w:t>angajamentelor internaționale, în special cele care reies din calitatea Republicii Moldova de Parte Contractantă în cadrul Comunității Energetice /CEn/.</w:t>
      </w:r>
      <w:r w:rsidR="00297C61" w:rsidRPr="00E80543">
        <w:rPr>
          <w:noProof w:val="0"/>
          <w:sz w:val="24"/>
          <w:szCs w:val="24"/>
        </w:rPr>
        <w:t xml:space="preserve"> </w:t>
      </w:r>
    </w:p>
    <w:p w:rsidR="007F3985" w:rsidRPr="00E80543" w:rsidRDefault="007F3985" w:rsidP="007F3985">
      <w:pPr>
        <w:spacing w:before="120" w:after="120" w:line="360" w:lineRule="auto"/>
        <w:jc w:val="both"/>
        <w:rPr>
          <w:noProof w:val="0"/>
          <w:sz w:val="24"/>
          <w:szCs w:val="24"/>
        </w:rPr>
      </w:pPr>
      <w:r w:rsidRPr="00E80543">
        <w:rPr>
          <w:noProof w:val="0"/>
          <w:sz w:val="24"/>
          <w:szCs w:val="24"/>
        </w:rPr>
        <w:t>Exercițiul respectiv a permis identificarea faptului că statul Republica Moldova, are stabilite ca și obiective pentru domeniul eficienței energetice, pentru orizontul de timp 2020, ținte care depășesc, pe alocuri, angajamentele și obligațiunile unor state membre UE. De precizat că, statele comunitare, având obligația transpunerii Directivei 27/2012 cu privire la eficiența energetică, s-</w:t>
      </w:r>
      <w:r w:rsidR="006129C9" w:rsidRPr="00E80543">
        <w:rPr>
          <w:noProof w:val="0"/>
          <w:sz w:val="24"/>
          <w:szCs w:val="24"/>
        </w:rPr>
        <w:t>au obligat să obțină către 2020 la nivelul UE</w:t>
      </w:r>
      <w:r w:rsidRPr="00E80543">
        <w:rPr>
          <w:noProof w:val="0"/>
          <w:sz w:val="24"/>
          <w:szCs w:val="24"/>
        </w:rPr>
        <w:t>, o reducere a consumului de energie primară de 20% de la scenariul de referință, sau menținerea consumului de energie finală sub o anumită valoare absolută (1078 Mtep conform Directivei precizate mai sus).</w:t>
      </w:r>
    </w:p>
    <w:p w:rsidR="007F3985" w:rsidRPr="00E80543" w:rsidRDefault="007F3985" w:rsidP="007F3985">
      <w:pPr>
        <w:spacing w:before="120" w:after="120" w:line="360" w:lineRule="auto"/>
        <w:jc w:val="both"/>
        <w:rPr>
          <w:noProof w:val="0"/>
          <w:sz w:val="24"/>
          <w:szCs w:val="24"/>
        </w:rPr>
      </w:pPr>
      <w:r w:rsidRPr="00E80543">
        <w:rPr>
          <w:noProof w:val="0"/>
          <w:sz w:val="24"/>
          <w:szCs w:val="24"/>
        </w:rPr>
        <w:t>În cazul statelor din Comunitatea Energetică</w:t>
      </w:r>
      <w:r w:rsidR="006129C9" w:rsidRPr="00E80543">
        <w:rPr>
          <w:noProof w:val="0"/>
          <w:sz w:val="24"/>
          <w:szCs w:val="24"/>
        </w:rPr>
        <w:t xml:space="preserve"> /CEn/</w:t>
      </w:r>
      <w:r w:rsidRPr="00E80543">
        <w:rPr>
          <w:noProof w:val="0"/>
          <w:sz w:val="24"/>
          <w:szCs w:val="24"/>
        </w:rPr>
        <w:t xml:space="preserve">, conform deciziei Consiliului Ministerial al CEn din 16 Octombrie 2015, Părțile Contractante au obligația transpunerii Directivei </w:t>
      </w:r>
      <w:r w:rsidR="008D302D" w:rsidRPr="00E80543">
        <w:rPr>
          <w:noProof w:val="0"/>
          <w:sz w:val="24"/>
          <w:szCs w:val="24"/>
        </w:rPr>
        <w:t>în cauză</w:t>
      </w:r>
      <w:r w:rsidRPr="00E80543">
        <w:rPr>
          <w:noProof w:val="0"/>
          <w:sz w:val="24"/>
          <w:szCs w:val="24"/>
        </w:rPr>
        <w:t xml:space="preserve"> către data de 15 Octombrie 2017. Unele modificări negociate și acceptate la textul Directivei noi, stabilesc că angajamentele Părților Contractante ce reies din Directiva 32/2006 - și anume realizarea obiectivului indicativ național privind economiile de energie finală de 9% pentru al nouălea an de aplicare a Directivei, rămâne în vigoare. În cazul Republicii Moldova, ținând cont de anul aderării acesteia la CEn, sfârșitul perioadei de 9 ani precizată de </w:t>
      </w:r>
      <w:r w:rsidR="006129C9" w:rsidRPr="00E80543">
        <w:rPr>
          <w:noProof w:val="0"/>
          <w:sz w:val="24"/>
          <w:szCs w:val="24"/>
        </w:rPr>
        <w:br/>
      </w:r>
      <w:r w:rsidRPr="00E80543">
        <w:rPr>
          <w:noProof w:val="0"/>
          <w:sz w:val="24"/>
          <w:szCs w:val="24"/>
        </w:rPr>
        <w:t xml:space="preserve">Directiva 32/2006, coincide cu </w:t>
      </w:r>
      <w:r w:rsidR="006129C9" w:rsidRPr="00E80543">
        <w:rPr>
          <w:noProof w:val="0"/>
          <w:sz w:val="24"/>
          <w:szCs w:val="24"/>
        </w:rPr>
        <w:t>anul 2019, iar cuantificarea rezultatelor obținute în această perioadă se va asigura în 2020.</w:t>
      </w:r>
      <w:r w:rsidRPr="00E80543">
        <w:rPr>
          <w:noProof w:val="0"/>
          <w:sz w:val="24"/>
          <w:szCs w:val="24"/>
        </w:rPr>
        <w:t xml:space="preserve"> De </w:t>
      </w:r>
      <w:r w:rsidR="006129C9" w:rsidRPr="00E80543">
        <w:rPr>
          <w:noProof w:val="0"/>
          <w:sz w:val="24"/>
          <w:szCs w:val="24"/>
        </w:rPr>
        <w:t>menționat</w:t>
      </w:r>
      <w:r w:rsidRPr="00E80543">
        <w:rPr>
          <w:noProof w:val="0"/>
          <w:sz w:val="24"/>
          <w:szCs w:val="24"/>
        </w:rPr>
        <w:t xml:space="preserve"> însă că unele obligații de eficientizare a consumului de resurse ce reies din Directiva 27/2012, vor fi puse în aplicare începând cu anul 2017, astfel încât ultimii ani din deceniul respectiv să fie însoțiți de un mix de obligații.</w:t>
      </w:r>
    </w:p>
    <w:p w:rsidR="007F3985" w:rsidRPr="00E80543" w:rsidRDefault="007F3985" w:rsidP="007F3985">
      <w:pPr>
        <w:spacing w:before="120" w:line="360" w:lineRule="auto"/>
        <w:jc w:val="both"/>
        <w:rPr>
          <w:noProof w:val="0"/>
          <w:sz w:val="24"/>
          <w:szCs w:val="24"/>
        </w:rPr>
      </w:pPr>
      <w:r w:rsidRPr="00E80543">
        <w:rPr>
          <w:noProof w:val="0"/>
          <w:sz w:val="24"/>
          <w:szCs w:val="24"/>
        </w:rPr>
        <w:t>Prin urmare, din cele descrise mai sus realizăm următoarele:</w:t>
      </w:r>
    </w:p>
    <w:p w:rsidR="007F3985" w:rsidRPr="00E80543" w:rsidRDefault="007F3985" w:rsidP="007F3985">
      <w:pPr>
        <w:pStyle w:val="ListParagraph"/>
        <w:widowControl w:val="0"/>
        <w:numPr>
          <w:ilvl w:val="0"/>
          <w:numId w:val="2"/>
        </w:numPr>
        <w:spacing w:line="276" w:lineRule="auto"/>
        <w:ind w:left="714" w:hanging="357"/>
        <w:contextualSpacing w:val="0"/>
        <w:jc w:val="both"/>
        <w:rPr>
          <w:noProof w:val="0"/>
          <w:sz w:val="24"/>
          <w:szCs w:val="24"/>
        </w:rPr>
      </w:pPr>
      <w:r w:rsidRPr="00E80543">
        <w:rPr>
          <w:noProof w:val="0"/>
          <w:sz w:val="24"/>
          <w:szCs w:val="24"/>
        </w:rPr>
        <w:t>cadrul legal existent stabilește ținte în materie de eficiență energetică dure și foarte ambițioase, echivalente statelor membre UE;</w:t>
      </w:r>
    </w:p>
    <w:p w:rsidR="007F3985" w:rsidRPr="00E80543" w:rsidRDefault="007F3985" w:rsidP="007F3985">
      <w:pPr>
        <w:pStyle w:val="ListParagraph"/>
        <w:widowControl w:val="0"/>
        <w:numPr>
          <w:ilvl w:val="0"/>
          <w:numId w:val="2"/>
        </w:numPr>
        <w:spacing w:line="276" w:lineRule="auto"/>
        <w:jc w:val="both"/>
        <w:rPr>
          <w:noProof w:val="0"/>
          <w:sz w:val="24"/>
          <w:szCs w:val="24"/>
        </w:rPr>
      </w:pPr>
      <w:r w:rsidRPr="00E80543">
        <w:rPr>
          <w:noProof w:val="0"/>
          <w:sz w:val="24"/>
          <w:szCs w:val="24"/>
        </w:rPr>
        <w:t xml:space="preserve">cadrul juridic consolidat al Comunității Energetice, stabilește ținte mult mai </w:t>
      </w:r>
      <w:r w:rsidR="006129C9" w:rsidRPr="00E80543">
        <w:rPr>
          <w:noProof w:val="0"/>
          <w:sz w:val="24"/>
          <w:szCs w:val="24"/>
        </w:rPr>
        <w:t>lejere și, totodată, realizabile, oferind</w:t>
      </w:r>
      <w:r w:rsidRPr="00E80543">
        <w:rPr>
          <w:noProof w:val="0"/>
          <w:sz w:val="24"/>
          <w:szCs w:val="24"/>
        </w:rPr>
        <w:t xml:space="preserve"> în acest sens, o mai mare flexibilitate Părților Contractante</w:t>
      </w:r>
      <w:r w:rsidR="006129C9" w:rsidRPr="00E80543">
        <w:rPr>
          <w:noProof w:val="0"/>
          <w:sz w:val="24"/>
          <w:szCs w:val="24"/>
        </w:rPr>
        <w:t>. Atingerea acestor obiective ar fi însoțită de un efort financiar mult mai mic.</w:t>
      </w:r>
      <w:r w:rsidRPr="00E80543">
        <w:rPr>
          <w:noProof w:val="0"/>
          <w:sz w:val="24"/>
          <w:szCs w:val="24"/>
        </w:rPr>
        <w:t xml:space="preserve"> </w:t>
      </w:r>
    </w:p>
    <w:p w:rsidR="007F3985" w:rsidRPr="00E80543" w:rsidRDefault="007F3985" w:rsidP="007F3985">
      <w:pPr>
        <w:spacing w:before="120" w:after="120" w:line="360" w:lineRule="auto"/>
        <w:jc w:val="both"/>
        <w:rPr>
          <w:noProof w:val="0"/>
          <w:sz w:val="24"/>
          <w:szCs w:val="24"/>
        </w:rPr>
      </w:pPr>
      <w:r w:rsidRPr="00E80543">
        <w:rPr>
          <w:noProof w:val="0"/>
          <w:sz w:val="24"/>
          <w:szCs w:val="24"/>
        </w:rPr>
        <w:t xml:space="preserve">O apreciere a țintelor naționale în domeniul </w:t>
      </w:r>
      <w:r w:rsidR="006129C9" w:rsidRPr="00E80543">
        <w:rPr>
          <w:noProof w:val="0"/>
          <w:sz w:val="24"/>
          <w:szCs w:val="24"/>
        </w:rPr>
        <w:t>eficienței energetice</w:t>
      </w:r>
      <w:r w:rsidRPr="00E80543">
        <w:rPr>
          <w:noProof w:val="0"/>
          <w:sz w:val="24"/>
          <w:szCs w:val="24"/>
        </w:rPr>
        <w:t>, Secretariatul Comunității Energetice a dat-o printr-un Raport</w:t>
      </w:r>
      <w:r w:rsidRPr="00E80543">
        <w:rPr>
          <w:rStyle w:val="FootnoteReference"/>
          <w:noProof w:val="0"/>
          <w:sz w:val="24"/>
          <w:szCs w:val="24"/>
        </w:rPr>
        <w:footnoteReference w:id="1"/>
      </w:r>
      <w:r w:rsidRPr="00E80543">
        <w:rPr>
          <w:noProof w:val="0"/>
          <w:sz w:val="24"/>
          <w:szCs w:val="24"/>
        </w:rPr>
        <w:t xml:space="preserve"> de evaluare a planurilor de acțiuni elaborate de către Părțile Contractante, în care a catalogat economiile țintă stabilite de Republica Moldova drept mult prea ambițioase. Analizând, în comparație, țintele naționale și cele stabilite de către ceilalți 7 </w:t>
      </w:r>
      <w:r w:rsidR="00FC5F84" w:rsidRPr="00E80543">
        <w:rPr>
          <w:noProof w:val="0"/>
          <w:sz w:val="24"/>
          <w:szCs w:val="24"/>
        </w:rPr>
        <w:t xml:space="preserve">membri </w:t>
      </w:r>
      <w:r w:rsidRPr="00E80543">
        <w:rPr>
          <w:noProof w:val="0"/>
          <w:sz w:val="24"/>
          <w:szCs w:val="24"/>
        </w:rPr>
        <w:t>din cadrul CEn, concludem asupra diferenței mari, atât în abordări, cât și în valorile stabilite ca și obiective. Analiza respectivă este prezentată în tabelul de mai jos.</w:t>
      </w:r>
    </w:p>
    <w:p w:rsidR="00882366" w:rsidRPr="00E80543" w:rsidRDefault="00882366" w:rsidP="007F3985">
      <w:pPr>
        <w:spacing w:before="120" w:after="120" w:line="360" w:lineRule="auto"/>
        <w:jc w:val="both"/>
        <w:rPr>
          <w:noProof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462"/>
        <w:gridCol w:w="1362"/>
        <w:gridCol w:w="1339"/>
        <w:gridCol w:w="1484"/>
        <w:gridCol w:w="2436"/>
      </w:tblGrid>
      <w:tr w:rsidR="007F3985" w:rsidRPr="00E80543" w:rsidTr="00882366">
        <w:tc>
          <w:tcPr>
            <w:tcW w:w="1488" w:type="dxa"/>
            <w:vMerge w:val="restart"/>
            <w:tcBorders>
              <w:bottom w:val="single"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lastRenderedPageBreak/>
              <w:t>Partea Contractantă în cadrul CEn</w:t>
            </w:r>
          </w:p>
        </w:tc>
        <w:tc>
          <w:tcPr>
            <w:tcW w:w="2824" w:type="dxa"/>
            <w:gridSpan w:val="2"/>
            <w:tcBorders>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obiectiv de economii de energie finală pt anul III de implementare al Directivei 32/2006</w:t>
            </w:r>
          </w:p>
          <w:p w:rsidR="007F3985" w:rsidRPr="00180B17" w:rsidRDefault="007F3985" w:rsidP="007C6E83">
            <w:pPr>
              <w:jc w:val="center"/>
              <w:rPr>
                <w:noProof w:val="0"/>
                <w:sz w:val="18"/>
                <w:szCs w:val="24"/>
              </w:rPr>
            </w:pPr>
            <w:r w:rsidRPr="00180B17">
              <w:rPr>
                <w:noProof w:val="0"/>
                <w:sz w:val="18"/>
                <w:szCs w:val="24"/>
              </w:rPr>
              <w:t>- anul 2012 pt Părțile Contractante</w:t>
            </w:r>
          </w:p>
        </w:tc>
        <w:tc>
          <w:tcPr>
            <w:tcW w:w="2823" w:type="dxa"/>
            <w:gridSpan w:val="2"/>
            <w:tcBorders>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b/>
                <w:noProof w:val="0"/>
                <w:sz w:val="18"/>
                <w:szCs w:val="24"/>
                <w:u w:val="single"/>
              </w:rPr>
              <w:t>2018</w:t>
            </w:r>
            <w:r w:rsidRPr="00180B17">
              <w:rPr>
                <w:noProof w:val="0"/>
                <w:sz w:val="18"/>
                <w:szCs w:val="24"/>
              </w:rPr>
              <w:t xml:space="preserve"> obiectivul general privind economiile de energie finală</w:t>
            </w:r>
          </w:p>
        </w:tc>
        <w:tc>
          <w:tcPr>
            <w:tcW w:w="2436" w:type="dxa"/>
            <w:vMerge w:val="restart"/>
            <w:tcBorders>
              <w:lef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 xml:space="preserve">consumul mediu anual, </w:t>
            </w:r>
          </w:p>
          <w:p w:rsidR="007F3985" w:rsidRPr="00180B17" w:rsidRDefault="007F3985" w:rsidP="007C6E83">
            <w:pPr>
              <w:jc w:val="center"/>
              <w:rPr>
                <w:noProof w:val="0"/>
                <w:sz w:val="18"/>
                <w:szCs w:val="24"/>
              </w:rPr>
            </w:pPr>
            <w:r w:rsidRPr="00180B17">
              <w:rPr>
                <w:noProof w:val="0"/>
                <w:sz w:val="18"/>
                <w:szCs w:val="24"/>
              </w:rPr>
              <w:t>ktep (perioada de referință)</w:t>
            </w:r>
          </w:p>
        </w:tc>
      </w:tr>
      <w:tr w:rsidR="007F3985" w:rsidRPr="00E80543" w:rsidTr="00882366">
        <w:tc>
          <w:tcPr>
            <w:tcW w:w="1488" w:type="dxa"/>
            <w:vMerge/>
            <w:tcBorders>
              <w:bottom w:val="single" w:sz="12" w:space="0" w:color="auto"/>
              <w:right w:val="dotted" w:sz="4" w:space="0" w:color="auto"/>
            </w:tcBorders>
            <w:vAlign w:val="center"/>
          </w:tcPr>
          <w:p w:rsidR="007F3985" w:rsidRPr="00180B17" w:rsidRDefault="007F3985" w:rsidP="007C6E83">
            <w:pPr>
              <w:jc w:val="center"/>
              <w:rPr>
                <w:noProof w:val="0"/>
                <w:sz w:val="18"/>
                <w:szCs w:val="24"/>
              </w:rPr>
            </w:pPr>
          </w:p>
        </w:tc>
        <w:tc>
          <w:tcPr>
            <w:tcW w:w="1462" w:type="dxa"/>
            <w:tcBorders>
              <w:top w:val="dotted" w:sz="4" w:space="0" w:color="auto"/>
              <w:left w:val="dotted" w:sz="4" w:space="0" w:color="auto"/>
              <w:bottom w:val="single" w:sz="12" w:space="0" w:color="auto"/>
            </w:tcBorders>
            <w:vAlign w:val="center"/>
          </w:tcPr>
          <w:p w:rsidR="007F3985" w:rsidRPr="00180B17" w:rsidRDefault="007F3985" w:rsidP="007C6E83">
            <w:pPr>
              <w:jc w:val="center"/>
              <w:rPr>
                <w:noProof w:val="0"/>
                <w:sz w:val="18"/>
                <w:szCs w:val="24"/>
              </w:rPr>
            </w:pPr>
            <w:r w:rsidRPr="00180B17">
              <w:rPr>
                <w:noProof w:val="0"/>
                <w:sz w:val="18"/>
                <w:szCs w:val="24"/>
              </w:rPr>
              <w:t>ktep</w:t>
            </w:r>
          </w:p>
        </w:tc>
        <w:tc>
          <w:tcPr>
            <w:tcW w:w="1362" w:type="dxa"/>
            <w:tcBorders>
              <w:top w:val="dotted" w:sz="4" w:space="0" w:color="auto"/>
              <w:bottom w:val="single" w:sz="12"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%-țintă față de consumul de referință</w:t>
            </w:r>
          </w:p>
        </w:tc>
        <w:tc>
          <w:tcPr>
            <w:tcW w:w="1339" w:type="dxa"/>
            <w:tcBorders>
              <w:top w:val="dotted" w:sz="4" w:space="0" w:color="auto"/>
              <w:left w:val="dotted" w:sz="4" w:space="0" w:color="auto"/>
              <w:bottom w:val="single" w:sz="12" w:space="0" w:color="auto"/>
            </w:tcBorders>
            <w:vAlign w:val="center"/>
          </w:tcPr>
          <w:p w:rsidR="007F3985" w:rsidRPr="00180B17" w:rsidRDefault="007F3985" w:rsidP="007C6E83">
            <w:pPr>
              <w:jc w:val="center"/>
              <w:rPr>
                <w:noProof w:val="0"/>
                <w:sz w:val="18"/>
                <w:szCs w:val="24"/>
              </w:rPr>
            </w:pPr>
            <w:r w:rsidRPr="00180B17">
              <w:rPr>
                <w:noProof w:val="0"/>
                <w:sz w:val="18"/>
                <w:szCs w:val="24"/>
              </w:rPr>
              <w:t>ktep</w:t>
            </w:r>
          </w:p>
        </w:tc>
        <w:tc>
          <w:tcPr>
            <w:tcW w:w="1484" w:type="dxa"/>
            <w:tcBorders>
              <w:top w:val="dotted" w:sz="4" w:space="0" w:color="auto"/>
              <w:bottom w:val="single" w:sz="12"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%-țintă față de consumul de referință</w:t>
            </w:r>
          </w:p>
        </w:tc>
        <w:tc>
          <w:tcPr>
            <w:tcW w:w="2436" w:type="dxa"/>
            <w:vMerge/>
            <w:tcBorders>
              <w:left w:val="dotted" w:sz="4" w:space="0" w:color="auto"/>
              <w:bottom w:val="single" w:sz="12" w:space="0" w:color="auto"/>
            </w:tcBorders>
            <w:vAlign w:val="center"/>
          </w:tcPr>
          <w:p w:rsidR="007F3985" w:rsidRPr="00180B17" w:rsidRDefault="007F3985" w:rsidP="007C6E83">
            <w:pPr>
              <w:jc w:val="center"/>
              <w:rPr>
                <w:noProof w:val="0"/>
                <w:sz w:val="18"/>
                <w:szCs w:val="24"/>
              </w:rPr>
            </w:pPr>
          </w:p>
        </w:tc>
      </w:tr>
      <w:tr w:rsidR="007F3985" w:rsidRPr="00E80543" w:rsidTr="00882366">
        <w:tc>
          <w:tcPr>
            <w:tcW w:w="1488" w:type="dxa"/>
            <w:tcBorders>
              <w:top w:val="single" w:sz="12" w:space="0" w:color="auto"/>
              <w:bottom w:val="dotted" w:sz="4" w:space="0" w:color="auto"/>
              <w:right w:val="dotted" w:sz="4" w:space="0" w:color="auto"/>
            </w:tcBorders>
            <w:vAlign w:val="center"/>
          </w:tcPr>
          <w:p w:rsidR="007F3985" w:rsidRPr="00180B17" w:rsidRDefault="007F3985" w:rsidP="007C6E83">
            <w:pPr>
              <w:rPr>
                <w:noProof w:val="0"/>
                <w:sz w:val="18"/>
                <w:szCs w:val="24"/>
              </w:rPr>
            </w:pPr>
            <w:r w:rsidRPr="00180B17">
              <w:rPr>
                <w:noProof w:val="0"/>
                <w:sz w:val="18"/>
                <w:szCs w:val="24"/>
              </w:rPr>
              <w:t>Albania</w:t>
            </w:r>
          </w:p>
        </w:tc>
        <w:tc>
          <w:tcPr>
            <w:tcW w:w="1462" w:type="dxa"/>
            <w:tcBorders>
              <w:top w:val="single" w:sz="12"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27</w:t>
            </w:r>
          </w:p>
        </w:tc>
        <w:tc>
          <w:tcPr>
            <w:tcW w:w="1362" w:type="dxa"/>
            <w:tcBorders>
              <w:top w:val="single" w:sz="12"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1.5%</w:t>
            </w:r>
          </w:p>
        </w:tc>
        <w:tc>
          <w:tcPr>
            <w:tcW w:w="1339" w:type="dxa"/>
            <w:tcBorders>
              <w:top w:val="single" w:sz="12"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168</w:t>
            </w:r>
          </w:p>
        </w:tc>
        <w:tc>
          <w:tcPr>
            <w:tcW w:w="1484" w:type="dxa"/>
            <w:tcBorders>
              <w:top w:val="single" w:sz="12"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9%</w:t>
            </w:r>
          </w:p>
        </w:tc>
        <w:tc>
          <w:tcPr>
            <w:tcW w:w="2436" w:type="dxa"/>
            <w:tcBorders>
              <w:top w:val="single" w:sz="12" w:space="0" w:color="auto"/>
              <w:left w:val="dotted" w:sz="4" w:space="0" w:color="auto"/>
              <w:bottom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 xml:space="preserve">1,869 </w:t>
            </w:r>
            <w:r w:rsidRPr="00180B17">
              <w:rPr>
                <w:noProof w:val="0"/>
                <w:sz w:val="18"/>
                <w:szCs w:val="24"/>
              </w:rPr>
              <w:br/>
              <w:t>(2004-2008)</w:t>
            </w:r>
          </w:p>
        </w:tc>
      </w:tr>
      <w:tr w:rsidR="007F3985" w:rsidRPr="00E80543" w:rsidTr="00882366">
        <w:tc>
          <w:tcPr>
            <w:tcW w:w="1488" w:type="dxa"/>
            <w:tcBorders>
              <w:top w:val="dotted" w:sz="4" w:space="0" w:color="auto"/>
              <w:bottom w:val="dotted" w:sz="4" w:space="0" w:color="auto"/>
              <w:right w:val="dotted" w:sz="4" w:space="0" w:color="auto"/>
            </w:tcBorders>
            <w:vAlign w:val="center"/>
          </w:tcPr>
          <w:p w:rsidR="007F3985" w:rsidRPr="00180B17" w:rsidRDefault="007F3985" w:rsidP="007C6E83">
            <w:pPr>
              <w:rPr>
                <w:noProof w:val="0"/>
                <w:sz w:val="18"/>
                <w:szCs w:val="24"/>
              </w:rPr>
            </w:pPr>
            <w:r w:rsidRPr="00180B17">
              <w:rPr>
                <w:noProof w:val="0"/>
                <w:sz w:val="18"/>
                <w:szCs w:val="24"/>
              </w:rPr>
              <w:t>Bosnia și Herzegovina</w:t>
            </w:r>
          </w:p>
        </w:tc>
        <w:tc>
          <w:tcPr>
            <w:tcW w:w="1462"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16</w:t>
            </w:r>
          </w:p>
        </w:tc>
        <w:tc>
          <w:tcPr>
            <w:tcW w:w="1362"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0.5%</w:t>
            </w:r>
          </w:p>
        </w:tc>
        <w:tc>
          <w:tcPr>
            <w:tcW w:w="1339"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287</w:t>
            </w:r>
          </w:p>
        </w:tc>
        <w:tc>
          <w:tcPr>
            <w:tcW w:w="1484"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9%</w:t>
            </w:r>
          </w:p>
        </w:tc>
        <w:tc>
          <w:tcPr>
            <w:tcW w:w="2436" w:type="dxa"/>
            <w:tcBorders>
              <w:top w:val="dotted" w:sz="4" w:space="0" w:color="auto"/>
              <w:left w:val="dotted" w:sz="4" w:space="0" w:color="auto"/>
              <w:bottom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 xml:space="preserve">1,000 </w:t>
            </w:r>
            <w:r w:rsidRPr="00180B17">
              <w:rPr>
                <w:noProof w:val="0"/>
                <w:sz w:val="18"/>
                <w:szCs w:val="24"/>
              </w:rPr>
              <w:br/>
              <w:t>(2006-2010)</w:t>
            </w:r>
          </w:p>
        </w:tc>
      </w:tr>
      <w:tr w:rsidR="007F3985" w:rsidRPr="00E80543" w:rsidTr="00882366">
        <w:tc>
          <w:tcPr>
            <w:tcW w:w="1488" w:type="dxa"/>
            <w:tcBorders>
              <w:top w:val="dotted" w:sz="4" w:space="0" w:color="auto"/>
              <w:bottom w:val="dotted" w:sz="4" w:space="0" w:color="auto"/>
              <w:right w:val="dotted" w:sz="4" w:space="0" w:color="auto"/>
            </w:tcBorders>
            <w:vAlign w:val="center"/>
          </w:tcPr>
          <w:p w:rsidR="007F3985" w:rsidRPr="00180B17" w:rsidRDefault="007F3985" w:rsidP="007C6E83">
            <w:pPr>
              <w:rPr>
                <w:noProof w:val="0"/>
                <w:sz w:val="18"/>
                <w:szCs w:val="24"/>
              </w:rPr>
            </w:pPr>
            <w:r w:rsidRPr="00180B17">
              <w:rPr>
                <w:noProof w:val="0"/>
                <w:sz w:val="18"/>
                <w:szCs w:val="24"/>
              </w:rPr>
              <w:t>Macedonia</w:t>
            </w:r>
          </w:p>
        </w:tc>
        <w:tc>
          <w:tcPr>
            <w:tcW w:w="1462"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66</w:t>
            </w:r>
          </w:p>
        </w:tc>
        <w:tc>
          <w:tcPr>
            <w:tcW w:w="1362"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4%</w:t>
            </w:r>
          </w:p>
        </w:tc>
        <w:tc>
          <w:tcPr>
            <w:tcW w:w="1339"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151</w:t>
            </w:r>
          </w:p>
        </w:tc>
        <w:tc>
          <w:tcPr>
            <w:tcW w:w="1484"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9%</w:t>
            </w:r>
          </w:p>
        </w:tc>
        <w:tc>
          <w:tcPr>
            <w:tcW w:w="2436" w:type="dxa"/>
            <w:tcBorders>
              <w:top w:val="dotted" w:sz="4" w:space="0" w:color="auto"/>
              <w:left w:val="dotted" w:sz="4" w:space="0" w:color="auto"/>
              <w:bottom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 xml:space="preserve">1,636 </w:t>
            </w:r>
            <w:r w:rsidRPr="00180B17">
              <w:rPr>
                <w:noProof w:val="0"/>
                <w:sz w:val="18"/>
                <w:szCs w:val="24"/>
              </w:rPr>
              <w:br/>
              <w:t>(2002-2006)</w:t>
            </w:r>
          </w:p>
        </w:tc>
      </w:tr>
      <w:tr w:rsidR="007F3985" w:rsidRPr="00E80543" w:rsidTr="00882366">
        <w:tc>
          <w:tcPr>
            <w:tcW w:w="1488" w:type="dxa"/>
            <w:tcBorders>
              <w:top w:val="dotted" w:sz="4" w:space="0" w:color="auto"/>
              <w:bottom w:val="dotted" w:sz="4" w:space="0" w:color="auto"/>
              <w:right w:val="dotted" w:sz="4" w:space="0" w:color="auto"/>
            </w:tcBorders>
            <w:vAlign w:val="center"/>
          </w:tcPr>
          <w:p w:rsidR="007F3985" w:rsidRPr="00180B17" w:rsidRDefault="007F3985" w:rsidP="007C6E83">
            <w:pPr>
              <w:rPr>
                <w:noProof w:val="0"/>
                <w:sz w:val="18"/>
                <w:szCs w:val="24"/>
              </w:rPr>
            </w:pPr>
            <w:r w:rsidRPr="00180B17">
              <w:rPr>
                <w:noProof w:val="0"/>
                <w:sz w:val="18"/>
                <w:szCs w:val="24"/>
              </w:rPr>
              <w:t>Kosovo</w:t>
            </w:r>
          </w:p>
        </w:tc>
        <w:tc>
          <w:tcPr>
            <w:tcW w:w="1462"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31</w:t>
            </w:r>
          </w:p>
        </w:tc>
        <w:tc>
          <w:tcPr>
            <w:tcW w:w="1362"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3%</w:t>
            </w:r>
          </w:p>
        </w:tc>
        <w:tc>
          <w:tcPr>
            <w:tcW w:w="1339"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109</w:t>
            </w:r>
          </w:p>
        </w:tc>
        <w:tc>
          <w:tcPr>
            <w:tcW w:w="1484"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9%</w:t>
            </w:r>
          </w:p>
        </w:tc>
        <w:tc>
          <w:tcPr>
            <w:tcW w:w="2436" w:type="dxa"/>
            <w:tcBorders>
              <w:top w:val="dotted" w:sz="4" w:space="0" w:color="auto"/>
              <w:left w:val="dotted" w:sz="4" w:space="0" w:color="auto"/>
              <w:bottom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 xml:space="preserve">1,021.08 </w:t>
            </w:r>
            <w:r w:rsidRPr="00180B17">
              <w:rPr>
                <w:noProof w:val="0"/>
                <w:sz w:val="18"/>
                <w:szCs w:val="24"/>
              </w:rPr>
              <w:br/>
              <w:t>(2003-2007)</w:t>
            </w:r>
          </w:p>
        </w:tc>
      </w:tr>
      <w:tr w:rsidR="007F3985" w:rsidRPr="00E80543" w:rsidTr="00882366">
        <w:tc>
          <w:tcPr>
            <w:tcW w:w="1488" w:type="dxa"/>
            <w:tcBorders>
              <w:top w:val="dotted" w:sz="4" w:space="0" w:color="auto"/>
              <w:bottom w:val="dotted" w:sz="4" w:space="0" w:color="auto"/>
              <w:right w:val="dotted" w:sz="4" w:space="0" w:color="auto"/>
            </w:tcBorders>
            <w:vAlign w:val="center"/>
          </w:tcPr>
          <w:p w:rsidR="007F3985" w:rsidRPr="00180B17" w:rsidRDefault="007F3985" w:rsidP="007C6E83">
            <w:pPr>
              <w:rPr>
                <w:noProof w:val="0"/>
                <w:sz w:val="18"/>
                <w:szCs w:val="24"/>
              </w:rPr>
            </w:pPr>
            <w:r w:rsidRPr="00180B17">
              <w:rPr>
                <w:noProof w:val="0"/>
                <w:sz w:val="18"/>
                <w:szCs w:val="24"/>
              </w:rPr>
              <w:t>Muntenegru</w:t>
            </w:r>
          </w:p>
        </w:tc>
        <w:tc>
          <w:tcPr>
            <w:tcW w:w="1462"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13</w:t>
            </w:r>
          </w:p>
        </w:tc>
        <w:tc>
          <w:tcPr>
            <w:tcW w:w="1362"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2%</w:t>
            </w:r>
          </w:p>
        </w:tc>
        <w:tc>
          <w:tcPr>
            <w:tcW w:w="1339"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59</w:t>
            </w:r>
          </w:p>
        </w:tc>
        <w:tc>
          <w:tcPr>
            <w:tcW w:w="1484"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9%</w:t>
            </w:r>
          </w:p>
        </w:tc>
        <w:tc>
          <w:tcPr>
            <w:tcW w:w="2436" w:type="dxa"/>
            <w:tcBorders>
              <w:top w:val="dotted" w:sz="4" w:space="0" w:color="auto"/>
              <w:left w:val="dotted" w:sz="4" w:space="0" w:color="auto"/>
              <w:bottom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654.6</w:t>
            </w:r>
            <w:r w:rsidRPr="00180B17">
              <w:rPr>
                <w:noProof w:val="0"/>
                <w:sz w:val="18"/>
                <w:szCs w:val="24"/>
              </w:rPr>
              <w:br/>
              <w:t xml:space="preserve"> (2002-2006)</w:t>
            </w:r>
          </w:p>
        </w:tc>
      </w:tr>
      <w:tr w:rsidR="007F3985" w:rsidRPr="00E80543" w:rsidTr="00882366">
        <w:tc>
          <w:tcPr>
            <w:tcW w:w="1488" w:type="dxa"/>
            <w:tcBorders>
              <w:top w:val="dotted" w:sz="4" w:space="0" w:color="auto"/>
              <w:bottom w:val="dotted" w:sz="4" w:space="0" w:color="auto"/>
              <w:right w:val="dotted" w:sz="4" w:space="0" w:color="auto"/>
            </w:tcBorders>
            <w:vAlign w:val="center"/>
          </w:tcPr>
          <w:p w:rsidR="007F3985" w:rsidRPr="00180B17" w:rsidRDefault="007F3985" w:rsidP="007C6E83">
            <w:pPr>
              <w:rPr>
                <w:noProof w:val="0"/>
                <w:sz w:val="18"/>
                <w:szCs w:val="24"/>
              </w:rPr>
            </w:pPr>
            <w:r w:rsidRPr="00180B17">
              <w:rPr>
                <w:noProof w:val="0"/>
                <w:sz w:val="18"/>
                <w:szCs w:val="24"/>
              </w:rPr>
              <w:t>Serbia</w:t>
            </w:r>
          </w:p>
        </w:tc>
        <w:tc>
          <w:tcPr>
            <w:tcW w:w="1462"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125</w:t>
            </w:r>
          </w:p>
        </w:tc>
        <w:tc>
          <w:tcPr>
            <w:tcW w:w="1362"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1.5%</w:t>
            </w:r>
          </w:p>
        </w:tc>
        <w:tc>
          <w:tcPr>
            <w:tcW w:w="1339"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752</w:t>
            </w:r>
          </w:p>
        </w:tc>
        <w:tc>
          <w:tcPr>
            <w:tcW w:w="1484" w:type="dxa"/>
            <w:tcBorders>
              <w:top w:val="dotted" w:sz="4" w:space="0" w:color="auto"/>
              <w:left w:val="dotted" w:sz="4" w:space="0" w:color="auto"/>
              <w:bottom w:val="dotted" w:sz="4"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9%</w:t>
            </w:r>
          </w:p>
        </w:tc>
        <w:tc>
          <w:tcPr>
            <w:tcW w:w="2436" w:type="dxa"/>
            <w:tcBorders>
              <w:top w:val="dotted" w:sz="4" w:space="0" w:color="auto"/>
              <w:left w:val="dotted" w:sz="4" w:space="0" w:color="auto"/>
              <w:bottom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 xml:space="preserve">8,360 </w:t>
            </w:r>
            <w:r w:rsidRPr="00180B17">
              <w:rPr>
                <w:noProof w:val="0"/>
                <w:sz w:val="18"/>
                <w:szCs w:val="24"/>
              </w:rPr>
              <w:br/>
              <w:t>(anul de referință 2008)</w:t>
            </w:r>
          </w:p>
        </w:tc>
      </w:tr>
      <w:tr w:rsidR="007F3985" w:rsidRPr="00E80543" w:rsidTr="00882366">
        <w:tc>
          <w:tcPr>
            <w:tcW w:w="1488" w:type="dxa"/>
            <w:tcBorders>
              <w:top w:val="dotted" w:sz="4" w:space="0" w:color="auto"/>
              <w:bottom w:val="dotted" w:sz="4" w:space="0" w:color="auto"/>
              <w:right w:val="dotted" w:sz="4" w:space="0" w:color="auto"/>
            </w:tcBorders>
            <w:shd w:val="clear" w:color="auto" w:fill="D9D9D9" w:themeFill="background1" w:themeFillShade="D9"/>
            <w:vAlign w:val="center"/>
          </w:tcPr>
          <w:p w:rsidR="007F3985" w:rsidRPr="00180B17" w:rsidRDefault="007F3985" w:rsidP="007C6E83">
            <w:pPr>
              <w:rPr>
                <w:b/>
                <w:noProof w:val="0"/>
                <w:sz w:val="18"/>
                <w:szCs w:val="24"/>
              </w:rPr>
            </w:pPr>
            <w:r w:rsidRPr="00180B17">
              <w:rPr>
                <w:b/>
                <w:noProof w:val="0"/>
                <w:sz w:val="18"/>
                <w:szCs w:val="24"/>
              </w:rPr>
              <w:t>Moldova</w:t>
            </w:r>
          </w:p>
        </w:tc>
        <w:tc>
          <w:tcPr>
            <w:tcW w:w="146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rsidR="007F3985" w:rsidRPr="00180B17" w:rsidRDefault="007F3985" w:rsidP="007C6E83">
            <w:pPr>
              <w:jc w:val="center"/>
              <w:rPr>
                <w:b/>
                <w:noProof w:val="0"/>
                <w:sz w:val="18"/>
                <w:szCs w:val="24"/>
              </w:rPr>
            </w:pPr>
            <w:r w:rsidRPr="00180B17">
              <w:rPr>
                <w:b/>
                <w:noProof w:val="0"/>
                <w:sz w:val="18"/>
                <w:szCs w:val="24"/>
              </w:rPr>
              <w:t>428</w:t>
            </w:r>
            <w:r w:rsidR="00882366" w:rsidRPr="00180B17">
              <w:rPr>
                <w:b/>
                <w:noProof w:val="0"/>
                <w:sz w:val="18"/>
                <w:szCs w:val="24"/>
              </w:rPr>
              <w:t>*</w:t>
            </w:r>
            <w:r w:rsidRPr="00180B17">
              <w:rPr>
                <w:b/>
                <w:noProof w:val="0"/>
                <w:sz w:val="18"/>
                <w:szCs w:val="24"/>
              </w:rPr>
              <w:br/>
            </w:r>
            <w:r w:rsidRPr="00180B17">
              <w:rPr>
                <w:noProof w:val="0"/>
                <w:sz w:val="18"/>
                <w:szCs w:val="24"/>
              </w:rPr>
              <w:t xml:space="preserve">(stabilit pt </w:t>
            </w:r>
            <w:r w:rsidRPr="00180B17">
              <w:rPr>
                <w:noProof w:val="0"/>
                <w:sz w:val="18"/>
                <w:szCs w:val="24"/>
                <w:u w:val="single"/>
              </w:rPr>
              <w:t>2015</w:t>
            </w:r>
            <w:r w:rsidRPr="00180B17">
              <w:rPr>
                <w:noProof w:val="0"/>
                <w:sz w:val="18"/>
                <w:szCs w:val="24"/>
              </w:rPr>
              <w:t>)</w:t>
            </w:r>
          </w:p>
        </w:tc>
        <w:tc>
          <w:tcPr>
            <w:tcW w:w="1362"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rsidR="007F3985" w:rsidRPr="00180B17" w:rsidRDefault="007F3985" w:rsidP="007C6E83">
            <w:pPr>
              <w:jc w:val="center"/>
              <w:rPr>
                <w:b/>
                <w:noProof w:val="0"/>
                <w:sz w:val="18"/>
                <w:szCs w:val="24"/>
              </w:rPr>
            </w:pPr>
            <w:r w:rsidRPr="00180B17">
              <w:rPr>
                <w:b/>
                <w:noProof w:val="0"/>
                <w:sz w:val="18"/>
                <w:szCs w:val="24"/>
              </w:rPr>
              <w:t>4.4%</w:t>
            </w:r>
            <w:r w:rsidRPr="00180B17">
              <w:rPr>
                <w:b/>
                <w:noProof w:val="0"/>
                <w:sz w:val="18"/>
                <w:szCs w:val="24"/>
              </w:rPr>
              <w:br/>
            </w:r>
            <w:r w:rsidRPr="00180B17">
              <w:rPr>
                <w:noProof w:val="0"/>
                <w:sz w:val="18"/>
                <w:szCs w:val="24"/>
              </w:rPr>
              <w:t xml:space="preserve">(stabilit pt </w:t>
            </w:r>
            <w:r w:rsidRPr="00180B17">
              <w:rPr>
                <w:noProof w:val="0"/>
                <w:sz w:val="18"/>
                <w:szCs w:val="24"/>
                <w:u w:val="single"/>
              </w:rPr>
              <w:t>2015</w:t>
            </w:r>
            <w:r w:rsidRPr="00180B17">
              <w:rPr>
                <w:noProof w:val="0"/>
                <w:sz w:val="18"/>
                <w:szCs w:val="24"/>
              </w:rPr>
              <w:t>)</w:t>
            </w:r>
          </w:p>
        </w:tc>
        <w:tc>
          <w:tcPr>
            <w:tcW w:w="1339"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rsidR="007F3985" w:rsidRPr="00180B17" w:rsidRDefault="007F3985" w:rsidP="007C6E83">
            <w:pPr>
              <w:jc w:val="center"/>
              <w:rPr>
                <w:b/>
                <w:noProof w:val="0"/>
                <w:sz w:val="18"/>
                <w:szCs w:val="24"/>
                <w:u w:val="single"/>
              </w:rPr>
            </w:pPr>
            <w:r w:rsidRPr="00180B17">
              <w:rPr>
                <w:b/>
                <w:noProof w:val="0"/>
                <w:sz w:val="18"/>
                <w:szCs w:val="24"/>
                <w:u w:val="single"/>
              </w:rPr>
              <w:t>867</w:t>
            </w:r>
            <w:r w:rsidR="00882366" w:rsidRPr="00180B17">
              <w:rPr>
                <w:b/>
                <w:noProof w:val="0"/>
                <w:sz w:val="18"/>
                <w:szCs w:val="24"/>
                <w:u w:val="single"/>
              </w:rPr>
              <w:t>*</w:t>
            </w:r>
          </w:p>
          <w:p w:rsidR="007F3985" w:rsidRPr="00180B17" w:rsidRDefault="007F3985" w:rsidP="007C6E83">
            <w:pPr>
              <w:jc w:val="center"/>
              <w:rPr>
                <w:b/>
                <w:noProof w:val="0"/>
                <w:sz w:val="18"/>
                <w:szCs w:val="24"/>
              </w:rPr>
            </w:pPr>
            <w:r w:rsidRPr="00180B17">
              <w:rPr>
                <w:noProof w:val="0"/>
                <w:sz w:val="18"/>
                <w:szCs w:val="24"/>
              </w:rPr>
              <w:t xml:space="preserve">(stabilit pt </w:t>
            </w:r>
            <w:r w:rsidRPr="00180B17">
              <w:rPr>
                <w:noProof w:val="0"/>
                <w:sz w:val="18"/>
                <w:szCs w:val="24"/>
                <w:u w:val="single"/>
              </w:rPr>
              <w:t>2016</w:t>
            </w:r>
            <w:r w:rsidRPr="00180B17">
              <w:rPr>
                <w:noProof w:val="0"/>
                <w:sz w:val="18"/>
                <w:szCs w:val="24"/>
              </w:rPr>
              <w:t>)</w:t>
            </w:r>
          </w:p>
        </w:tc>
        <w:tc>
          <w:tcPr>
            <w:tcW w:w="1484"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rsidR="007F3985" w:rsidRPr="00180B17" w:rsidRDefault="007F3985" w:rsidP="007C6E83">
            <w:pPr>
              <w:jc w:val="center"/>
              <w:rPr>
                <w:b/>
                <w:noProof w:val="0"/>
                <w:sz w:val="18"/>
                <w:szCs w:val="24"/>
              </w:rPr>
            </w:pPr>
            <w:r w:rsidRPr="00180B17">
              <w:rPr>
                <w:b/>
                <w:noProof w:val="0"/>
                <w:sz w:val="18"/>
                <w:szCs w:val="24"/>
              </w:rPr>
              <w:t>9%</w:t>
            </w:r>
            <w:r w:rsidRPr="00180B17">
              <w:rPr>
                <w:b/>
                <w:noProof w:val="0"/>
                <w:sz w:val="18"/>
                <w:szCs w:val="24"/>
              </w:rPr>
              <w:br/>
            </w:r>
            <w:r w:rsidRPr="00180B17">
              <w:rPr>
                <w:noProof w:val="0"/>
                <w:sz w:val="18"/>
                <w:szCs w:val="24"/>
              </w:rPr>
              <w:t xml:space="preserve"> (stabilit pt </w:t>
            </w:r>
            <w:r w:rsidRPr="00180B17">
              <w:rPr>
                <w:noProof w:val="0"/>
                <w:sz w:val="18"/>
                <w:szCs w:val="24"/>
                <w:u w:val="single"/>
              </w:rPr>
              <w:t>2016</w:t>
            </w:r>
            <w:r w:rsidRPr="00180B17">
              <w:rPr>
                <w:noProof w:val="0"/>
                <w:sz w:val="18"/>
                <w:szCs w:val="24"/>
              </w:rPr>
              <w:t>)</w:t>
            </w:r>
          </w:p>
        </w:tc>
        <w:tc>
          <w:tcPr>
            <w:tcW w:w="2436" w:type="dxa"/>
            <w:tcBorders>
              <w:top w:val="dotted" w:sz="4" w:space="0" w:color="auto"/>
              <w:left w:val="dotted" w:sz="4" w:space="0" w:color="auto"/>
              <w:bottom w:val="dotted" w:sz="4" w:space="0" w:color="auto"/>
            </w:tcBorders>
            <w:shd w:val="clear" w:color="auto" w:fill="D9D9D9" w:themeFill="background1" w:themeFillShade="D9"/>
            <w:vAlign w:val="center"/>
          </w:tcPr>
          <w:p w:rsidR="007F3985" w:rsidRPr="00180B17" w:rsidRDefault="007F3985" w:rsidP="007C6E83">
            <w:pPr>
              <w:jc w:val="center"/>
              <w:rPr>
                <w:noProof w:val="0"/>
                <w:sz w:val="18"/>
                <w:szCs w:val="24"/>
              </w:rPr>
            </w:pPr>
            <w:r w:rsidRPr="00180B17">
              <w:rPr>
                <w:noProof w:val="0"/>
                <w:sz w:val="18"/>
                <w:szCs w:val="24"/>
              </w:rPr>
              <w:t>nu a fost determinat, anul 2009 a fost acceptat ca și referință</w:t>
            </w:r>
          </w:p>
        </w:tc>
      </w:tr>
      <w:tr w:rsidR="007F3985" w:rsidRPr="00E80543" w:rsidTr="00882366">
        <w:tc>
          <w:tcPr>
            <w:tcW w:w="1488" w:type="dxa"/>
            <w:tcBorders>
              <w:top w:val="dotted" w:sz="4" w:space="0" w:color="auto"/>
              <w:bottom w:val="single" w:sz="12" w:space="0" w:color="auto"/>
              <w:right w:val="dotted" w:sz="4" w:space="0" w:color="auto"/>
            </w:tcBorders>
            <w:vAlign w:val="center"/>
          </w:tcPr>
          <w:p w:rsidR="007F3985" w:rsidRPr="00180B17" w:rsidRDefault="007F3985" w:rsidP="007C6E83">
            <w:pPr>
              <w:rPr>
                <w:noProof w:val="0"/>
                <w:sz w:val="18"/>
                <w:szCs w:val="24"/>
              </w:rPr>
            </w:pPr>
            <w:r w:rsidRPr="00180B17">
              <w:rPr>
                <w:noProof w:val="0"/>
                <w:sz w:val="18"/>
                <w:szCs w:val="24"/>
              </w:rPr>
              <w:t>Ucraina</w:t>
            </w:r>
          </w:p>
        </w:tc>
        <w:tc>
          <w:tcPr>
            <w:tcW w:w="1462" w:type="dxa"/>
            <w:tcBorders>
              <w:top w:val="dotted" w:sz="4" w:space="0" w:color="auto"/>
              <w:left w:val="dotted" w:sz="4" w:space="0" w:color="auto"/>
              <w:bottom w:val="single" w:sz="12"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1 385 (2014)</w:t>
            </w:r>
          </w:p>
        </w:tc>
        <w:tc>
          <w:tcPr>
            <w:tcW w:w="1362" w:type="dxa"/>
            <w:tcBorders>
              <w:top w:val="dotted" w:sz="4" w:space="0" w:color="auto"/>
              <w:left w:val="dotted" w:sz="4" w:space="0" w:color="auto"/>
              <w:bottom w:val="single" w:sz="12"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2%</w:t>
            </w:r>
            <w:r w:rsidRPr="00180B17">
              <w:rPr>
                <w:noProof w:val="0"/>
                <w:sz w:val="18"/>
                <w:szCs w:val="24"/>
              </w:rPr>
              <w:br/>
              <w:t xml:space="preserve"> (2014)</w:t>
            </w:r>
          </w:p>
        </w:tc>
        <w:tc>
          <w:tcPr>
            <w:tcW w:w="1339" w:type="dxa"/>
            <w:tcBorders>
              <w:top w:val="dotted" w:sz="4" w:space="0" w:color="auto"/>
              <w:left w:val="dotted" w:sz="4" w:space="0" w:color="auto"/>
              <w:bottom w:val="single" w:sz="12"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6 233</w:t>
            </w:r>
            <w:r w:rsidRPr="00180B17">
              <w:rPr>
                <w:noProof w:val="0"/>
                <w:sz w:val="18"/>
                <w:szCs w:val="24"/>
              </w:rPr>
              <w:br/>
              <w:t xml:space="preserve"> (2020)</w:t>
            </w:r>
          </w:p>
        </w:tc>
        <w:tc>
          <w:tcPr>
            <w:tcW w:w="1484" w:type="dxa"/>
            <w:tcBorders>
              <w:top w:val="dotted" w:sz="4" w:space="0" w:color="auto"/>
              <w:left w:val="dotted" w:sz="4" w:space="0" w:color="auto"/>
              <w:bottom w:val="single" w:sz="12" w:space="0" w:color="auto"/>
              <w:right w:val="dotted" w:sz="4" w:space="0" w:color="auto"/>
            </w:tcBorders>
            <w:vAlign w:val="center"/>
          </w:tcPr>
          <w:p w:rsidR="007F3985" w:rsidRPr="00180B17" w:rsidRDefault="007F3985" w:rsidP="007C6E83">
            <w:pPr>
              <w:jc w:val="center"/>
              <w:rPr>
                <w:noProof w:val="0"/>
                <w:sz w:val="18"/>
                <w:szCs w:val="24"/>
              </w:rPr>
            </w:pPr>
            <w:r w:rsidRPr="00180B17">
              <w:rPr>
                <w:noProof w:val="0"/>
                <w:sz w:val="18"/>
                <w:szCs w:val="24"/>
              </w:rPr>
              <w:t>9%</w:t>
            </w:r>
            <w:r w:rsidRPr="00180B17">
              <w:rPr>
                <w:noProof w:val="0"/>
                <w:sz w:val="18"/>
                <w:szCs w:val="24"/>
              </w:rPr>
              <w:br/>
              <w:t xml:space="preserve"> (2020)</w:t>
            </w:r>
          </w:p>
        </w:tc>
        <w:tc>
          <w:tcPr>
            <w:tcW w:w="2436" w:type="dxa"/>
            <w:tcBorders>
              <w:top w:val="dotted" w:sz="4" w:space="0" w:color="auto"/>
              <w:left w:val="dotted" w:sz="4" w:space="0" w:color="auto"/>
              <w:bottom w:val="single" w:sz="12" w:space="0" w:color="auto"/>
            </w:tcBorders>
            <w:vAlign w:val="center"/>
          </w:tcPr>
          <w:p w:rsidR="007F3985" w:rsidRPr="00180B17" w:rsidRDefault="007F3985" w:rsidP="007C6E83">
            <w:pPr>
              <w:jc w:val="center"/>
              <w:rPr>
                <w:noProof w:val="0"/>
                <w:sz w:val="18"/>
                <w:szCs w:val="24"/>
              </w:rPr>
            </w:pPr>
            <w:r w:rsidRPr="00180B17">
              <w:rPr>
                <w:noProof w:val="0"/>
                <w:sz w:val="18"/>
                <w:szCs w:val="24"/>
              </w:rPr>
              <w:t xml:space="preserve">69 258 </w:t>
            </w:r>
            <w:r w:rsidRPr="00180B17">
              <w:rPr>
                <w:noProof w:val="0"/>
                <w:sz w:val="18"/>
                <w:szCs w:val="24"/>
              </w:rPr>
              <w:br/>
              <w:t>(2005-2009)</w:t>
            </w:r>
          </w:p>
        </w:tc>
      </w:tr>
    </w:tbl>
    <w:p w:rsidR="007F3985" w:rsidRPr="00E80543" w:rsidRDefault="00882366" w:rsidP="007F3985">
      <w:pPr>
        <w:jc w:val="both"/>
        <w:rPr>
          <w:noProof w:val="0"/>
          <w:sz w:val="18"/>
          <w:szCs w:val="24"/>
        </w:rPr>
      </w:pPr>
      <w:r w:rsidRPr="00E80543">
        <w:rPr>
          <w:noProof w:val="0"/>
          <w:sz w:val="18"/>
          <w:szCs w:val="24"/>
        </w:rPr>
        <w:t>*În ambele cazuri, Republica Moldova și-a fixat drept țintă valoarea cumulativă a economiilor pentru anumite perioade de timp. Detalii la acest subiect sunt oferite în cadrul capitolului 1.3.2 Implementarea art.4 din Directiva privind serviciile energetice</w:t>
      </w:r>
      <w:r w:rsidR="00180B17">
        <w:rPr>
          <w:noProof w:val="0"/>
          <w:sz w:val="18"/>
          <w:szCs w:val="24"/>
        </w:rPr>
        <w:t xml:space="preserve"> din proiectul PNAEE pentru anii 2016-2018</w:t>
      </w:r>
      <w:r w:rsidRPr="00E80543">
        <w:rPr>
          <w:noProof w:val="0"/>
          <w:sz w:val="18"/>
          <w:szCs w:val="24"/>
        </w:rPr>
        <w:t xml:space="preserve">  </w:t>
      </w:r>
    </w:p>
    <w:p w:rsidR="007F3985" w:rsidRPr="00E80543" w:rsidRDefault="007F3985" w:rsidP="00882366">
      <w:pPr>
        <w:spacing w:before="240" w:after="120" w:line="360" w:lineRule="auto"/>
        <w:jc w:val="both"/>
        <w:rPr>
          <w:noProof w:val="0"/>
          <w:sz w:val="24"/>
          <w:szCs w:val="24"/>
        </w:rPr>
      </w:pPr>
      <w:r w:rsidRPr="00E80543">
        <w:rPr>
          <w:noProof w:val="0"/>
          <w:sz w:val="24"/>
          <w:szCs w:val="24"/>
        </w:rPr>
        <w:t>Spre exemplu, din tabelul prezentat poate fi urmărit faptul că, chiar dacă consumul final de energie în Moldova (1875 ktep</w:t>
      </w:r>
      <w:r w:rsidR="00882366" w:rsidRPr="00E80543">
        <w:rPr>
          <w:noProof w:val="0"/>
          <w:sz w:val="24"/>
          <w:szCs w:val="24"/>
        </w:rPr>
        <w:t>,</w:t>
      </w:r>
      <w:r w:rsidRPr="00E80543">
        <w:rPr>
          <w:noProof w:val="0"/>
          <w:sz w:val="24"/>
          <w:szCs w:val="24"/>
        </w:rPr>
        <w:t xml:space="preserve"> care lipsește în tabel, dar </w:t>
      </w:r>
      <w:r w:rsidR="008D302D" w:rsidRPr="00E80543">
        <w:rPr>
          <w:noProof w:val="0"/>
          <w:sz w:val="24"/>
          <w:szCs w:val="24"/>
        </w:rPr>
        <w:t>corespunde</w:t>
      </w:r>
      <w:r w:rsidRPr="00E80543">
        <w:rPr>
          <w:noProof w:val="0"/>
          <w:sz w:val="24"/>
          <w:szCs w:val="24"/>
        </w:rPr>
        <w:t xml:space="preserve"> datelor statistice naționale) este de peste 4 ori mai mic față de indicatorul comparabil </w:t>
      </w:r>
      <w:r w:rsidR="001718E3" w:rsidRPr="00E80543">
        <w:rPr>
          <w:noProof w:val="0"/>
          <w:sz w:val="24"/>
          <w:szCs w:val="24"/>
        </w:rPr>
        <w:t>caracteristic</w:t>
      </w:r>
      <w:r w:rsidRPr="00E80543">
        <w:rPr>
          <w:noProof w:val="0"/>
          <w:sz w:val="24"/>
          <w:szCs w:val="24"/>
        </w:rPr>
        <w:t xml:space="preserve"> Serb</w:t>
      </w:r>
      <w:r w:rsidR="001718E3" w:rsidRPr="00E80543">
        <w:rPr>
          <w:noProof w:val="0"/>
          <w:sz w:val="24"/>
          <w:szCs w:val="24"/>
        </w:rPr>
        <w:t>iei</w:t>
      </w:r>
      <w:r w:rsidRPr="00E80543">
        <w:rPr>
          <w:noProof w:val="0"/>
          <w:sz w:val="24"/>
          <w:szCs w:val="24"/>
        </w:rPr>
        <w:t>, obiectivul general privind economiile de e</w:t>
      </w:r>
      <w:r w:rsidR="001718E3" w:rsidRPr="00E80543">
        <w:rPr>
          <w:noProof w:val="0"/>
          <w:sz w:val="24"/>
          <w:szCs w:val="24"/>
        </w:rPr>
        <w:t xml:space="preserve">nergie finală stabilit în PNAEE </w:t>
      </w:r>
      <w:r w:rsidRPr="00E80543">
        <w:rPr>
          <w:noProof w:val="0"/>
          <w:sz w:val="24"/>
          <w:szCs w:val="24"/>
        </w:rPr>
        <w:t xml:space="preserve">2013-2015 este cu 15% mai mare decât cel stabilit pentru statul balcanic, și urmează a fi realizat în Moldova, conform PNAEE-2013-2015, cu doi ani înainte față de termenul general prevăzut pentru țările Comunității Energetice </w:t>
      </w:r>
      <w:r w:rsidR="008D302D" w:rsidRPr="00E80543">
        <w:rPr>
          <w:noProof w:val="0"/>
          <w:sz w:val="24"/>
          <w:szCs w:val="24"/>
        </w:rPr>
        <w:t xml:space="preserve">– anul </w:t>
      </w:r>
      <w:r w:rsidRPr="00E80543">
        <w:rPr>
          <w:noProof w:val="0"/>
          <w:sz w:val="24"/>
          <w:szCs w:val="24"/>
        </w:rPr>
        <w:t>2018). Mai mult decât atât, trebuie ținut cont de faptul că Moldova a aderat mai târziu la Comunitatea Energetică, fapt ce presupune o derogare în implementarea Directivei 2006/32/CE.</w:t>
      </w:r>
    </w:p>
    <w:p w:rsidR="007F3985" w:rsidRPr="00E80543" w:rsidRDefault="007F3985" w:rsidP="007F3985">
      <w:pPr>
        <w:spacing w:before="120" w:after="120" w:line="360" w:lineRule="auto"/>
        <w:jc w:val="both"/>
        <w:rPr>
          <w:noProof w:val="0"/>
          <w:sz w:val="24"/>
          <w:szCs w:val="24"/>
        </w:rPr>
      </w:pPr>
      <w:r w:rsidRPr="00E80543">
        <w:rPr>
          <w:noProof w:val="0"/>
          <w:sz w:val="24"/>
          <w:szCs w:val="24"/>
        </w:rPr>
        <w:t>Concluzia care se cere a fi trasă de pe urma acestei analize, constă în faptul că statul Republica Moldova, este în drept și poate să-și stabilească, în calitate de ținte naționale pe dimensiunea eficienței consumului de resurse energetice, valori mult mai acceptabile și, în același timp, realizabile. De precizat că aceste ținte ar fi revizuite reieșind din angajamentele statului față de organizațiile/ instituțiile internaționale.</w:t>
      </w:r>
    </w:p>
    <w:p w:rsidR="007F3985" w:rsidRPr="00E80543" w:rsidRDefault="001718E3" w:rsidP="007F3985">
      <w:pPr>
        <w:spacing w:before="120" w:after="120" w:line="360" w:lineRule="auto"/>
        <w:jc w:val="both"/>
        <w:rPr>
          <w:noProof w:val="0"/>
          <w:sz w:val="24"/>
          <w:szCs w:val="24"/>
        </w:rPr>
      </w:pPr>
      <w:r w:rsidRPr="00E80543">
        <w:rPr>
          <w:noProof w:val="0"/>
          <w:sz w:val="24"/>
          <w:szCs w:val="24"/>
        </w:rPr>
        <w:t>C</w:t>
      </w:r>
      <w:r w:rsidR="007F3985" w:rsidRPr="00E80543">
        <w:rPr>
          <w:noProof w:val="0"/>
          <w:sz w:val="24"/>
          <w:szCs w:val="24"/>
        </w:rPr>
        <w:t xml:space="preserve">onsiderăm că timpul </w:t>
      </w:r>
      <w:r w:rsidRPr="00E80543">
        <w:rPr>
          <w:noProof w:val="0"/>
          <w:sz w:val="24"/>
          <w:szCs w:val="24"/>
        </w:rPr>
        <w:t xml:space="preserve">adaptării țintelor naționale la angajamentele asumate față de actorii internaționali </w:t>
      </w:r>
      <w:r w:rsidR="007F3985" w:rsidRPr="00E80543">
        <w:rPr>
          <w:noProof w:val="0"/>
          <w:sz w:val="24"/>
          <w:szCs w:val="24"/>
        </w:rPr>
        <w:t xml:space="preserve">este tocmai etapa de elaborare și aprobare a Planului Național secund pentru eficiență energetică, când ar fi oportună revizuirea tuturor actelor normative ce stabilesc </w:t>
      </w:r>
      <w:r w:rsidRPr="00E80543">
        <w:rPr>
          <w:noProof w:val="0"/>
          <w:sz w:val="24"/>
          <w:szCs w:val="24"/>
        </w:rPr>
        <w:t>obiective</w:t>
      </w:r>
      <w:r w:rsidR="007F3985" w:rsidRPr="00E80543">
        <w:rPr>
          <w:noProof w:val="0"/>
          <w:sz w:val="24"/>
          <w:szCs w:val="24"/>
        </w:rPr>
        <w:t xml:space="preserve"> pentru un anumit orizont de timp.</w:t>
      </w:r>
    </w:p>
    <w:p w:rsidR="007F3985" w:rsidRPr="00E80543" w:rsidRDefault="007F3985" w:rsidP="007F3985">
      <w:pPr>
        <w:spacing w:before="120" w:after="120" w:line="360" w:lineRule="auto"/>
        <w:jc w:val="both"/>
        <w:rPr>
          <w:noProof w:val="0"/>
          <w:sz w:val="24"/>
          <w:szCs w:val="24"/>
        </w:rPr>
      </w:pPr>
      <w:r w:rsidRPr="00E80543">
        <w:rPr>
          <w:noProof w:val="0"/>
          <w:sz w:val="24"/>
          <w:szCs w:val="24"/>
        </w:rPr>
        <w:t>Unul din argumentele de bază întru revizuirea</w:t>
      </w:r>
      <w:r w:rsidR="00882366" w:rsidRPr="00E80543">
        <w:rPr>
          <w:noProof w:val="0"/>
          <w:sz w:val="24"/>
          <w:szCs w:val="24"/>
        </w:rPr>
        <w:t>/ ajustarea</w:t>
      </w:r>
      <w:r w:rsidRPr="00E80543">
        <w:rPr>
          <w:noProof w:val="0"/>
          <w:sz w:val="24"/>
          <w:szCs w:val="24"/>
        </w:rPr>
        <w:t xml:space="preserve"> țintelor naționale în domeniul EE ar fi și cuantumul investițiilor necesare întru atingerea acestor </w:t>
      </w:r>
      <w:r w:rsidR="001718E3" w:rsidRPr="00E80543">
        <w:rPr>
          <w:noProof w:val="0"/>
          <w:sz w:val="24"/>
          <w:szCs w:val="24"/>
        </w:rPr>
        <w:t>valori</w:t>
      </w:r>
      <w:r w:rsidRPr="00E80543">
        <w:rPr>
          <w:noProof w:val="0"/>
          <w:sz w:val="24"/>
          <w:szCs w:val="24"/>
        </w:rPr>
        <w:t xml:space="preserve">. Astfel, în anul 2014, AEE împreună cu Institutul de Studii și Proiectări Energetice (ISPE, București, România) a estimat că </w:t>
      </w:r>
      <w:r w:rsidRPr="00E80543">
        <w:rPr>
          <w:noProof w:val="0"/>
          <w:sz w:val="24"/>
          <w:szCs w:val="24"/>
        </w:rPr>
        <w:lastRenderedPageBreak/>
        <w:t>atingerea țintei actuale de eficiență energetică pentru a. 2020, ar costa economia Republicii Moldova cca. 3,1 miliarde EUR (a fi investiți de către toți actorii pieței – sectorul privat, rezidențial, proiecte EE susținute financiar de către stat, Partenerii de dezvoltare, Donatori, etc.).</w:t>
      </w:r>
    </w:p>
    <w:p w:rsidR="008D302D" w:rsidRPr="00E80543" w:rsidRDefault="008D302D" w:rsidP="007F3985">
      <w:pPr>
        <w:spacing w:before="120" w:after="120" w:line="360" w:lineRule="auto"/>
        <w:jc w:val="both"/>
        <w:rPr>
          <w:noProof w:val="0"/>
          <w:sz w:val="24"/>
          <w:szCs w:val="24"/>
        </w:rPr>
      </w:pPr>
      <w:r w:rsidRPr="00E80543">
        <w:rPr>
          <w:noProof w:val="0"/>
          <w:sz w:val="24"/>
          <w:szCs w:val="24"/>
        </w:rPr>
        <w:t>Prin comparație, analiza efectuată cu ocazia elaborării proiectului actual al planului Național de acțiuni</w:t>
      </w:r>
      <w:r w:rsidR="00E80543">
        <w:rPr>
          <w:noProof w:val="0"/>
          <w:sz w:val="24"/>
          <w:szCs w:val="24"/>
        </w:rPr>
        <w:t xml:space="preserve"> </w:t>
      </w:r>
      <w:r w:rsidRPr="00E80543">
        <w:rPr>
          <w:noProof w:val="0"/>
          <w:sz w:val="24"/>
          <w:szCs w:val="24"/>
        </w:rPr>
        <w:t>pe dimensiunea EE, a permis estimarea faptului că, în baza proiectelor/ programelor d</w:t>
      </w:r>
      <w:r w:rsidR="00342E91" w:rsidRPr="00E80543">
        <w:rPr>
          <w:noProof w:val="0"/>
          <w:sz w:val="24"/>
          <w:szCs w:val="24"/>
        </w:rPr>
        <w:t>e</w:t>
      </w:r>
      <w:r w:rsidRPr="00E80543">
        <w:rPr>
          <w:noProof w:val="0"/>
          <w:sz w:val="24"/>
          <w:szCs w:val="24"/>
        </w:rPr>
        <w:t xml:space="preserve"> finanțare existente sau planificate pentru lansare în perioada imediat următoare, cu un buget cumulativ car</w:t>
      </w:r>
      <w:r w:rsidR="00A72430">
        <w:rPr>
          <w:noProof w:val="0"/>
          <w:sz w:val="24"/>
          <w:szCs w:val="24"/>
        </w:rPr>
        <w:t>e</w:t>
      </w:r>
      <w:r w:rsidRPr="00E80543">
        <w:rPr>
          <w:noProof w:val="0"/>
          <w:sz w:val="24"/>
          <w:szCs w:val="24"/>
        </w:rPr>
        <w:t xml:space="preserve"> cifrează la cca. </w:t>
      </w:r>
      <w:r w:rsidR="00A72430">
        <w:rPr>
          <w:noProof w:val="0"/>
          <w:sz w:val="24"/>
          <w:szCs w:val="24"/>
        </w:rPr>
        <w:t>320</w:t>
      </w:r>
      <w:r w:rsidR="00342E91" w:rsidRPr="00E80543">
        <w:rPr>
          <w:noProof w:val="0"/>
          <w:sz w:val="24"/>
          <w:szCs w:val="24"/>
        </w:rPr>
        <w:t xml:space="preserve"> milioane EUR</w:t>
      </w:r>
      <w:r w:rsidR="00882366" w:rsidRPr="00E80543">
        <w:rPr>
          <w:noProof w:val="0"/>
          <w:sz w:val="24"/>
          <w:szCs w:val="24"/>
        </w:rPr>
        <w:t xml:space="preserve">, ar putea fi </w:t>
      </w:r>
      <w:r w:rsidR="00342E91" w:rsidRPr="00E80543">
        <w:rPr>
          <w:noProof w:val="0"/>
          <w:sz w:val="24"/>
          <w:szCs w:val="24"/>
        </w:rPr>
        <w:t>obțin</w:t>
      </w:r>
      <w:r w:rsidR="00882366" w:rsidRPr="00E80543">
        <w:rPr>
          <w:noProof w:val="0"/>
          <w:sz w:val="24"/>
          <w:szCs w:val="24"/>
        </w:rPr>
        <w:t>ute</w:t>
      </w:r>
      <w:r w:rsidR="00342E91" w:rsidRPr="00E80543">
        <w:rPr>
          <w:noProof w:val="0"/>
          <w:sz w:val="24"/>
          <w:szCs w:val="24"/>
        </w:rPr>
        <w:t xml:space="preserve"> economii de 226 ktep de energie primară (sau cca 176 ktep de energie finală</w:t>
      </w:r>
      <w:r w:rsidR="00C650FF">
        <w:rPr>
          <w:noProof w:val="0"/>
          <w:sz w:val="24"/>
          <w:szCs w:val="24"/>
        </w:rPr>
        <w:t>; ținta stabilită de PNAEE 2016-2018 pentru anul 2018 corespunde unor economii de energie finală de 167 ktep</w:t>
      </w:r>
      <w:r w:rsidR="00342E91" w:rsidRPr="00E80543">
        <w:rPr>
          <w:noProof w:val="0"/>
          <w:sz w:val="24"/>
          <w:szCs w:val="24"/>
        </w:rPr>
        <w:t>).</w:t>
      </w:r>
    </w:p>
    <w:p w:rsidR="007F3985" w:rsidRPr="00E80543" w:rsidRDefault="007F3985" w:rsidP="007F3985">
      <w:pPr>
        <w:spacing w:before="120" w:after="120" w:line="360" w:lineRule="auto"/>
        <w:jc w:val="both"/>
        <w:rPr>
          <w:noProof w:val="0"/>
          <w:sz w:val="24"/>
          <w:szCs w:val="24"/>
        </w:rPr>
      </w:pPr>
      <w:r w:rsidRPr="00E80543">
        <w:rPr>
          <w:noProof w:val="0"/>
          <w:sz w:val="24"/>
          <w:szCs w:val="24"/>
        </w:rPr>
        <w:t>Problematicile aferente atingerii țintei actuale de 20% economii de energie primară pentru anul 2020, sunt ușor citite și interpretate fiind prezentate în mod grafic. Astfel, figurile de mai jos prezintă retrospectiva Consumului de energie primară pentru ultima decadă de aprox. 20 de ani, precum și cea a Consumului de energie finală</w:t>
      </w:r>
      <w:r w:rsidR="00882366" w:rsidRPr="00E80543">
        <w:rPr>
          <w:noProof w:val="0"/>
          <w:sz w:val="24"/>
          <w:szCs w:val="24"/>
        </w:rPr>
        <w:t xml:space="preserve"> – serie de date care a permis trasarea prognozelor până în 2020 a acestor consumuri</w:t>
      </w:r>
      <w:r w:rsidRPr="00E80543">
        <w:rPr>
          <w:noProof w:val="0"/>
          <w:sz w:val="24"/>
          <w:szCs w:val="24"/>
        </w:rPr>
        <w:t>. Țintele naționale de eficiență energetică și energie regenerabilă, în valori absolute, sunt obținute ca și rezultat al raportării valorilor procentuale aferente acestor ținte la scenariile de referință a consumului de energie primară și finală, respectiv.</w:t>
      </w:r>
      <w:r w:rsidR="005B1EDA" w:rsidRPr="00E80543">
        <w:rPr>
          <w:noProof w:val="0"/>
          <w:sz w:val="24"/>
          <w:szCs w:val="24"/>
        </w:rPr>
        <w:t xml:space="preserve"> </w:t>
      </w:r>
      <w:r w:rsidRPr="00E80543">
        <w:rPr>
          <w:noProof w:val="0"/>
          <w:sz w:val="24"/>
          <w:szCs w:val="24"/>
        </w:rPr>
        <w:t>În acest sens, în figurile de mai jos au fost prezentate grafic economiile de energie a fi obținute de către Republica Moldova către orizontul de timp 2020, pentru două scenarii de evoluție a lucrurilor – a) și b).</w:t>
      </w:r>
    </w:p>
    <w:p w:rsidR="005B1EDA" w:rsidRPr="00E80543" w:rsidRDefault="005B1EDA" w:rsidP="007F3985">
      <w:pPr>
        <w:spacing w:before="120" w:after="120" w:line="360" w:lineRule="auto"/>
        <w:jc w:val="both"/>
        <w:rPr>
          <w:noProof w:val="0"/>
          <w:sz w:val="24"/>
          <w:szCs w:val="24"/>
        </w:rPr>
      </w:pPr>
      <w:r w:rsidRPr="00E80543">
        <w:rPr>
          <w:sz w:val="24"/>
          <w:szCs w:val="24"/>
          <w:lang w:val="en-US" w:eastAsia="en-US"/>
        </w:rPr>
        <w:drawing>
          <wp:inline distT="0" distB="0" distL="0" distR="0" wp14:anchorId="21CEF025" wp14:editId="1ADF8865">
            <wp:extent cx="5928882" cy="3013862"/>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2635" cy="3015770"/>
                    </a:xfrm>
                    <a:prstGeom prst="rect">
                      <a:avLst/>
                    </a:prstGeom>
                    <a:noFill/>
                  </pic:spPr>
                </pic:pic>
              </a:graphicData>
            </a:graphic>
          </wp:inline>
        </w:drawing>
      </w:r>
    </w:p>
    <w:p w:rsidR="005B1EDA" w:rsidRPr="00E80543" w:rsidRDefault="005B1EDA" w:rsidP="005B1EDA">
      <w:pPr>
        <w:pStyle w:val="ListParagraph"/>
        <w:widowControl w:val="0"/>
        <w:numPr>
          <w:ilvl w:val="0"/>
          <w:numId w:val="3"/>
        </w:numPr>
        <w:spacing w:after="240"/>
        <w:ind w:left="714" w:hanging="357"/>
        <w:contextualSpacing w:val="0"/>
        <w:rPr>
          <w:noProof w:val="0"/>
          <w:sz w:val="20"/>
          <w:szCs w:val="24"/>
        </w:rPr>
      </w:pPr>
      <w:r w:rsidRPr="00E80543">
        <w:rPr>
          <w:noProof w:val="0"/>
          <w:sz w:val="20"/>
          <w:szCs w:val="24"/>
        </w:rPr>
        <w:t>revizuirea țintelor naționale în materie de EE conform angajamentelor internaționale (9% de energie finală către cel de-al nouălea an de implementare al Directivei 32/2006);</w:t>
      </w:r>
    </w:p>
    <w:p w:rsidR="00C650FF" w:rsidRDefault="00C650FF" w:rsidP="00BC4139">
      <w:pPr>
        <w:pStyle w:val="ListParagraph"/>
        <w:spacing w:before="120" w:after="120" w:line="360" w:lineRule="auto"/>
        <w:ind w:left="0"/>
        <w:jc w:val="both"/>
        <w:rPr>
          <w:noProof w:val="0"/>
          <w:sz w:val="24"/>
          <w:szCs w:val="24"/>
        </w:rPr>
      </w:pPr>
    </w:p>
    <w:p w:rsidR="005B1EDA" w:rsidRPr="00E80543" w:rsidRDefault="007F3985" w:rsidP="00BC4139">
      <w:pPr>
        <w:pStyle w:val="ListParagraph"/>
        <w:spacing w:before="120" w:after="120" w:line="360" w:lineRule="auto"/>
        <w:ind w:left="0"/>
        <w:jc w:val="both"/>
        <w:rPr>
          <w:noProof w:val="0"/>
          <w:sz w:val="24"/>
          <w:szCs w:val="24"/>
        </w:rPr>
      </w:pPr>
      <w:r w:rsidRPr="00E80543">
        <w:rPr>
          <w:noProof w:val="0"/>
          <w:sz w:val="24"/>
          <w:szCs w:val="24"/>
        </w:rPr>
        <w:lastRenderedPageBreak/>
        <w:t xml:space="preserve">Conform prevederilor Directivei 2006/32/CE, obiectivul indicativ național general privind economiile de energie în Republica Moldova ar fi de cca 167 ktep (mii tone echivalent petrol), care reprezintă 9% din consumul mediu de energie finală pentru cea mai recentă perioadă de cinci ani anterioară punerii în aplicare a Directivei (anii 2006-2010). În Republica Moldova acest obiectiv este prevăzut a fi realizat către anul 2020, fapt confirmat de către Secretariatul Comunității Energetice. Ținând cont de angajamentele ce reies din Directiva 27/2012, ținta pentru anul 2020 ar </w:t>
      </w:r>
      <w:r w:rsidR="00BC4139" w:rsidRPr="00E80543">
        <w:rPr>
          <w:noProof w:val="0"/>
          <w:sz w:val="24"/>
          <w:szCs w:val="24"/>
        </w:rPr>
        <w:t xml:space="preserve">urma a fi </w:t>
      </w:r>
      <w:r w:rsidR="00E80543" w:rsidRPr="00E80543">
        <w:rPr>
          <w:noProof w:val="0"/>
          <w:sz w:val="24"/>
          <w:szCs w:val="24"/>
        </w:rPr>
        <w:t>recalculată</w:t>
      </w:r>
      <w:r w:rsidR="00BC4139" w:rsidRPr="00E80543">
        <w:rPr>
          <w:noProof w:val="0"/>
          <w:sz w:val="24"/>
          <w:szCs w:val="24"/>
        </w:rPr>
        <w:t xml:space="preserve"> odată cu elaborarea legislației </w:t>
      </w:r>
      <w:r w:rsidR="005B1EDA" w:rsidRPr="00E80543">
        <w:rPr>
          <w:noProof w:val="0"/>
          <w:sz w:val="24"/>
          <w:szCs w:val="24"/>
        </w:rPr>
        <w:t xml:space="preserve">corespunzătoare și efectuarea calculelor </w:t>
      </w:r>
      <w:r w:rsidR="00E80543" w:rsidRPr="00E80543">
        <w:rPr>
          <w:noProof w:val="0"/>
          <w:sz w:val="24"/>
          <w:szCs w:val="24"/>
        </w:rPr>
        <w:t>respective</w:t>
      </w:r>
      <w:r w:rsidRPr="00E80543">
        <w:rPr>
          <w:noProof w:val="0"/>
          <w:sz w:val="24"/>
          <w:szCs w:val="24"/>
        </w:rPr>
        <w:t>.</w:t>
      </w:r>
    </w:p>
    <w:p w:rsidR="007F3985" w:rsidRPr="00E80543" w:rsidRDefault="005B1EDA" w:rsidP="00BC4139">
      <w:pPr>
        <w:pStyle w:val="ListParagraph"/>
        <w:spacing w:before="120" w:after="120" w:line="360" w:lineRule="auto"/>
        <w:ind w:left="0"/>
        <w:jc w:val="both"/>
        <w:rPr>
          <w:noProof w:val="0"/>
          <w:sz w:val="24"/>
          <w:szCs w:val="24"/>
        </w:rPr>
      </w:pPr>
      <w:r w:rsidRPr="00E80543">
        <w:rPr>
          <w:sz w:val="24"/>
          <w:szCs w:val="24"/>
          <w:lang w:val="en-US" w:eastAsia="en-US"/>
        </w:rPr>
        <w:drawing>
          <wp:inline distT="0" distB="0" distL="0" distR="0" wp14:anchorId="0C805313" wp14:editId="31FFC536">
            <wp:extent cx="5720042" cy="2988000"/>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0042" cy="2988000"/>
                    </a:xfrm>
                    <a:prstGeom prst="rect">
                      <a:avLst/>
                    </a:prstGeom>
                    <a:noFill/>
                  </pic:spPr>
                </pic:pic>
              </a:graphicData>
            </a:graphic>
          </wp:inline>
        </w:drawing>
      </w:r>
    </w:p>
    <w:p w:rsidR="007F3985" w:rsidRPr="00E80543" w:rsidRDefault="007F3985" w:rsidP="005B1EDA">
      <w:pPr>
        <w:pStyle w:val="ListParagraph"/>
        <w:widowControl w:val="0"/>
        <w:numPr>
          <w:ilvl w:val="0"/>
          <w:numId w:val="3"/>
        </w:numPr>
        <w:spacing w:line="276" w:lineRule="auto"/>
        <w:ind w:left="714" w:hanging="357"/>
        <w:contextualSpacing w:val="0"/>
        <w:jc w:val="center"/>
        <w:rPr>
          <w:noProof w:val="0"/>
          <w:sz w:val="20"/>
          <w:szCs w:val="24"/>
        </w:rPr>
      </w:pPr>
      <w:r w:rsidRPr="00E80543">
        <w:rPr>
          <w:noProof w:val="0"/>
          <w:sz w:val="20"/>
          <w:szCs w:val="24"/>
        </w:rPr>
        <w:t>respectarea țintelor naționale în domeniul EE stabilite de legislația în vigoare (20% față de energia primară)</w:t>
      </w:r>
    </w:p>
    <w:p w:rsidR="007F3985" w:rsidRPr="00E80543" w:rsidRDefault="007F3985" w:rsidP="007F3985">
      <w:pPr>
        <w:jc w:val="right"/>
        <w:rPr>
          <w:noProof w:val="0"/>
          <w:sz w:val="24"/>
          <w:szCs w:val="24"/>
        </w:rPr>
      </w:pPr>
    </w:p>
    <w:p w:rsidR="007F3985" w:rsidRPr="00E80543" w:rsidRDefault="007F3985" w:rsidP="007F3985">
      <w:pPr>
        <w:spacing w:line="360" w:lineRule="auto"/>
        <w:jc w:val="both"/>
        <w:rPr>
          <w:noProof w:val="0"/>
          <w:sz w:val="24"/>
          <w:szCs w:val="24"/>
        </w:rPr>
      </w:pPr>
      <w:r w:rsidRPr="00E80543">
        <w:rPr>
          <w:noProof w:val="0"/>
          <w:sz w:val="24"/>
          <w:szCs w:val="24"/>
        </w:rPr>
        <w:t>Obiectivul indicativ național privind economiile de energie în Republica Moldova, în conformitate cu</w:t>
      </w:r>
      <w:r w:rsidR="00BC4139" w:rsidRPr="00E80543">
        <w:rPr>
          <w:noProof w:val="0"/>
          <w:sz w:val="24"/>
          <w:szCs w:val="24"/>
        </w:rPr>
        <w:t xml:space="preserve"> cadrul </w:t>
      </w:r>
      <w:r w:rsidR="000C2D94" w:rsidRPr="00E80543">
        <w:rPr>
          <w:noProof w:val="0"/>
          <w:sz w:val="24"/>
          <w:szCs w:val="24"/>
        </w:rPr>
        <w:t xml:space="preserve">normativ </w:t>
      </w:r>
      <w:r w:rsidR="00BC4139" w:rsidRPr="00E80543">
        <w:rPr>
          <w:noProof w:val="0"/>
          <w:sz w:val="24"/>
          <w:szCs w:val="24"/>
        </w:rPr>
        <w:t>actual, ar fi de cca 537</w:t>
      </w:r>
      <w:r w:rsidRPr="00E80543">
        <w:rPr>
          <w:noProof w:val="0"/>
          <w:sz w:val="24"/>
          <w:szCs w:val="24"/>
        </w:rPr>
        <w:t xml:space="preserve"> ktep</w:t>
      </w:r>
      <w:r w:rsidR="00BC4139" w:rsidRPr="00E80543">
        <w:rPr>
          <w:noProof w:val="0"/>
          <w:sz w:val="24"/>
          <w:szCs w:val="24"/>
        </w:rPr>
        <w:t>,</w:t>
      </w:r>
      <w:r w:rsidRPr="00E80543">
        <w:rPr>
          <w:noProof w:val="0"/>
          <w:sz w:val="24"/>
          <w:szCs w:val="24"/>
        </w:rPr>
        <w:t xml:space="preserve"> care reprezintă 20% față de prognoza pentru consumul de energie primară (consum intern brut). </w:t>
      </w:r>
      <w:r w:rsidR="005B1EDA" w:rsidRPr="00E80543">
        <w:rPr>
          <w:noProof w:val="0"/>
          <w:sz w:val="24"/>
          <w:szCs w:val="24"/>
        </w:rPr>
        <w:t>Întru atingerea ac</w:t>
      </w:r>
      <w:r w:rsidR="00E80543" w:rsidRPr="00E80543">
        <w:rPr>
          <w:noProof w:val="0"/>
          <w:sz w:val="24"/>
          <w:szCs w:val="24"/>
        </w:rPr>
        <w:t>e</w:t>
      </w:r>
      <w:r w:rsidR="005B1EDA" w:rsidRPr="00E80543">
        <w:rPr>
          <w:noProof w:val="0"/>
          <w:sz w:val="24"/>
          <w:szCs w:val="24"/>
        </w:rPr>
        <w:t>stei ținte, după o evoluție liniară</w:t>
      </w:r>
      <w:r w:rsidR="001C6DF8">
        <w:rPr>
          <w:noProof w:val="0"/>
          <w:sz w:val="24"/>
          <w:szCs w:val="24"/>
        </w:rPr>
        <w:t xml:space="preserve"> și optimistă </w:t>
      </w:r>
      <w:r w:rsidR="005B1EDA" w:rsidRPr="00E80543">
        <w:rPr>
          <w:noProof w:val="0"/>
          <w:sz w:val="24"/>
          <w:szCs w:val="24"/>
        </w:rPr>
        <w:t xml:space="preserve">a lucrurilor, ar fi necesară canalizarea anuală a unor resurse estimate la cca. </w:t>
      </w:r>
      <w:r w:rsidR="00E80543">
        <w:rPr>
          <w:noProof w:val="0"/>
          <w:sz w:val="24"/>
          <w:szCs w:val="24"/>
        </w:rPr>
        <w:t>25</w:t>
      </w:r>
      <w:r w:rsidR="005B1EDA" w:rsidRPr="00E80543">
        <w:rPr>
          <w:noProof w:val="0"/>
          <w:sz w:val="24"/>
          <w:szCs w:val="24"/>
        </w:rPr>
        <w:t>0 milioane EUR</w:t>
      </w:r>
      <w:r w:rsidR="00E80543" w:rsidRPr="00E80543">
        <w:rPr>
          <w:noProof w:val="0"/>
          <w:sz w:val="24"/>
          <w:szCs w:val="24"/>
        </w:rPr>
        <w:t xml:space="preserve"> care, ar</w:t>
      </w:r>
      <w:r w:rsidR="00E80543">
        <w:rPr>
          <w:noProof w:val="0"/>
          <w:sz w:val="24"/>
          <w:szCs w:val="24"/>
        </w:rPr>
        <w:t xml:space="preserve"> </w:t>
      </w:r>
      <w:r w:rsidR="005B1EDA" w:rsidRPr="00E80543">
        <w:rPr>
          <w:noProof w:val="0"/>
          <w:sz w:val="24"/>
          <w:szCs w:val="24"/>
        </w:rPr>
        <w:t xml:space="preserve">genera economii de </w:t>
      </w:r>
      <w:r w:rsidR="001C6DF8">
        <w:rPr>
          <w:noProof w:val="0"/>
          <w:sz w:val="24"/>
          <w:szCs w:val="24"/>
        </w:rPr>
        <w:t>până la 120</w:t>
      </w:r>
      <w:r w:rsidR="005B1EDA" w:rsidRPr="00E80543">
        <w:rPr>
          <w:noProof w:val="0"/>
          <w:sz w:val="24"/>
          <w:szCs w:val="24"/>
        </w:rPr>
        <w:t xml:space="preserve"> ktep.</w:t>
      </w:r>
    </w:p>
    <w:p w:rsidR="007F3985" w:rsidRPr="00E80543" w:rsidRDefault="007F3985" w:rsidP="007F3985">
      <w:pPr>
        <w:spacing w:before="120" w:line="360" w:lineRule="auto"/>
        <w:jc w:val="both"/>
        <w:rPr>
          <w:noProof w:val="0"/>
          <w:sz w:val="24"/>
          <w:szCs w:val="24"/>
        </w:rPr>
      </w:pPr>
      <w:r w:rsidRPr="00E80543">
        <w:rPr>
          <w:noProof w:val="0"/>
          <w:sz w:val="24"/>
          <w:szCs w:val="24"/>
        </w:rPr>
        <w:t>În contextul realizării politicii de stat în domeniul eficienței energetice, ținem să punctăm asupra unor rezultate modeste la capitolul respectiv</w:t>
      </w:r>
      <w:r w:rsidR="007B0319">
        <w:rPr>
          <w:noProof w:val="0"/>
          <w:sz w:val="24"/>
          <w:szCs w:val="24"/>
        </w:rPr>
        <w:t xml:space="preserve"> – 30 ktep de economii de energie obținute din </w:t>
      </w:r>
      <w:r w:rsidR="007B0319">
        <w:rPr>
          <w:noProof w:val="0"/>
          <w:sz w:val="24"/>
          <w:szCs w:val="24"/>
        </w:rPr>
        <w:br/>
        <w:t>74,3 ktep stabilite ca și țintă pentru anul 2015.</w:t>
      </w:r>
      <w:r w:rsidRPr="00E80543">
        <w:rPr>
          <w:noProof w:val="0"/>
          <w:sz w:val="24"/>
          <w:szCs w:val="24"/>
        </w:rPr>
        <w:t xml:space="preserve"> </w:t>
      </w:r>
      <w:r w:rsidR="007B0319">
        <w:rPr>
          <w:noProof w:val="0"/>
          <w:sz w:val="24"/>
          <w:szCs w:val="24"/>
        </w:rPr>
        <w:t>Aceste rezultate</w:t>
      </w:r>
      <w:r w:rsidRPr="00E80543">
        <w:rPr>
          <w:noProof w:val="0"/>
          <w:sz w:val="24"/>
          <w:szCs w:val="24"/>
        </w:rPr>
        <w:t xml:space="preserve"> rezultă, în primul rând, din sursele financiare reduse care au fost alocate proiectelor investiționale de acest tip. Mai mult ca atât, metodologia de contabilizare a rezultatelor acestor investiții necesită maximă deschidere din partea structurilor finanțatoare – aspect greu de obținut și / sau </w:t>
      </w:r>
      <w:r w:rsidR="00BC4139" w:rsidRPr="00E80543">
        <w:rPr>
          <w:noProof w:val="0"/>
          <w:sz w:val="24"/>
          <w:szCs w:val="24"/>
        </w:rPr>
        <w:t xml:space="preserve">de </w:t>
      </w:r>
      <w:r w:rsidRPr="00E80543">
        <w:rPr>
          <w:noProof w:val="0"/>
          <w:sz w:val="24"/>
          <w:szCs w:val="24"/>
        </w:rPr>
        <w:t xml:space="preserve">realizat. Cu toate acestea, economiile de energie cuantificate de către Agenția pentru Eficiență Energetică, sunt prezentate în comparație cu țintele anuale în figura de mai jos. </w:t>
      </w:r>
    </w:p>
    <w:p w:rsidR="007F3985" w:rsidRPr="00E80543" w:rsidRDefault="007F3985" w:rsidP="007F3985">
      <w:pPr>
        <w:spacing w:before="120" w:line="360" w:lineRule="auto"/>
        <w:jc w:val="center"/>
        <w:rPr>
          <w:noProof w:val="0"/>
          <w:sz w:val="24"/>
          <w:szCs w:val="24"/>
        </w:rPr>
      </w:pPr>
      <w:r w:rsidRPr="00E80543">
        <w:rPr>
          <w:color w:val="000000"/>
          <w:sz w:val="24"/>
          <w:szCs w:val="24"/>
          <w:lang w:val="en-US" w:eastAsia="en-US"/>
        </w:rPr>
        <w:lastRenderedPageBreak/>
        <w:drawing>
          <wp:inline distT="0" distB="0" distL="0" distR="0" wp14:anchorId="3C3D8322" wp14:editId="1EDC7304">
            <wp:extent cx="4649638" cy="2993366"/>
            <wp:effectExtent l="0" t="0" r="0" b="0"/>
            <wp:docPr id="4" name="Diagramă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3985" w:rsidRPr="00E80543" w:rsidRDefault="007F3985" w:rsidP="007F3985">
      <w:pPr>
        <w:spacing w:before="120" w:line="360" w:lineRule="auto"/>
        <w:jc w:val="both"/>
        <w:rPr>
          <w:noProof w:val="0"/>
          <w:sz w:val="24"/>
          <w:szCs w:val="24"/>
        </w:rPr>
      </w:pPr>
      <w:r w:rsidRPr="00E80543">
        <w:rPr>
          <w:noProof w:val="0"/>
          <w:sz w:val="24"/>
          <w:szCs w:val="24"/>
        </w:rPr>
        <w:t xml:space="preserve">De precizat că datele sunt obținute utilizând abordarea/ metodologia de cuantificare a economiilor de energie „de jos </w:t>
      </w:r>
      <w:r w:rsidR="001407AF" w:rsidRPr="00E80543">
        <w:rPr>
          <w:noProof w:val="0"/>
          <w:sz w:val="24"/>
          <w:szCs w:val="24"/>
        </w:rPr>
        <w:t>în sus”, iar AEE întreprinde în mod continuu acțiuni de</w:t>
      </w:r>
      <w:r w:rsidRPr="00E80543">
        <w:rPr>
          <w:noProof w:val="0"/>
          <w:sz w:val="24"/>
          <w:szCs w:val="24"/>
        </w:rPr>
        <w:t xml:space="preserve"> culegere și procesare a rezultatelor activităților investiționale ale unui șir de instituții finanțatoare precum </w:t>
      </w:r>
      <w:r w:rsidR="000C2D94" w:rsidRPr="00E80543">
        <w:rPr>
          <w:noProof w:val="0"/>
          <w:sz w:val="24"/>
          <w:szCs w:val="24"/>
        </w:rPr>
        <w:t xml:space="preserve">Fondul pentru Eficiență Energetică, </w:t>
      </w:r>
      <w:r w:rsidRPr="00E80543">
        <w:rPr>
          <w:noProof w:val="0"/>
          <w:sz w:val="24"/>
          <w:szCs w:val="24"/>
        </w:rPr>
        <w:t>Fondul de Investiții Sociale din Moldova, MoSEFF, Fondul Ecologic de Stat,</w:t>
      </w:r>
      <w:r w:rsidR="000C2D94" w:rsidRPr="00E80543">
        <w:rPr>
          <w:noProof w:val="0"/>
          <w:sz w:val="24"/>
          <w:szCs w:val="24"/>
        </w:rPr>
        <w:t xml:space="preserve"> </w:t>
      </w:r>
      <w:r w:rsidR="001407AF" w:rsidRPr="00E80543">
        <w:rPr>
          <w:noProof w:val="0"/>
          <w:sz w:val="24"/>
          <w:szCs w:val="24"/>
        </w:rPr>
        <w:t>etc.</w:t>
      </w:r>
      <w:r w:rsidRPr="00E80543">
        <w:rPr>
          <w:noProof w:val="0"/>
          <w:sz w:val="24"/>
          <w:szCs w:val="24"/>
        </w:rPr>
        <w:t xml:space="preserve"> Analiza rezultatelor în cauză permite concluderea faptului că, în pofida bugetelor acestor proiecte - de ordinul zecilor de milioane de EUR, necesarul de investiții </w:t>
      </w:r>
      <w:r w:rsidR="001407AF" w:rsidRPr="00E80543">
        <w:rPr>
          <w:noProof w:val="0"/>
          <w:sz w:val="24"/>
          <w:szCs w:val="24"/>
        </w:rPr>
        <w:t xml:space="preserve">întru atingerea obiectivelor </w:t>
      </w:r>
      <w:r w:rsidRPr="00E80543">
        <w:rPr>
          <w:noProof w:val="0"/>
          <w:sz w:val="24"/>
          <w:szCs w:val="24"/>
        </w:rPr>
        <w:t>este unul net superior.</w:t>
      </w:r>
    </w:p>
    <w:p w:rsidR="001407AF" w:rsidRPr="00E80543" w:rsidRDefault="007F3985" w:rsidP="007F3985">
      <w:pPr>
        <w:spacing w:before="120" w:line="360" w:lineRule="auto"/>
        <w:jc w:val="both"/>
        <w:rPr>
          <w:noProof w:val="0"/>
          <w:sz w:val="24"/>
          <w:szCs w:val="24"/>
        </w:rPr>
      </w:pPr>
      <w:r w:rsidRPr="00E80543">
        <w:rPr>
          <w:noProof w:val="0"/>
          <w:sz w:val="24"/>
          <w:szCs w:val="24"/>
        </w:rPr>
        <w:t xml:space="preserve">În concluzie, ținând cont de </w:t>
      </w:r>
      <w:r w:rsidR="001407AF" w:rsidRPr="00E80543">
        <w:rPr>
          <w:noProof w:val="0"/>
          <w:sz w:val="24"/>
          <w:szCs w:val="24"/>
        </w:rPr>
        <w:t xml:space="preserve">cele sus-menționate, Agenția pentru Eficiență Energetică ține să se expună asupra necesarului de a modifica abordarea </w:t>
      </w:r>
      <w:r w:rsidR="007B0319">
        <w:rPr>
          <w:noProof w:val="0"/>
          <w:sz w:val="24"/>
          <w:szCs w:val="24"/>
        </w:rPr>
        <w:t>aplicată la</w:t>
      </w:r>
      <w:r w:rsidR="001407AF" w:rsidRPr="00E80543">
        <w:rPr>
          <w:noProof w:val="0"/>
          <w:sz w:val="24"/>
          <w:szCs w:val="24"/>
        </w:rPr>
        <w:t xml:space="preserve"> stabilirea </w:t>
      </w:r>
      <w:r w:rsidR="00204D39" w:rsidRPr="00E80543">
        <w:rPr>
          <w:noProof w:val="0"/>
          <w:sz w:val="24"/>
          <w:szCs w:val="24"/>
        </w:rPr>
        <w:t>țintelor</w:t>
      </w:r>
      <w:r w:rsidR="001407AF" w:rsidRPr="00E80543">
        <w:rPr>
          <w:noProof w:val="0"/>
          <w:sz w:val="24"/>
          <w:szCs w:val="24"/>
        </w:rPr>
        <w:t xml:space="preserve"> naționale, indiferent de domeniu, prin </w:t>
      </w:r>
      <w:r w:rsidR="00204D39" w:rsidRPr="00E80543">
        <w:rPr>
          <w:noProof w:val="0"/>
          <w:sz w:val="24"/>
          <w:szCs w:val="24"/>
        </w:rPr>
        <w:t xml:space="preserve">stabilirea obiectivelor după conceptul SMART, astfel încât acestea să fie identificate ca și specifice, măsurabile, accesibile, relevante și încadrate în timp. În acest sens, pe lângă obiectivul indicativ (obligatoriu) de a atingere a unei eficiențe de 7% de energie finală pentru anul 2020 (echivalentul obiectivului </w:t>
      </w:r>
      <w:r w:rsidR="000C2D94" w:rsidRPr="00E80543">
        <w:rPr>
          <w:noProof w:val="0"/>
          <w:sz w:val="24"/>
          <w:szCs w:val="24"/>
        </w:rPr>
        <w:t>9% din consumul mediu de energie finală pentru cea mai recentă perioadă de cinci ani anterioară punerii în aplicare a Directivei 32/2006</w:t>
      </w:r>
      <w:r w:rsidR="00204D39" w:rsidRPr="00E80543">
        <w:rPr>
          <w:noProof w:val="0"/>
          <w:sz w:val="24"/>
          <w:szCs w:val="24"/>
        </w:rPr>
        <w:t>), se va exprima voința politică de atingere a unei ținte de 20% economii de energie primară pentru ac</w:t>
      </w:r>
      <w:r w:rsidR="000C2D94" w:rsidRPr="00E80543">
        <w:rPr>
          <w:noProof w:val="0"/>
          <w:sz w:val="24"/>
          <w:szCs w:val="24"/>
        </w:rPr>
        <w:t>e</w:t>
      </w:r>
      <w:r w:rsidR="00204D39" w:rsidRPr="00E80543">
        <w:rPr>
          <w:noProof w:val="0"/>
          <w:sz w:val="24"/>
          <w:szCs w:val="24"/>
        </w:rPr>
        <w:t>lași orizont de timp.</w:t>
      </w:r>
    </w:p>
    <w:p w:rsidR="00204D39" w:rsidRPr="00E80543" w:rsidRDefault="00204D39" w:rsidP="007F3985">
      <w:pPr>
        <w:spacing w:before="120" w:line="360" w:lineRule="auto"/>
        <w:jc w:val="both"/>
        <w:rPr>
          <w:noProof w:val="0"/>
          <w:sz w:val="24"/>
          <w:szCs w:val="24"/>
        </w:rPr>
      </w:pPr>
      <w:r w:rsidRPr="00E80543">
        <w:rPr>
          <w:noProof w:val="0"/>
          <w:sz w:val="24"/>
          <w:szCs w:val="24"/>
        </w:rPr>
        <w:t xml:space="preserve">De precizat că o asemenea abordare a fost aplicată și în cazul aprobării Legii Nr. 10/2016 cu privire la promovarea utilizării energiei din surse regenerabile, unde noua țintă a statului Republica Moldova, în conformitate cu angajamentele internaționale, a fost acceptată la nivelul a 17%. În același timp, </w:t>
      </w:r>
      <w:r w:rsidR="00A946CE" w:rsidRPr="00E80543">
        <w:rPr>
          <w:noProof w:val="0"/>
          <w:sz w:val="24"/>
          <w:szCs w:val="24"/>
        </w:rPr>
        <w:t xml:space="preserve">este scoasă în evidență voința politică de a atinge </w:t>
      </w:r>
      <w:r w:rsidR="001C6DF8" w:rsidRPr="00E80543">
        <w:rPr>
          <w:noProof w:val="0"/>
          <w:sz w:val="24"/>
          <w:szCs w:val="24"/>
        </w:rPr>
        <w:t>ținta</w:t>
      </w:r>
      <w:r w:rsidR="00A946CE" w:rsidRPr="00E80543">
        <w:rPr>
          <w:noProof w:val="0"/>
          <w:sz w:val="24"/>
          <w:szCs w:val="24"/>
        </w:rPr>
        <w:t xml:space="preserve"> de 20% aprobată prin primele documente naționale cu incidență în domeniul energiei regenerabile. </w:t>
      </w:r>
      <w:r w:rsidRPr="00E80543">
        <w:rPr>
          <w:noProof w:val="0"/>
          <w:sz w:val="24"/>
          <w:szCs w:val="24"/>
        </w:rPr>
        <w:t xml:space="preserve"> </w:t>
      </w:r>
    </w:p>
    <w:p w:rsidR="001407AF" w:rsidRPr="00E80543" w:rsidRDefault="001407AF" w:rsidP="007F3985">
      <w:pPr>
        <w:spacing w:before="120" w:line="360" w:lineRule="auto"/>
        <w:jc w:val="both"/>
        <w:rPr>
          <w:noProof w:val="0"/>
          <w:sz w:val="24"/>
          <w:szCs w:val="24"/>
        </w:rPr>
      </w:pPr>
    </w:p>
    <w:p w:rsidR="0001450F" w:rsidRDefault="0001450F" w:rsidP="001C6DF8">
      <w:pPr>
        <w:spacing w:before="120" w:line="360" w:lineRule="auto"/>
        <w:jc w:val="both"/>
        <w:rPr>
          <w:noProof w:val="0"/>
          <w:sz w:val="24"/>
          <w:szCs w:val="24"/>
        </w:rPr>
      </w:pPr>
      <w:r w:rsidRPr="001C6DF8">
        <w:rPr>
          <w:noProof w:val="0"/>
          <w:sz w:val="24"/>
          <w:szCs w:val="24"/>
        </w:rPr>
        <w:lastRenderedPageBreak/>
        <w:t xml:space="preserve">Având în vedere cele menționate mai sus, solicităm respectuos promovarea proiectului </w:t>
      </w:r>
      <w:r w:rsidR="001C6DF8" w:rsidRPr="001C6DF8">
        <w:rPr>
          <w:noProof w:val="0"/>
          <w:sz w:val="24"/>
          <w:szCs w:val="24"/>
        </w:rPr>
        <w:t>Hotărârii</w:t>
      </w:r>
      <w:r w:rsidRPr="001C6DF8">
        <w:rPr>
          <w:noProof w:val="0"/>
          <w:sz w:val="24"/>
          <w:szCs w:val="24"/>
        </w:rPr>
        <w:t xml:space="preserve"> Guvernului </w:t>
      </w:r>
      <w:r w:rsidR="001C6DF8" w:rsidRPr="001C6DF8">
        <w:rPr>
          <w:noProof w:val="0"/>
          <w:sz w:val="24"/>
          <w:szCs w:val="24"/>
        </w:rPr>
        <w:t>cu privire la aprobarea Planului naţional de acţiuni în domeniul eficienţei energetice pentru anii 2016-2018</w:t>
      </w:r>
      <w:r w:rsidR="001C6DF8">
        <w:rPr>
          <w:noProof w:val="0"/>
          <w:sz w:val="24"/>
          <w:szCs w:val="24"/>
        </w:rPr>
        <w:t>.</w:t>
      </w:r>
    </w:p>
    <w:p w:rsidR="00577907" w:rsidRDefault="001C6DF8" w:rsidP="001C6DF8">
      <w:pPr>
        <w:spacing w:before="120" w:after="120" w:line="360" w:lineRule="auto"/>
        <w:jc w:val="both"/>
        <w:rPr>
          <w:sz w:val="24"/>
        </w:rPr>
      </w:pPr>
      <w:r w:rsidRPr="001C6DF8">
        <w:rPr>
          <w:b/>
          <w:sz w:val="24"/>
        </w:rPr>
        <w:t xml:space="preserve">Aspectul economico-financiar. </w:t>
      </w:r>
      <w:r>
        <w:rPr>
          <w:sz w:val="24"/>
        </w:rPr>
        <w:t xml:space="preserve">Structura finanțării acțiunilor de eficientizare a consumului de resurse energetice este una diversă, astfel încât fiecare sector al economiei naționale beneficiind de multipli actori ce dezvoltă și implementează proiecte. </w:t>
      </w:r>
      <w:r w:rsidR="007B0319">
        <w:rPr>
          <w:sz w:val="24"/>
        </w:rPr>
        <w:t>Î</w:t>
      </w:r>
      <w:r>
        <w:rPr>
          <w:sz w:val="24"/>
        </w:rPr>
        <w:t>ntregul tablou vis-a-vis de finanțările din domeniu este prezent</w:t>
      </w:r>
      <w:r w:rsidR="00577907">
        <w:rPr>
          <w:sz w:val="24"/>
        </w:rPr>
        <w:t xml:space="preserve">at în proiectul PNAEE 2016-2018, </w:t>
      </w:r>
      <w:r w:rsidR="00577907" w:rsidRPr="00577907">
        <w:rPr>
          <w:sz w:val="24"/>
        </w:rPr>
        <w:t>Tabelul 50 - Sumarul proiectelor şi finanţării disponibile.</w:t>
      </w:r>
      <w:r w:rsidR="007B0319">
        <w:rPr>
          <w:sz w:val="24"/>
        </w:rPr>
        <w:t xml:space="preserve"> </w:t>
      </w:r>
      <w:r w:rsidR="00577907">
        <w:rPr>
          <w:sz w:val="24"/>
        </w:rPr>
        <w:t>Printre sursele de finanțare, pot fi menționate:</w:t>
      </w:r>
    </w:p>
    <w:tbl>
      <w:tblPr>
        <w:tblStyle w:val="TableGrid"/>
        <w:tblW w:w="0" w:type="auto"/>
        <w:tblInd w:w="675"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2127"/>
        <w:gridCol w:w="6189"/>
      </w:tblGrid>
      <w:tr w:rsidR="00577907" w:rsidRPr="00E34F1F" w:rsidTr="006812BF">
        <w:trPr>
          <w:trHeight w:val="1149"/>
        </w:trPr>
        <w:tc>
          <w:tcPr>
            <w:tcW w:w="2127" w:type="dxa"/>
            <w:vAlign w:val="center"/>
          </w:tcPr>
          <w:p w:rsidR="00577907" w:rsidRPr="00E34F1F" w:rsidRDefault="00577907" w:rsidP="006812BF">
            <w:pPr>
              <w:rPr>
                <w:noProof w:val="0"/>
                <w:sz w:val="22"/>
              </w:rPr>
            </w:pPr>
            <w:r w:rsidRPr="00E34F1F">
              <w:rPr>
                <w:noProof w:val="0"/>
                <w:sz w:val="22"/>
              </w:rPr>
              <w:t>Bugetul național</w:t>
            </w:r>
          </w:p>
        </w:tc>
        <w:tc>
          <w:tcPr>
            <w:tcW w:w="6189" w:type="dxa"/>
            <w:vAlign w:val="center"/>
          </w:tcPr>
          <w:p w:rsidR="00577907" w:rsidRPr="00E34F1F" w:rsidRDefault="007B0319" w:rsidP="006812BF">
            <w:pPr>
              <w:rPr>
                <w:noProof w:val="0"/>
                <w:sz w:val="22"/>
              </w:rPr>
            </w:pPr>
            <w:r>
              <w:rPr>
                <w:noProof w:val="0"/>
                <w:sz w:val="22"/>
              </w:rPr>
              <w:t>î</w:t>
            </w:r>
            <w:r w:rsidR="00577907" w:rsidRPr="00E34F1F">
              <w:rPr>
                <w:noProof w:val="0"/>
                <w:sz w:val="22"/>
              </w:rPr>
              <w:t>n conformitate cu Cadrul Bugetar pe Termen Mediu, între 280 și 360 milioane MDL</w:t>
            </w:r>
            <w:r w:rsidR="00E34F1F">
              <w:rPr>
                <w:noProof w:val="0"/>
                <w:sz w:val="22"/>
              </w:rPr>
              <w:t xml:space="preserve"> </w:t>
            </w:r>
            <w:r w:rsidR="00577907" w:rsidRPr="00E34F1F">
              <w:rPr>
                <w:noProof w:val="0"/>
                <w:sz w:val="22"/>
              </w:rPr>
              <w:t xml:space="preserve">vor fi alocate </w:t>
            </w:r>
            <w:r>
              <w:rPr>
                <w:noProof w:val="0"/>
                <w:sz w:val="22"/>
              </w:rPr>
              <w:t xml:space="preserve">anual </w:t>
            </w:r>
            <w:r w:rsidR="00577907" w:rsidRPr="00E34F1F">
              <w:rPr>
                <w:noProof w:val="0"/>
                <w:sz w:val="22"/>
              </w:rPr>
              <w:t>în perioada 2016-2018 pentru implementarea politicii statului în domeniul EE și SER, cât și pentru realizarea proiectelor de eficiență energetică</w:t>
            </w:r>
          </w:p>
        </w:tc>
      </w:tr>
      <w:tr w:rsidR="00577907" w:rsidRPr="00E34F1F" w:rsidTr="006812BF">
        <w:trPr>
          <w:trHeight w:val="1283"/>
        </w:trPr>
        <w:tc>
          <w:tcPr>
            <w:tcW w:w="2127" w:type="dxa"/>
            <w:vAlign w:val="center"/>
          </w:tcPr>
          <w:p w:rsidR="00577907" w:rsidRPr="00E34F1F" w:rsidRDefault="00E34F1F" w:rsidP="006812BF">
            <w:pPr>
              <w:rPr>
                <w:noProof w:val="0"/>
                <w:sz w:val="22"/>
              </w:rPr>
            </w:pPr>
            <w:r w:rsidRPr="00E34F1F">
              <w:rPr>
                <w:noProof w:val="0"/>
                <w:sz w:val="22"/>
              </w:rPr>
              <w:t>Linii de finanțare ale Băncii Europene pentru Reconstrucție și Dezvoltare</w:t>
            </w:r>
          </w:p>
        </w:tc>
        <w:tc>
          <w:tcPr>
            <w:tcW w:w="6189" w:type="dxa"/>
            <w:vAlign w:val="center"/>
          </w:tcPr>
          <w:p w:rsidR="00577907" w:rsidRPr="00E34F1F" w:rsidRDefault="007B0319" w:rsidP="006812BF">
            <w:pPr>
              <w:rPr>
                <w:noProof w:val="0"/>
                <w:sz w:val="22"/>
              </w:rPr>
            </w:pPr>
            <w:r>
              <w:rPr>
                <w:noProof w:val="0"/>
                <w:sz w:val="22"/>
              </w:rPr>
              <w:t>p</w:t>
            </w:r>
            <w:r w:rsidR="00E34F1F" w:rsidRPr="00E34F1F">
              <w:rPr>
                <w:noProof w:val="0"/>
                <w:sz w:val="22"/>
              </w:rPr>
              <w:t>este 25 milioane EUR disponibile în cadrul MoREEFF și semnale pozitive privind lansarea celui de-al II</w:t>
            </w:r>
            <w:r>
              <w:rPr>
                <w:noProof w:val="0"/>
                <w:sz w:val="22"/>
              </w:rPr>
              <w:t>I</w:t>
            </w:r>
            <w:r w:rsidR="00E34F1F" w:rsidRPr="00E34F1F">
              <w:rPr>
                <w:noProof w:val="0"/>
                <w:sz w:val="22"/>
              </w:rPr>
              <w:t>-lea program de finanțare pentru sectorul industrial - MoSEFF</w:t>
            </w:r>
          </w:p>
        </w:tc>
      </w:tr>
      <w:tr w:rsidR="00577907" w:rsidRPr="00E34F1F" w:rsidTr="006812BF">
        <w:trPr>
          <w:trHeight w:val="1401"/>
        </w:trPr>
        <w:tc>
          <w:tcPr>
            <w:tcW w:w="2127" w:type="dxa"/>
            <w:vAlign w:val="center"/>
          </w:tcPr>
          <w:p w:rsidR="00577907" w:rsidRPr="00E34F1F" w:rsidRDefault="00E34F1F" w:rsidP="006812BF">
            <w:pPr>
              <w:rPr>
                <w:noProof w:val="0"/>
                <w:sz w:val="22"/>
              </w:rPr>
            </w:pPr>
            <w:r w:rsidRPr="00E34F1F">
              <w:rPr>
                <w:noProof w:val="0"/>
                <w:sz w:val="22"/>
              </w:rPr>
              <w:t>BIRD/</w:t>
            </w:r>
            <w:r w:rsidR="00E96AB7">
              <w:rPr>
                <w:noProof w:val="0"/>
                <w:sz w:val="22"/>
              </w:rPr>
              <w:t xml:space="preserve"> BERD/</w:t>
            </w:r>
            <w:r w:rsidRPr="00E34F1F">
              <w:rPr>
                <w:noProof w:val="0"/>
                <w:sz w:val="22"/>
              </w:rPr>
              <w:t xml:space="preserve"> BEI</w:t>
            </w:r>
          </w:p>
        </w:tc>
        <w:tc>
          <w:tcPr>
            <w:tcW w:w="6189" w:type="dxa"/>
            <w:vAlign w:val="center"/>
          </w:tcPr>
          <w:p w:rsidR="00577907" w:rsidRPr="00E34F1F" w:rsidRDefault="007B0319" w:rsidP="006812BF">
            <w:pPr>
              <w:rPr>
                <w:noProof w:val="0"/>
                <w:sz w:val="22"/>
              </w:rPr>
            </w:pPr>
            <w:r>
              <w:rPr>
                <w:noProof w:val="0"/>
                <w:sz w:val="22"/>
              </w:rPr>
              <w:t>p</w:t>
            </w:r>
            <w:r w:rsidR="00E34F1F" w:rsidRPr="00E34F1F">
              <w:rPr>
                <w:noProof w:val="0"/>
                <w:sz w:val="22"/>
              </w:rPr>
              <w:t xml:space="preserve">roiecte de reabilitare și dezvoltare a infrastructurii de alimentare centralizată cu agent termic în mun. Chișinău (cu un buget de 40,5 milioane USD) </w:t>
            </w:r>
            <w:r w:rsidR="00E96AB7">
              <w:rPr>
                <w:noProof w:val="0"/>
                <w:sz w:val="22"/>
              </w:rPr>
              <w:t xml:space="preserve">și mun. Bălți, precum </w:t>
            </w:r>
            <w:r w:rsidR="00E34F1F" w:rsidRPr="00E34F1F">
              <w:rPr>
                <w:noProof w:val="0"/>
                <w:sz w:val="22"/>
              </w:rPr>
              <w:t>și a sistemului</w:t>
            </w:r>
            <w:r w:rsidR="00E34F1F">
              <w:rPr>
                <w:noProof w:val="0"/>
                <w:sz w:val="22"/>
              </w:rPr>
              <w:t xml:space="preserve"> de gestionare a apei și a apelor uzate (multiple proiecte cu un buget cumulativ de cca. 119 milioane EUR)</w:t>
            </w:r>
            <w:r w:rsidR="00E34F1F" w:rsidRPr="00E34F1F">
              <w:rPr>
                <w:noProof w:val="0"/>
                <w:sz w:val="22"/>
              </w:rPr>
              <w:t xml:space="preserve"> </w:t>
            </w:r>
          </w:p>
        </w:tc>
      </w:tr>
      <w:tr w:rsidR="00577907" w:rsidRPr="00E34F1F" w:rsidTr="006812BF">
        <w:trPr>
          <w:trHeight w:val="1691"/>
        </w:trPr>
        <w:tc>
          <w:tcPr>
            <w:tcW w:w="2127" w:type="dxa"/>
            <w:vAlign w:val="center"/>
          </w:tcPr>
          <w:p w:rsidR="00577907" w:rsidRPr="00E34F1F" w:rsidRDefault="00E34F1F" w:rsidP="006812BF">
            <w:pPr>
              <w:rPr>
                <w:noProof w:val="0"/>
                <w:sz w:val="22"/>
              </w:rPr>
            </w:pPr>
            <w:r>
              <w:rPr>
                <w:noProof w:val="0"/>
                <w:sz w:val="22"/>
              </w:rPr>
              <w:t>Fondul</w:t>
            </w:r>
            <w:r w:rsidRPr="00E34F1F">
              <w:rPr>
                <w:noProof w:val="0"/>
                <w:sz w:val="22"/>
              </w:rPr>
              <w:t xml:space="preserve"> Parteneriatului Europei de Est pentru Eficienţa Energetică şi Mediu (E5P)</w:t>
            </w:r>
          </w:p>
        </w:tc>
        <w:tc>
          <w:tcPr>
            <w:tcW w:w="6189" w:type="dxa"/>
            <w:vAlign w:val="center"/>
          </w:tcPr>
          <w:p w:rsidR="00577907" w:rsidRPr="00E34F1F" w:rsidRDefault="00E34F1F" w:rsidP="006812BF">
            <w:pPr>
              <w:rPr>
                <w:noProof w:val="0"/>
                <w:sz w:val="22"/>
              </w:rPr>
            </w:pPr>
            <w:r>
              <w:rPr>
                <w:noProof w:val="0"/>
                <w:sz w:val="22"/>
              </w:rPr>
              <w:t xml:space="preserve">18,5 milioane EUR disponibile în cadrul E5P a fi oferite ca și grant pentru proiecte de eficiență energetică și mediu care, la rândul lor pot mobiliza 100 milioane EUR credite preferențiale din partea Agențiilor implementatoare acreditate în cadrul E5P </w:t>
            </w:r>
          </w:p>
        </w:tc>
      </w:tr>
      <w:tr w:rsidR="00577907" w:rsidRPr="00E34F1F" w:rsidTr="006812BF">
        <w:trPr>
          <w:trHeight w:val="694"/>
        </w:trPr>
        <w:tc>
          <w:tcPr>
            <w:tcW w:w="2127" w:type="dxa"/>
            <w:vAlign w:val="center"/>
          </w:tcPr>
          <w:p w:rsidR="00577907" w:rsidRPr="00E34F1F" w:rsidRDefault="00E34F1F" w:rsidP="006812BF">
            <w:pPr>
              <w:rPr>
                <w:noProof w:val="0"/>
                <w:sz w:val="22"/>
              </w:rPr>
            </w:pPr>
            <w:r>
              <w:rPr>
                <w:noProof w:val="0"/>
                <w:sz w:val="22"/>
              </w:rPr>
              <w:t>Donatori/ Parteneri de Dezvoltare</w:t>
            </w:r>
          </w:p>
        </w:tc>
        <w:tc>
          <w:tcPr>
            <w:tcW w:w="6189" w:type="dxa"/>
            <w:vAlign w:val="center"/>
          </w:tcPr>
          <w:p w:rsidR="00577907" w:rsidRPr="00E34F1F" w:rsidRDefault="007B0319" w:rsidP="006812BF">
            <w:pPr>
              <w:rPr>
                <w:noProof w:val="0"/>
                <w:sz w:val="22"/>
              </w:rPr>
            </w:pPr>
            <w:r>
              <w:rPr>
                <w:noProof w:val="0"/>
                <w:sz w:val="22"/>
              </w:rPr>
              <w:t>u</w:t>
            </w:r>
            <w:r w:rsidR="00E34F1F">
              <w:rPr>
                <w:noProof w:val="0"/>
                <w:sz w:val="22"/>
              </w:rPr>
              <w:t>n șir de proiecte, inclusiv demonstrative, sunt implementate la nivel naționale în domeniul EE și SER</w:t>
            </w:r>
          </w:p>
        </w:tc>
      </w:tr>
    </w:tbl>
    <w:p w:rsidR="001C6DF8" w:rsidRPr="00577907" w:rsidRDefault="001C6DF8" w:rsidP="00A72430">
      <w:pPr>
        <w:spacing w:before="240" w:line="360" w:lineRule="auto"/>
        <w:jc w:val="both"/>
        <w:rPr>
          <w:sz w:val="24"/>
        </w:rPr>
      </w:pPr>
      <w:r w:rsidRPr="00577907">
        <w:rPr>
          <w:sz w:val="24"/>
        </w:rPr>
        <w:t xml:space="preserve">În total, aproximativ </w:t>
      </w:r>
      <w:r w:rsidR="00A72430">
        <w:rPr>
          <w:sz w:val="24"/>
        </w:rPr>
        <w:t>320</w:t>
      </w:r>
      <w:r w:rsidRPr="00577907">
        <w:rPr>
          <w:sz w:val="24"/>
        </w:rPr>
        <w:t xml:space="preserve"> </w:t>
      </w:r>
      <w:r w:rsidR="00A72430">
        <w:rPr>
          <w:sz w:val="24"/>
        </w:rPr>
        <w:t>milioane</w:t>
      </w:r>
      <w:r w:rsidRPr="00577907">
        <w:rPr>
          <w:sz w:val="24"/>
        </w:rPr>
        <w:t xml:space="preserve"> </w:t>
      </w:r>
      <w:r w:rsidR="00A72430" w:rsidRPr="00577907">
        <w:rPr>
          <w:sz w:val="24"/>
        </w:rPr>
        <w:t xml:space="preserve">EUR </w:t>
      </w:r>
      <w:r w:rsidRPr="00577907">
        <w:rPr>
          <w:sz w:val="24"/>
        </w:rPr>
        <w:t>au fost identificate pentru realizarea prezentului PNAEE</w:t>
      </w:r>
      <w:r w:rsidR="00A72430">
        <w:rPr>
          <w:sz w:val="24"/>
        </w:rPr>
        <w:t xml:space="preserve">, a fi valorificate în cadrul unor inițiative noi, cât și în cadrul unor proiecte deja </w:t>
      </w:r>
      <w:r w:rsidR="007B0319">
        <w:rPr>
          <w:sz w:val="24"/>
        </w:rPr>
        <w:t>aflate în curs</w:t>
      </w:r>
      <w:r w:rsidR="00A72430">
        <w:rPr>
          <w:sz w:val="24"/>
        </w:rPr>
        <w:t xml:space="preserve"> de implementare.</w:t>
      </w:r>
      <w:r w:rsidRPr="00577907">
        <w:rPr>
          <w:sz w:val="24"/>
        </w:rPr>
        <w:t xml:space="preserve"> </w:t>
      </w:r>
    </w:p>
    <w:p w:rsidR="001C6DF8" w:rsidRPr="001C6DF8" w:rsidRDefault="001C6DF8" w:rsidP="00A72430">
      <w:pPr>
        <w:autoSpaceDE w:val="0"/>
        <w:autoSpaceDN w:val="0"/>
        <w:adjustRightInd w:val="0"/>
        <w:spacing w:before="120" w:after="120" w:line="360" w:lineRule="auto"/>
        <w:jc w:val="both"/>
        <w:rPr>
          <w:bCs/>
          <w:iCs/>
          <w:sz w:val="24"/>
        </w:rPr>
      </w:pPr>
      <w:r w:rsidRPr="001C6DF8">
        <w:rPr>
          <w:b/>
          <w:color w:val="000000"/>
          <w:sz w:val="24"/>
        </w:rPr>
        <w:t xml:space="preserve">Aspectul organizatoric. </w:t>
      </w:r>
      <w:r w:rsidRPr="001C6DF8">
        <w:rPr>
          <w:bCs/>
          <w:iCs/>
          <w:sz w:val="24"/>
        </w:rPr>
        <w:t>Obie</w:t>
      </w:r>
      <w:r w:rsidR="007B0319">
        <w:rPr>
          <w:bCs/>
          <w:iCs/>
          <w:sz w:val="24"/>
        </w:rPr>
        <w:t>ctivele prezentului PNAEE reies</w:t>
      </w:r>
      <w:r w:rsidRPr="001C6DF8">
        <w:rPr>
          <w:bCs/>
          <w:iCs/>
          <w:sz w:val="24"/>
        </w:rPr>
        <w:t xml:space="preserve"> din strategiile naționale de </w:t>
      </w:r>
      <w:r w:rsidR="007B0319" w:rsidRPr="001C6DF8">
        <w:rPr>
          <w:bCs/>
          <w:iCs/>
          <w:sz w:val="24"/>
        </w:rPr>
        <w:t>energetice</w:t>
      </w:r>
      <w:r w:rsidR="007B0319">
        <w:rPr>
          <w:bCs/>
          <w:iCs/>
          <w:sz w:val="24"/>
        </w:rPr>
        <w:t>, cele de</w:t>
      </w:r>
      <w:r w:rsidR="007B0319" w:rsidRPr="001C6DF8">
        <w:rPr>
          <w:bCs/>
          <w:iCs/>
          <w:sz w:val="24"/>
        </w:rPr>
        <w:t xml:space="preserve"> </w:t>
      </w:r>
      <w:r w:rsidRPr="001C6DF8">
        <w:rPr>
          <w:bCs/>
          <w:iCs/>
          <w:sz w:val="24"/>
        </w:rPr>
        <w:t xml:space="preserve">dezvoltare și de mediu. Obiectivul general al PNAEE îl constituie mobilizarea opiniei publice, a factorilor de decizie, participanților pieții și a mediului academic în vederea realizării </w:t>
      </w:r>
      <w:r w:rsidR="007B0319">
        <w:rPr>
          <w:bCs/>
          <w:iCs/>
          <w:sz w:val="24"/>
        </w:rPr>
        <w:t>țintelor</w:t>
      </w:r>
      <w:r w:rsidRPr="001C6DF8">
        <w:rPr>
          <w:bCs/>
          <w:iCs/>
          <w:sz w:val="24"/>
        </w:rPr>
        <w:t xml:space="preserve"> de economii </w:t>
      </w:r>
      <w:r w:rsidR="007B0319">
        <w:rPr>
          <w:bCs/>
          <w:iCs/>
          <w:sz w:val="24"/>
        </w:rPr>
        <w:t xml:space="preserve">de energie </w:t>
      </w:r>
      <w:r w:rsidRPr="001C6DF8">
        <w:rPr>
          <w:bCs/>
          <w:iCs/>
          <w:sz w:val="24"/>
        </w:rPr>
        <w:t>propuse</w:t>
      </w:r>
      <w:r w:rsidR="00A72430">
        <w:rPr>
          <w:bCs/>
          <w:iCs/>
          <w:sz w:val="24"/>
        </w:rPr>
        <w:t xml:space="preserve"> pentru perioada de timp 2016-2018, cât și pentu orizonturi de timp mai îndepărtate</w:t>
      </w:r>
      <w:r w:rsidRPr="001C6DF8">
        <w:rPr>
          <w:bCs/>
          <w:iCs/>
          <w:sz w:val="24"/>
        </w:rPr>
        <w:t xml:space="preserve">.  </w:t>
      </w:r>
    </w:p>
    <w:p w:rsidR="001C6DF8" w:rsidRPr="001C6DF8" w:rsidRDefault="001C6DF8" w:rsidP="00A72430">
      <w:pPr>
        <w:autoSpaceDE w:val="0"/>
        <w:autoSpaceDN w:val="0"/>
        <w:adjustRightInd w:val="0"/>
        <w:spacing w:line="360" w:lineRule="auto"/>
        <w:jc w:val="both"/>
        <w:rPr>
          <w:bCs/>
          <w:iCs/>
          <w:sz w:val="24"/>
        </w:rPr>
      </w:pPr>
      <w:r w:rsidRPr="001C6DF8">
        <w:rPr>
          <w:sz w:val="24"/>
        </w:rPr>
        <w:t>Dat fiind că eficienţa energetică nu reprezintă un sector aparte,</w:t>
      </w:r>
      <w:r w:rsidR="007B0319">
        <w:rPr>
          <w:sz w:val="24"/>
        </w:rPr>
        <w:t xml:space="preserve"> ci un element prezent în toate segmentele de politici,</w:t>
      </w:r>
      <w:r w:rsidRPr="001C6DF8">
        <w:rPr>
          <w:sz w:val="24"/>
        </w:rPr>
        <w:t xml:space="preserve"> implementarea </w:t>
      </w:r>
      <w:r w:rsidRPr="001C6DF8">
        <w:rPr>
          <w:bCs/>
          <w:iCs/>
          <w:sz w:val="24"/>
        </w:rPr>
        <w:t xml:space="preserve">prezentului PNAEE va necesita antrenarea mai multor </w:t>
      </w:r>
      <w:r w:rsidR="00A72430">
        <w:rPr>
          <w:bCs/>
          <w:iCs/>
          <w:sz w:val="24"/>
        </w:rPr>
        <w:t>autorități publice naționale cum ar fi</w:t>
      </w:r>
      <w:r w:rsidRPr="001C6DF8">
        <w:rPr>
          <w:bCs/>
          <w:iCs/>
          <w:sz w:val="24"/>
        </w:rPr>
        <w:t xml:space="preserve"> Ministerul Economiei, Ministerul Dezvoltării Regionale și </w:t>
      </w:r>
      <w:r w:rsidRPr="001C6DF8">
        <w:rPr>
          <w:bCs/>
          <w:iCs/>
          <w:sz w:val="24"/>
        </w:rPr>
        <w:lastRenderedPageBreak/>
        <w:t>Construcțiilor, Ministetul Mediului, Ministerul Transporturilor și Infrastructurii Drumurilor, Inspec</w:t>
      </w:r>
      <w:r w:rsidR="00A72430">
        <w:rPr>
          <w:bCs/>
          <w:iCs/>
          <w:sz w:val="24"/>
        </w:rPr>
        <w:t>toratul energetic de stat, etc., atât la etapa de coordonare a unor inițiative – în vederea asigurării sinergiei eforturile depuse, cât și la etapa de monitorizare a impactului generat de aceste inițiative.</w:t>
      </w:r>
    </w:p>
    <w:p w:rsidR="001C6DF8" w:rsidRPr="001C6DF8" w:rsidRDefault="001C6DF8" w:rsidP="00A72430">
      <w:pPr>
        <w:autoSpaceDE w:val="0"/>
        <w:autoSpaceDN w:val="0"/>
        <w:adjustRightInd w:val="0"/>
        <w:spacing w:before="120" w:after="120" w:line="360" w:lineRule="auto"/>
        <w:jc w:val="both"/>
        <w:rPr>
          <w:bCs/>
          <w:iCs/>
          <w:color w:val="000000"/>
          <w:sz w:val="24"/>
        </w:rPr>
      </w:pPr>
      <w:r w:rsidRPr="001C6DF8">
        <w:rPr>
          <w:bCs/>
          <w:iCs/>
          <w:color w:val="000000"/>
          <w:sz w:val="24"/>
        </w:rPr>
        <w:t>Realizarea Planului nu este posibilă și fără sprijinul partenerilor din mediul acade</w:t>
      </w:r>
      <w:r w:rsidR="005C558A">
        <w:rPr>
          <w:bCs/>
          <w:iCs/>
          <w:color w:val="000000"/>
          <w:sz w:val="24"/>
        </w:rPr>
        <w:t>mic și a  sectorului asociativ, cărora le revin un rol aparte în creare și consolidarea capacităților în domeniu, în asigurarea unei expertize tehnice adânci a măsurilor planificate, în promovarea a tot ce conduce la un consum de resurse mult mai rațional și eficient.</w:t>
      </w:r>
    </w:p>
    <w:p w:rsidR="001C6DF8" w:rsidRPr="001C6DF8" w:rsidRDefault="001C6DF8" w:rsidP="00A72430">
      <w:pPr>
        <w:spacing w:before="120" w:after="120" w:line="360" w:lineRule="auto"/>
        <w:jc w:val="both"/>
        <w:rPr>
          <w:bCs/>
          <w:iCs/>
          <w:color w:val="000000"/>
          <w:sz w:val="24"/>
        </w:rPr>
      </w:pPr>
      <w:r w:rsidRPr="001C6DF8">
        <w:rPr>
          <w:bCs/>
          <w:iCs/>
          <w:color w:val="000000"/>
          <w:sz w:val="24"/>
        </w:rPr>
        <w:t>De asemenea, succesul implementării acțiunilor pe întreg teritoriu al Republicii Moldova va depinde în mare măsură și de antrenarea proactivă a autorităților publice locale, care sunt încurajate s</w:t>
      </w:r>
      <w:r w:rsidR="0079039E">
        <w:rPr>
          <w:bCs/>
          <w:iCs/>
          <w:color w:val="000000"/>
          <w:sz w:val="24"/>
        </w:rPr>
        <w:t>ă</w:t>
      </w:r>
      <w:r w:rsidRPr="001C6DF8">
        <w:rPr>
          <w:bCs/>
          <w:iCs/>
          <w:color w:val="000000"/>
          <w:sz w:val="24"/>
        </w:rPr>
        <w:t xml:space="preserve"> demonstreze un angajament exemplar în realizarea economiilor de energie. </w:t>
      </w:r>
    </w:p>
    <w:p w:rsidR="0001450F" w:rsidRPr="001C6DF8" w:rsidRDefault="001C6DF8" w:rsidP="00A72430">
      <w:pPr>
        <w:spacing w:before="120" w:after="120" w:line="360" w:lineRule="auto"/>
        <w:jc w:val="both"/>
        <w:rPr>
          <w:noProof w:val="0"/>
          <w:sz w:val="22"/>
          <w:szCs w:val="24"/>
        </w:rPr>
      </w:pPr>
      <w:r w:rsidRPr="001C6DF8">
        <w:rPr>
          <w:b/>
          <w:color w:val="000000"/>
          <w:sz w:val="24"/>
        </w:rPr>
        <w:t xml:space="preserve">Aspectul normativ. </w:t>
      </w:r>
      <w:r w:rsidRPr="001C6DF8">
        <w:rPr>
          <w:color w:val="000000"/>
          <w:sz w:val="24"/>
        </w:rPr>
        <w:t>L</w:t>
      </w:r>
      <w:r w:rsidRPr="001C6DF8">
        <w:rPr>
          <w:sz w:val="24"/>
        </w:rPr>
        <w:t xml:space="preserve">a elaborarea proiectului dat au fost luate în considerație opiniile și recomandările reprezentanților </w:t>
      </w:r>
      <w:r w:rsidR="00A72430" w:rsidRPr="001C6DF8">
        <w:rPr>
          <w:sz w:val="24"/>
        </w:rPr>
        <w:t xml:space="preserve">Grupului </w:t>
      </w:r>
      <w:r w:rsidRPr="001C6DF8">
        <w:rPr>
          <w:sz w:val="24"/>
        </w:rPr>
        <w:t xml:space="preserve">de lucru </w:t>
      </w:r>
      <w:r w:rsidR="00A72430">
        <w:rPr>
          <w:sz w:val="24"/>
        </w:rPr>
        <w:t xml:space="preserve">creat în acest sens, precum și a </w:t>
      </w:r>
      <w:r w:rsidRPr="001C6DF8">
        <w:rPr>
          <w:sz w:val="24"/>
        </w:rPr>
        <w:t>experților din domeniu</w:t>
      </w:r>
      <w:r w:rsidR="00A72430">
        <w:rPr>
          <w:sz w:val="24"/>
        </w:rPr>
        <w:t>l vizat.</w:t>
      </w:r>
    </w:p>
    <w:p w:rsidR="00E658C6" w:rsidRDefault="00E658C6" w:rsidP="0001450F">
      <w:pPr>
        <w:spacing w:after="120"/>
        <w:jc w:val="both"/>
        <w:rPr>
          <w:noProof w:val="0"/>
          <w:sz w:val="24"/>
          <w:szCs w:val="24"/>
        </w:rPr>
      </w:pPr>
    </w:p>
    <w:p w:rsidR="00454405" w:rsidRDefault="00454405" w:rsidP="0001450F">
      <w:pPr>
        <w:spacing w:after="120"/>
        <w:jc w:val="both"/>
        <w:rPr>
          <w:noProof w:val="0"/>
          <w:sz w:val="24"/>
          <w:szCs w:val="24"/>
        </w:rPr>
      </w:pPr>
    </w:p>
    <w:p w:rsidR="00454405" w:rsidRDefault="00454405" w:rsidP="0001450F">
      <w:pPr>
        <w:spacing w:after="120"/>
        <w:jc w:val="both"/>
        <w:rPr>
          <w:noProof w:val="0"/>
          <w:sz w:val="24"/>
          <w:szCs w:val="24"/>
        </w:rPr>
      </w:pPr>
      <w:bookmarkStart w:id="0" w:name="_GoBack"/>
      <w:bookmarkEnd w:id="0"/>
    </w:p>
    <w:p w:rsidR="00A72430" w:rsidRPr="00454405" w:rsidRDefault="00454405" w:rsidP="00454405">
      <w:pPr>
        <w:spacing w:after="120"/>
        <w:jc w:val="center"/>
        <w:rPr>
          <w:b/>
          <w:noProof w:val="0"/>
          <w:szCs w:val="28"/>
        </w:rPr>
      </w:pPr>
      <w:r w:rsidRPr="00454405">
        <w:rPr>
          <w:b/>
          <w:noProof w:val="0"/>
          <w:szCs w:val="28"/>
        </w:rPr>
        <w:t>Viceministru                                                                       Valeriu TRIBOI</w:t>
      </w:r>
    </w:p>
    <w:p w:rsidR="00A72430" w:rsidRPr="00454405" w:rsidRDefault="00A72430" w:rsidP="0001450F">
      <w:pPr>
        <w:spacing w:after="120"/>
        <w:jc w:val="both"/>
        <w:rPr>
          <w:b/>
          <w:noProof w:val="0"/>
          <w:szCs w:val="28"/>
        </w:rPr>
      </w:pPr>
    </w:p>
    <w:p w:rsidR="0001450F" w:rsidRPr="00E80543" w:rsidRDefault="0001450F" w:rsidP="0001450F">
      <w:pPr>
        <w:spacing w:after="120"/>
        <w:jc w:val="both"/>
        <w:rPr>
          <w:noProof w:val="0"/>
          <w:sz w:val="24"/>
          <w:szCs w:val="24"/>
        </w:rPr>
      </w:pPr>
    </w:p>
    <w:p w:rsidR="00F81933" w:rsidRPr="00E80543" w:rsidRDefault="00F81933">
      <w:pPr>
        <w:rPr>
          <w:noProof w:val="0"/>
          <w:sz w:val="24"/>
          <w:szCs w:val="24"/>
        </w:rPr>
      </w:pPr>
    </w:p>
    <w:sectPr w:rsidR="00F81933" w:rsidRPr="00E80543" w:rsidSect="005C558A">
      <w:footerReference w:type="default" r:id="rId10"/>
      <w:pgSz w:w="11906" w:h="16838"/>
      <w:pgMar w:top="993" w:right="850" w:bottom="1134" w:left="1701" w:header="708" w:footer="22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F6F" w:rsidRDefault="000C7F6F">
      <w:r>
        <w:separator/>
      </w:r>
    </w:p>
  </w:endnote>
  <w:endnote w:type="continuationSeparator" w:id="0">
    <w:p w:rsidR="000C7F6F" w:rsidRDefault="000C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sz w:val="20"/>
      </w:rPr>
      <w:id w:val="993611984"/>
      <w:docPartObj>
        <w:docPartGallery w:val="Page Numbers (Bottom of Page)"/>
        <w:docPartUnique/>
      </w:docPartObj>
    </w:sdtPr>
    <w:sdtEndPr/>
    <w:sdtContent>
      <w:p w:rsidR="005C558A" w:rsidRPr="005C558A" w:rsidRDefault="005C558A">
        <w:pPr>
          <w:pStyle w:val="Footer"/>
          <w:jc w:val="right"/>
          <w:rPr>
            <w:rFonts w:ascii="Garamond" w:hAnsi="Garamond"/>
            <w:sz w:val="20"/>
          </w:rPr>
        </w:pPr>
        <w:r w:rsidRPr="005C558A">
          <w:rPr>
            <w:rFonts w:ascii="Garamond" w:hAnsi="Garamond"/>
            <w:sz w:val="20"/>
          </w:rPr>
          <w:fldChar w:fldCharType="begin"/>
        </w:r>
        <w:r w:rsidRPr="005C558A">
          <w:rPr>
            <w:rFonts w:ascii="Garamond" w:hAnsi="Garamond"/>
            <w:sz w:val="20"/>
          </w:rPr>
          <w:instrText>PAGE   \* MERGEFORMAT</w:instrText>
        </w:r>
        <w:r w:rsidRPr="005C558A">
          <w:rPr>
            <w:rFonts w:ascii="Garamond" w:hAnsi="Garamond"/>
            <w:sz w:val="20"/>
          </w:rPr>
          <w:fldChar w:fldCharType="separate"/>
        </w:r>
        <w:r w:rsidR="00454405">
          <w:rPr>
            <w:rFonts w:ascii="Garamond" w:hAnsi="Garamond"/>
            <w:sz w:val="20"/>
          </w:rPr>
          <w:t>7</w:t>
        </w:r>
        <w:r w:rsidRPr="005C558A">
          <w:rPr>
            <w:rFonts w:ascii="Garamond" w:hAnsi="Garamond"/>
            <w:sz w:val="20"/>
          </w:rPr>
          <w:fldChar w:fldCharType="end"/>
        </w:r>
      </w:p>
    </w:sdtContent>
  </w:sdt>
  <w:p w:rsidR="005C558A" w:rsidRDefault="005C5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F6F" w:rsidRDefault="000C7F6F">
      <w:r>
        <w:separator/>
      </w:r>
    </w:p>
  </w:footnote>
  <w:footnote w:type="continuationSeparator" w:id="0">
    <w:p w:rsidR="000C7F6F" w:rsidRDefault="000C7F6F">
      <w:r>
        <w:continuationSeparator/>
      </w:r>
    </w:p>
  </w:footnote>
  <w:footnote w:id="1">
    <w:p w:rsidR="007C6ECB" w:rsidRPr="008474E7" w:rsidRDefault="007C6ECB" w:rsidP="007F3985">
      <w:pPr>
        <w:pStyle w:val="FootnoteText"/>
        <w:rPr>
          <w:rFonts w:ascii="Times New Roman" w:hAnsi="Times New Roman" w:cs="Times New Roman"/>
        </w:rPr>
      </w:pPr>
      <w:r w:rsidRPr="008474E7">
        <w:rPr>
          <w:rStyle w:val="FootnoteReference"/>
          <w:rFonts w:ascii="Times New Roman" w:hAnsi="Times New Roman" w:cs="Times New Roman"/>
          <w:sz w:val="18"/>
        </w:rPr>
        <w:footnoteRef/>
      </w:r>
      <w:r w:rsidRPr="008474E7">
        <w:rPr>
          <w:rFonts w:ascii="Times New Roman" w:hAnsi="Times New Roman" w:cs="Times New Roman"/>
          <w:sz w:val="18"/>
        </w:rPr>
        <w:t xml:space="preserve">   </w:t>
      </w:r>
      <w:r w:rsidRPr="008474E7">
        <w:rPr>
          <w:rFonts w:ascii="Times New Roman" w:hAnsi="Times New Roman" w:cs="Times New Roman"/>
          <w:sz w:val="18"/>
          <w:szCs w:val="24"/>
        </w:rPr>
        <w:t>Second Energy Efficiency Action Plans of the Contracting Parties: Assessment by the Energy Community Secretariat (Annex 4/32nd PHLG/03-03-2014), pages 5-6, and Annex: Assessments of the Energy Efficiency Action Plans of each Contracting Party, pages 26-31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60476"/>
    <w:multiLevelType w:val="hybridMultilevel"/>
    <w:tmpl w:val="BD8C343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103C7604"/>
    <w:multiLevelType w:val="hybridMultilevel"/>
    <w:tmpl w:val="AE64A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3057B2"/>
    <w:multiLevelType w:val="hybridMultilevel"/>
    <w:tmpl w:val="69460A7A"/>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59253785"/>
    <w:multiLevelType w:val="hybridMultilevel"/>
    <w:tmpl w:val="B1D4AF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D8238A2"/>
    <w:multiLevelType w:val="hybridMultilevel"/>
    <w:tmpl w:val="B77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50F"/>
    <w:rsid w:val="0001450F"/>
    <w:rsid w:val="000C2D94"/>
    <w:rsid w:val="000C7F6F"/>
    <w:rsid w:val="00107A7A"/>
    <w:rsid w:val="001407AF"/>
    <w:rsid w:val="00157D07"/>
    <w:rsid w:val="001718E3"/>
    <w:rsid w:val="00180B17"/>
    <w:rsid w:val="0018685D"/>
    <w:rsid w:val="001A2824"/>
    <w:rsid w:val="001C6DF8"/>
    <w:rsid w:val="00204D39"/>
    <w:rsid w:val="002511E9"/>
    <w:rsid w:val="00251843"/>
    <w:rsid w:val="00297C61"/>
    <w:rsid w:val="00333147"/>
    <w:rsid w:val="00342E91"/>
    <w:rsid w:val="003A48B1"/>
    <w:rsid w:val="00454405"/>
    <w:rsid w:val="00577907"/>
    <w:rsid w:val="005B1EDA"/>
    <w:rsid w:val="005C558A"/>
    <w:rsid w:val="006129C9"/>
    <w:rsid w:val="006302FC"/>
    <w:rsid w:val="006812BF"/>
    <w:rsid w:val="006B7552"/>
    <w:rsid w:val="006F3B33"/>
    <w:rsid w:val="00747F5E"/>
    <w:rsid w:val="00762954"/>
    <w:rsid w:val="0079039E"/>
    <w:rsid w:val="007B0319"/>
    <w:rsid w:val="007C6E83"/>
    <w:rsid w:val="007C6ECB"/>
    <w:rsid w:val="007F3985"/>
    <w:rsid w:val="00882366"/>
    <w:rsid w:val="008A5111"/>
    <w:rsid w:val="008C79C6"/>
    <w:rsid w:val="008D302D"/>
    <w:rsid w:val="00A05BE9"/>
    <w:rsid w:val="00A72430"/>
    <w:rsid w:val="00A946CE"/>
    <w:rsid w:val="00B93AD6"/>
    <w:rsid w:val="00BB75F6"/>
    <w:rsid w:val="00BC4139"/>
    <w:rsid w:val="00C650FF"/>
    <w:rsid w:val="00E34F1F"/>
    <w:rsid w:val="00E658C6"/>
    <w:rsid w:val="00E80543"/>
    <w:rsid w:val="00E96AB7"/>
    <w:rsid w:val="00EC4180"/>
    <w:rsid w:val="00F81933"/>
    <w:rsid w:val="00FA56F9"/>
    <w:rsid w:val="00FC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8BF208-751D-4C8B-AE8A-F5A275E2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0F"/>
    <w:pPr>
      <w:spacing w:after="0" w:line="240" w:lineRule="auto"/>
    </w:pPr>
    <w:rPr>
      <w:rFonts w:ascii="Times New Roman" w:eastAsia="Times New Roman" w:hAnsi="Times New Roman" w:cs="Times New Roman"/>
      <w:noProof/>
      <w:sz w:val="28"/>
      <w:szCs w:val="20"/>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50F"/>
    <w:pPr>
      <w:ind w:left="720"/>
      <w:contextualSpacing/>
    </w:pPr>
  </w:style>
  <w:style w:type="paragraph" w:styleId="Footer">
    <w:name w:val="footer"/>
    <w:basedOn w:val="Normal"/>
    <w:link w:val="FooterChar"/>
    <w:uiPriority w:val="99"/>
    <w:unhideWhenUsed/>
    <w:rsid w:val="0001450F"/>
    <w:pPr>
      <w:tabs>
        <w:tab w:val="center" w:pos="4677"/>
        <w:tab w:val="right" w:pos="9355"/>
      </w:tabs>
    </w:pPr>
  </w:style>
  <w:style w:type="character" w:customStyle="1" w:styleId="FooterChar">
    <w:name w:val="Footer Char"/>
    <w:basedOn w:val="DefaultParagraphFont"/>
    <w:link w:val="Footer"/>
    <w:uiPriority w:val="99"/>
    <w:rsid w:val="0001450F"/>
    <w:rPr>
      <w:rFonts w:ascii="Times New Roman" w:eastAsia="Times New Roman" w:hAnsi="Times New Roman" w:cs="Times New Roman"/>
      <w:noProof/>
      <w:sz w:val="28"/>
      <w:szCs w:val="20"/>
      <w:lang w:val="ro-RO" w:eastAsia="ru-RU"/>
    </w:rPr>
  </w:style>
  <w:style w:type="paragraph" w:styleId="FootnoteText">
    <w:name w:val="footnote text"/>
    <w:basedOn w:val="Normal"/>
    <w:link w:val="FootnoteTextChar"/>
    <w:uiPriority w:val="99"/>
    <w:semiHidden/>
    <w:unhideWhenUsed/>
    <w:rsid w:val="007F3985"/>
    <w:pPr>
      <w:widowControl w:val="0"/>
    </w:pPr>
    <w:rPr>
      <w:rFonts w:ascii="Arial Unicode MS" w:eastAsiaTheme="minorHAnsi" w:hAnsi="Arial Unicode MS" w:cs="Arial Unicode MS"/>
      <w:noProof w:val="0"/>
      <w:sz w:val="20"/>
      <w:lang w:eastAsia="en-US"/>
    </w:rPr>
  </w:style>
  <w:style w:type="character" w:customStyle="1" w:styleId="FootnoteTextChar">
    <w:name w:val="Footnote Text Char"/>
    <w:basedOn w:val="DefaultParagraphFont"/>
    <w:link w:val="FootnoteText"/>
    <w:uiPriority w:val="99"/>
    <w:semiHidden/>
    <w:rsid w:val="007F3985"/>
    <w:rPr>
      <w:rFonts w:ascii="Arial Unicode MS" w:hAnsi="Arial Unicode MS" w:cs="Arial Unicode MS"/>
      <w:sz w:val="20"/>
      <w:szCs w:val="20"/>
      <w:lang w:val="ro-RO"/>
    </w:rPr>
  </w:style>
  <w:style w:type="character" w:styleId="FootnoteReference">
    <w:name w:val="footnote reference"/>
    <w:basedOn w:val="DefaultParagraphFont"/>
    <w:uiPriority w:val="99"/>
    <w:semiHidden/>
    <w:unhideWhenUsed/>
    <w:rsid w:val="007F3985"/>
    <w:rPr>
      <w:vertAlign w:val="superscript"/>
    </w:rPr>
  </w:style>
  <w:style w:type="table" w:styleId="TableGrid">
    <w:name w:val="Table Grid"/>
    <w:basedOn w:val="TableNormal"/>
    <w:uiPriority w:val="59"/>
    <w:rsid w:val="007F3985"/>
    <w:pPr>
      <w:widowControl w:val="0"/>
      <w:spacing w:after="0" w:line="240" w:lineRule="auto"/>
    </w:pPr>
    <w:rPr>
      <w:rFonts w:ascii="Arial Unicode MS" w:hAnsi="Arial Unicode MS" w:cs="Arial Unicode MS"/>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3985"/>
    <w:rPr>
      <w:rFonts w:ascii="Tahoma" w:hAnsi="Tahoma" w:cs="Tahoma"/>
      <w:sz w:val="16"/>
      <w:szCs w:val="16"/>
    </w:rPr>
  </w:style>
  <w:style w:type="character" w:customStyle="1" w:styleId="BalloonTextChar">
    <w:name w:val="Balloon Text Char"/>
    <w:basedOn w:val="DefaultParagraphFont"/>
    <w:link w:val="BalloonText"/>
    <w:uiPriority w:val="99"/>
    <w:semiHidden/>
    <w:rsid w:val="007F3985"/>
    <w:rPr>
      <w:rFonts w:ascii="Tahoma" w:eastAsia="Times New Roman" w:hAnsi="Tahoma" w:cs="Tahoma"/>
      <w:noProof/>
      <w:sz w:val="16"/>
      <w:szCs w:val="16"/>
      <w:lang w:val="ro-RO" w:eastAsia="ru-RU"/>
    </w:rPr>
  </w:style>
  <w:style w:type="paragraph" w:styleId="Header">
    <w:name w:val="header"/>
    <w:basedOn w:val="Normal"/>
    <w:link w:val="HeaderChar"/>
    <w:uiPriority w:val="99"/>
    <w:unhideWhenUsed/>
    <w:rsid w:val="007F3985"/>
    <w:pPr>
      <w:tabs>
        <w:tab w:val="center" w:pos="4513"/>
        <w:tab w:val="right" w:pos="9026"/>
      </w:tabs>
    </w:pPr>
  </w:style>
  <w:style w:type="character" w:customStyle="1" w:styleId="HeaderChar">
    <w:name w:val="Header Char"/>
    <w:basedOn w:val="DefaultParagraphFont"/>
    <w:link w:val="Header"/>
    <w:uiPriority w:val="99"/>
    <w:rsid w:val="007F3985"/>
    <w:rPr>
      <w:rFonts w:ascii="Times New Roman" w:eastAsia="Times New Roman" w:hAnsi="Times New Roman" w:cs="Times New Roman"/>
      <w:noProof/>
      <w:sz w:val="28"/>
      <w:szCs w:val="20"/>
      <w:lang w:val="ro-RO" w:eastAsia="ru-RU"/>
    </w:rPr>
  </w:style>
  <w:style w:type="paragraph" w:customStyle="1" w:styleId="Default">
    <w:name w:val="Default"/>
    <w:rsid w:val="001C6DF8"/>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CommentReference">
    <w:name w:val="annotation reference"/>
    <w:basedOn w:val="DefaultParagraphFont"/>
    <w:uiPriority w:val="99"/>
    <w:semiHidden/>
    <w:unhideWhenUsed/>
    <w:rsid w:val="006F3B33"/>
    <w:rPr>
      <w:sz w:val="16"/>
      <w:szCs w:val="16"/>
    </w:rPr>
  </w:style>
  <w:style w:type="paragraph" w:styleId="CommentText">
    <w:name w:val="annotation text"/>
    <w:basedOn w:val="Normal"/>
    <w:link w:val="CommentTextChar"/>
    <w:uiPriority w:val="99"/>
    <w:semiHidden/>
    <w:unhideWhenUsed/>
    <w:rsid w:val="006F3B33"/>
    <w:rPr>
      <w:sz w:val="20"/>
    </w:rPr>
  </w:style>
  <w:style w:type="character" w:customStyle="1" w:styleId="CommentTextChar">
    <w:name w:val="Comment Text Char"/>
    <w:basedOn w:val="DefaultParagraphFont"/>
    <w:link w:val="CommentText"/>
    <w:uiPriority w:val="99"/>
    <w:semiHidden/>
    <w:rsid w:val="006F3B33"/>
    <w:rPr>
      <w:rFonts w:ascii="Times New Roman" w:eastAsia="Times New Roman" w:hAnsi="Times New Roman" w:cs="Times New Roman"/>
      <w:noProof/>
      <w:sz w:val="20"/>
      <w:szCs w:val="20"/>
      <w:lang w:val="ro-RO" w:eastAsia="ru-RU"/>
    </w:rPr>
  </w:style>
  <w:style w:type="paragraph" w:styleId="CommentSubject">
    <w:name w:val="annotation subject"/>
    <w:basedOn w:val="CommentText"/>
    <w:next w:val="CommentText"/>
    <w:link w:val="CommentSubjectChar"/>
    <w:uiPriority w:val="99"/>
    <w:semiHidden/>
    <w:unhideWhenUsed/>
    <w:rsid w:val="006F3B33"/>
    <w:rPr>
      <w:b/>
      <w:bCs/>
    </w:rPr>
  </w:style>
  <w:style w:type="character" w:customStyle="1" w:styleId="CommentSubjectChar">
    <w:name w:val="Comment Subject Char"/>
    <w:basedOn w:val="CommentTextChar"/>
    <w:link w:val="CommentSubject"/>
    <w:uiPriority w:val="99"/>
    <w:semiHidden/>
    <w:rsid w:val="006F3B33"/>
    <w:rPr>
      <w:rFonts w:ascii="Times New Roman" w:eastAsia="Times New Roman" w:hAnsi="Times New Roman" w:cs="Times New Roman"/>
      <w:b/>
      <w:bCs/>
      <w:noProof/>
      <w:sz w:val="20"/>
      <w:szCs w:val="20"/>
      <w:lang w:val="ro-RO" w:eastAsia="ru-RU"/>
    </w:rPr>
  </w:style>
  <w:style w:type="paragraph" w:styleId="Revision">
    <w:name w:val="Revision"/>
    <w:hidden/>
    <w:uiPriority w:val="99"/>
    <w:semiHidden/>
    <w:rsid w:val="006F3B33"/>
    <w:pPr>
      <w:spacing w:after="0" w:line="240" w:lineRule="auto"/>
    </w:pPr>
    <w:rPr>
      <w:rFonts w:ascii="Times New Roman" w:eastAsia="Times New Roman" w:hAnsi="Times New Roman" w:cs="Times New Roman"/>
      <w:noProof/>
      <w:sz w:val="28"/>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52332201304664"/>
          <c:y val="3.8782152230971131E-2"/>
          <c:w val="0.79214340559246543"/>
          <c:h val="0.78114701808107323"/>
        </c:manualLayout>
      </c:layout>
      <c:barChart>
        <c:barDir val="col"/>
        <c:grouping val="clustered"/>
        <c:varyColors val="0"/>
        <c:ser>
          <c:idx val="0"/>
          <c:order val="0"/>
          <c:tx>
            <c:strRef>
              <c:f>Лист1!$B$1</c:f>
              <c:strCache>
                <c:ptCount val="1"/>
                <c:pt idx="0">
                  <c:v>   ținta anuală</c:v>
                </c:pt>
              </c:strCache>
            </c:strRef>
          </c:tx>
          <c:spPr>
            <a:solidFill>
              <a:schemeClr val="accent1"/>
            </a:solidFill>
            <a:ln>
              <a:noFill/>
            </a:ln>
            <a:effectLst/>
          </c:spPr>
          <c:invertIfNegative val="0"/>
          <c:dPt>
            <c:idx val="0"/>
            <c:invertIfNegative val="0"/>
            <c:bubble3D val="0"/>
            <c:spPr>
              <a:solidFill>
                <a:schemeClr val="accent1">
                  <a:alpha val="25000"/>
                </a:schemeClr>
              </a:solidFill>
              <a:ln>
                <a:noFill/>
              </a:ln>
              <a:effectLst/>
            </c:spPr>
          </c:dPt>
          <c:dPt>
            <c:idx val="1"/>
            <c:invertIfNegative val="0"/>
            <c:bubble3D val="0"/>
            <c:spPr>
              <a:solidFill>
                <a:schemeClr val="accent1">
                  <a:alpha val="25000"/>
                </a:schemeClr>
              </a:solidFill>
              <a:ln>
                <a:noFill/>
              </a:ln>
              <a:effectLst/>
            </c:spPr>
          </c:dPt>
          <c:dPt>
            <c:idx val="5"/>
            <c:invertIfNegative val="0"/>
            <c:bubble3D val="0"/>
            <c:spPr>
              <a:solidFill>
                <a:schemeClr val="accent1">
                  <a:alpha val="25000"/>
                </a:schemeClr>
              </a:solidFill>
              <a:ln>
                <a:noFill/>
              </a:ln>
              <a:effectLst/>
            </c:spPr>
          </c:dPt>
          <c:dPt>
            <c:idx val="6"/>
            <c:invertIfNegative val="0"/>
            <c:bubble3D val="0"/>
            <c:spPr>
              <a:solidFill>
                <a:schemeClr val="accent1">
                  <a:alpha val="25000"/>
                </a:schemeClr>
              </a:solidFill>
              <a:ln>
                <a:noFill/>
              </a:ln>
              <a:effectLst/>
            </c:spPr>
          </c:dPt>
          <c:dPt>
            <c:idx val="7"/>
            <c:invertIfNegative val="0"/>
            <c:bubble3D val="0"/>
            <c:spPr>
              <a:solidFill>
                <a:schemeClr val="accent1">
                  <a:alpha val="25000"/>
                </a:schemeClr>
              </a:solidFill>
              <a:ln>
                <a:noFill/>
              </a:ln>
              <a:effectLst/>
            </c:spPr>
          </c:dPt>
          <c:dPt>
            <c:idx val="8"/>
            <c:invertIfNegative val="0"/>
            <c:bubble3D val="0"/>
            <c:spPr>
              <a:solidFill>
                <a:schemeClr val="accent1">
                  <a:alpha val="25000"/>
                </a:schemeClr>
              </a:solidFill>
              <a:ln>
                <a:noFill/>
              </a:ln>
              <a:effectLst/>
            </c:spPr>
          </c:dPt>
          <c:dPt>
            <c:idx val="9"/>
            <c:invertIfNegative val="0"/>
            <c:bubble3D val="0"/>
            <c:spPr>
              <a:solidFill>
                <a:schemeClr val="accent1">
                  <a:alpha val="25000"/>
                </a:schemeClr>
              </a:solidFill>
              <a:ln>
                <a:noFill/>
              </a:ln>
              <a:effectLst/>
            </c:spPr>
          </c:dPt>
          <c:cat>
            <c:numRef>
              <c:f>Лист1!$A$2:$A$11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Лист1!$B$2:$B$11</c:f>
              <c:numCache>
                <c:formatCode>0.0</c:formatCode>
                <c:ptCount val="10"/>
                <c:pt idx="0">
                  <c:v>0</c:v>
                </c:pt>
                <c:pt idx="1">
                  <c:v>18.579999999999998</c:v>
                </c:pt>
                <c:pt idx="2">
                  <c:v>37.159999999999997</c:v>
                </c:pt>
                <c:pt idx="3">
                  <c:v>55.739999999999995</c:v>
                </c:pt>
                <c:pt idx="4">
                  <c:v>74.319999999999993</c:v>
                </c:pt>
                <c:pt idx="5">
                  <c:v>92.899999999999991</c:v>
                </c:pt>
                <c:pt idx="6">
                  <c:v>111.47999999999999</c:v>
                </c:pt>
                <c:pt idx="7">
                  <c:v>130.06</c:v>
                </c:pt>
                <c:pt idx="8">
                  <c:v>148.63999999999999</c:v>
                </c:pt>
                <c:pt idx="9">
                  <c:v>167.21999999999997</c:v>
                </c:pt>
              </c:numCache>
            </c:numRef>
          </c:val>
          <c:extLst xmlns:c16r2="http://schemas.microsoft.com/office/drawing/2015/06/chart">
            <c:ext xmlns:c16="http://schemas.microsoft.com/office/drawing/2014/chart" uri="{C3380CC4-5D6E-409C-BE32-E72D297353CC}">
              <c16:uniqueId val="{00000000-BD28-4924-9ED7-C84B533E8930}"/>
            </c:ext>
          </c:extLst>
        </c:ser>
        <c:dLbls>
          <c:showLegendKey val="0"/>
          <c:showVal val="0"/>
          <c:showCatName val="0"/>
          <c:showSerName val="0"/>
          <c:showPercent val="0"/>
          <c:showBubbleSize val="0"/>
        </c:dLbls>
        <c:gapWidth val="219"/>
        <c:overlap val="-27"/>
        <c:axId val="353654576"/>
        <c:axId val="353640464"/>
      </c:barChart>
      <c:lineChart>
        <c:grouping val="standard"/>
        <c:varyColors val="0"/>
        <c:ser>
          <c:idx val="1"/>
          <c:order val="1"/>
          <c:tx>
            <c:strRef>
              <c:f>Лист1!$C$1</c:f>
              <c:strCache>
                <c:ptCount val="1"/>
                <c:pt idx="0">
                  <c:v>   economii de energie raportate</c:v>
                </c:pt>
              </c:strCache>
            </c:strRef>
          </c:tx>
          <c:spPr>
            <a:ln w="44450" cap="rnd">
              <a:solidFill>
                <a:srgbClr val="FF0000"/>
              </a:solidFill>
              <a:round/>
            </a:ln>
            <a:effectLst>
              <a:glow rad="127000">
                <a:schemeClr val="accent1">
                  <a:alpha val="40000"/>
                </a:schemeClr>
              </a:glow>
            </a:effectLst>
          </c:spPr>
          <c:marker>
            <c:symbol val="none"/>
          </c:marker>
          <c:cat>
            <c:numRef>
              <c:f>Лист1!$A$2:$A$11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Лист1!$C$2:$C$11</c:f>
              <c:numCache>
                <c:formatCode>General</c:formatCode>
                <c:ptCount val="10"/>
                <c:pt idx="1">
                  <c:v>12</c:v>
                </c:pt>
                <c:pt idx="2">
                  <c:v>22</c:v>
                </c:pt>
                <c:pt idx="3">
                  <c:v>30.72</c:v>
                </c:pt>
                <c:pt idx="4">
                  <c:v>30</c:v>
                </c:pt>
                <c:pt idx="5">
                  <c:v>43</c:v>
                </c:pt>
              </c:numCache>
            </c:numRef>
          </c:val>
          <c:smooth val="0"/>
          <c:extLst xmlns:c16r2="http://schemas.microsoft.com/office/drawing/2015/06/chart">
            <c:ext xmlns:c16="http://schemas.microsoft.com/office/drawing/2014/chart" uri="{C3380CC4-5D6E-409C-BE32-E72D297353CC}">
              <c16:uniqueId val="{00000001-BD28-4924-9ED7-C84B533E8930}"/>
            </c:ext>
          </c:extLst>
        </c:ser>
        <c:dLbls>
          <c:showLegendKey val="0"/>
          <c:showVal val="0"/>
          <c:showCatName val="0"/>
          <c:showSerName val="0"/>
          <c:showPercent val="0"/>
          <c:showBubbleSize val="0"/>
        </c:dLbls>
        <c:marker val="1"/>
        <c:smooth val="0"/>
        <c:axId val="353654576"/>
        <c:axId val="353640464"/>
      </c:lineChart>
      <c:catAx>
        <c:axId val="353654576"/>
        <c:scaling>
          <c:orientation val="minMax"/>
        </c:scaling>
        <c:delete val="0"/>
        <c:axPos val="b"/>
        <c:numFmt formatCode="General" sourceLinked="1"/>
        <c:majorTickMark val="none"/>
        <c:minorTickMark val="in"/>
        <c:tickLblPos val="nextTo"/>
        <c:spPr>
          <a:noFill/>
          <a:ln w="9525" cap="flat" cmpd="sng" algn="ctr">
            <a:solidFill>
              <a:schemeClr val="bg1">
                <a:lumMod val="50000"/>
              </a:schemeClr>
            </a:solidFill>
            <a:round/>
          </a:ln>
          <a:effectLst/>
        </c:spPr>
        <c:txPr>
          <a:bodyPr rot="-60000000" vert="horz"/>
          <a:lstStyle/>
          <a:p>
            <a:pPr>
              <a:defRPr b="1"/>
            </a:pPr>
            <a:endParaRPr lang="en-US"/>
          </a:p>
        </c:txPr>
        <c:crossAx val="353640464"/>
        <c:crosses val="autoZero"/>
        <c:auto val="1"/>
        <c:lblAlgn val="ctr"/>
        <c:lblOffset val="100"/>
        <c:noMultiLvlLbl val="0"/>
      </c:catAx>
      <c:valAx>
        <c:axId val="353640464"/>
        <c:scaling>
          <c:orientation val="minMax"/>
          <c:max val="20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400">
                    <a:solidFill>
                      <a:schemeClr val="tx1"/>
                    </a:solidFill>
                  </a:defRPr>
                </a:pPr>
                <a:r>
                  <a:rPr lang="x-none" sz="1400" baseline="0">
                    <a:solidFill>
                      <a:schemeClr val="tx1"/>
                    </a:solidFill>
                  </a:rPr>
                  <a:t>Mii</a:t>
                </a:r>
                <a:r>
                  <a:rPr lang="x-none" sz="1400">
                    <a:solidFill>
                      <a:schemeClr val="tx1"/>
                    </a:solidFill>
                  </a:rPr>
                  <a:t> tone echivalent petrol</a:t>
                </a:r>
                <a:endParaRPr lang="ru-RU" sz="1400">
                  <a:solidFill>
                    <a:schemeClr val="tx1"/>
                  </a:solidFill>
                </a:endParaRPr>
              </a:p>
            </c:rich>
          </c:tx>
          <c:layout>
            <c:manualLayout>
              <c:xMode val="edge"/>
              <c:yMode val="edge"/>
              <c:x val="1.84E-2"/>
              <c:y val="1.9381990712699384E-2"/>
            </c:manualLayout>
          </c:layout>
          <c:overlay val="0"/>
          <c:spPr>
            <a:noFill/>
            <a:ln>
              <a:noFill/>
            </a:ln>
            <a:effectLst/>
          </c:spPr>
        </c:title>
        <c:numFmt formatCode="0.0" sourceLinked="1"/>
        <c:majorTickMark val="in"/>
        <c:minorTickMark val="none"/>
        <c:tickLblPos val="nextTo"/>
        <c:spPr>
          <a:noFill/>
          <a:ln>
            <a:solidFill>
              <a:schemeClr val="accent1"/>
            </a:solidFill>
          </a:ln>
          <a:effectLst/>
        </c:spPr>
        <c:txPr>
          <a:bodyPr rot="-60000000" vert="horz"/>
          <a:lstStyle/>
          <a:p>
            <a:pPr>
              <a:defRPr lang="x-none" b="1">
                <a:solidFill>
                  <a:schemeClr val="tx1"/>
                </a:solidFill>
              </a:defRPr>
            </a:pPr>
            <a:endParaRPr lang="en-US"/>
          </a:p>
        </c:txPr>
        <c:crossAx val="353654576"/>
        <c:crosses val="autoZero"/>
        <c:crossBetween val="between"/>
        <c:majorUnit val="25"/>
      </c:valAx>
      <c:spPr>
        <a:noFill/>
        <a:ln>
          <a:noFill/>
        </a:ln>
        <a:effectLst/>
      </c:spPr>
    </c:plotArea>
    <c:legend>
      <c:legendPos val="b"/>
      <c:layout>
        <c:manualLayout>
          <c:xMode val="edge"/>
          <c:yMode val="edge"/>
          <c:x val="0.18624144257302444"/>
          <c:y val="0.91760990813648291"/>
          <c:w val="0.76617426991090498"/>
          <c:h val="4.9982684456109649E-2"/>
        </c:manualLayout>
      </c:layout>
      <c:overlay val="0"/>
      <c:spPr>
        <a:noFill/>
        <a:ln>
          <a:noFill/>
        </a:ln>
        <a:effectLst/>
      </c:spPr>
      <c:txPr>
        <a:bodyPr rot="0" vert="horz"/>
        <a:lstStyle/>
        <a:p>
          <a:pPr>
            <a:defRPr/>
          </a:pPr>
          <a:endParaRPr lang="en-US"/>
        </a:p>
      </c:txPr>
    </c:legend>
    <c:plotVisOnly val="1"/>
    <c:dispBlanksAs val="gap"/>
    <c:showDLblsOverMax val="0"/>
  </c:chart>
  <c:spPr>
    <a:noFill/>
    <a:ln>
      <a:noFill/>
    </a:ln>
    <a:effectLst/>
  </c:spPr>
  <c:txPr>
    <a:bodyPr/>
    <a:lstStyle/>
    <a:p>
      <a:pPr>
        <a:defRPr sz="1200">
          <a:latin typeface="Garamond" panose="02020404030301010803" pitchFamily="18" charset="0"/>
        </a:defRPr>
      </a:pPr>
      <a:endParaRPr lang="en-US"/>
    </a:p>
  </c:txPr>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6">
    <a:dk1>
      <a:srgbClr val="7A7A7A"/>
    </a:dk1>
    <a:lt1>
      <a:srgbClr val="FFFFFF"/>
    </a:lt1>
    <a:dk2>
      <a:srgbClr val="D1282E"/>
    </a:dk2>
    <a:lt2>
      <a:srgbClr val="B6CCAE"/>
    </a:lt2>
    <a:accent1>
      <a:srgbClr val="7A7A7A"/>
    </a:accent1>
    <a:accent2>
      <a:srgbClr val="F5C201"/>
    </a:accent2>
    <a:accent3>
      <a:srgbClr val="76975D"/>
    </a:accent3>
    <a:accent4>
      <a:srgbClr val="989AAC"/>
    </a:accent4>
    <a:accent5>
      <a:srgbClr val="DC5924"/>
    </a:accent5>
    <a:accent6>
      <a:srgbClr val="92D050"/>
    </a:accent6>
    <a:hlink>
      <a:srgbClr val="FFEFC1"/>
    </a:hlink>
    <a:folHlink>
      <a:srgbClr val="908F63"/>
    </a:folHlink>
  </a:clrScheme>
  <a:fontScheme name="Custom 1">
    <a:majorFont>
      <a:latin typeface="Arial Black"/>
      <a:ea typeface=""/>
      <a:cs typeface=""/>
    </a:majorFont>
    <a:minorFont>
      <a:latin typeface="Corbel"/>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Pages>
  <Words>2762</Words>
  <Characters>15748</Characters>
  <Application>Microsoft Office Word</Application>
  <DocSecurity>0</DocSecurity>
  <Lines>131</Lines>
  <Paragraphs>36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emiliano nicanor</cp:lastModifiedBy>
  <cp:revision>4</cp:revision>
  <dcterms:created xsi:type="dcterms:W3CDTF">2016-06-04T11:52:00Z</dcterms:created>
  <dcterms:modified xsi:type="dcterms:W3CDTF">2016-06-15T11:14:00Z</dcterms:modified>
</cp:coreProperties>
</file>