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CCC" w:rsidRPr="002E1B44" w:rsidRDefault="00A66CCC" w:rsidP="00B277C5">
      <w:pPr>
        <w:spacing w:line="360" w:lineRule="auto"/>
        <w:ind w:firstLine="540"/>
        <w:jc w:val="center"/>
        <w:rPr>
          <w:noProof/>
          <w:lang w:val="ro-RO"/>
        </w:rPr>
      </w:pPr>
      <w:r w:rsidRPr="002E1B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6C5C0" wp14:editId="6C8D2952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1028700" cy="3136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CCC" w:rsidRDefault="00A66CCC" w:rsidP="00A66CCC">
                            <w:pPr>
                              <w:jc w:val="right"/>
                              <w:rPr>
                                <w:rFonts w:ascii="Palatino Linotype" w:hAnsi="Palatino Linotype" w:cs="Palatino Linotype"/>
                                <w:i/>
                                <w:iCs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i/>
                                <w:iCs/>
                                <w:u w:val="single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6C5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pt;margin-top:-27pt;width:81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RimhA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" stroked="f">
                <v:textbox>
                  <w:txbxContent>
                    <w:p w:rsidR="00A66CCC" w:rsidRDefault="00A66CCC" w:rsidP="00A66CCC">
                      <w:pPr>
                        <w:jc w:val="right"/>
                        <w:rPr>
                          <w:rFonts w:ascii="Palatino Linotype" w:hAnsi="Palatino Linotype" w:cs="Palatino Linotype"/>
                          <w:i/>
                          <w:iCs/>
                          <w:u w:val="single"/>
                          <w:lang w:val="ro-RO"/>
                        </w:rPr>
                      </w:pPr>
                      <w:r>
                        <w:rPr>
                          <w:rFonts w:ascii="Palatino Linotype" w:hAnsi="Palatino Linotype" w:cs="Palatino Linotype"/>
                          <w:i/>
                          <w:iCs/>
                          <w:u w:val="single"/>
                          <w:lang w:val="ro-RO"/>
                        </w:rPr>
                        <w:t>proiect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176132749"/>
      <w:bookmarkEnd w:id="0"/>
      <w:r w:rsidR="008221E4" w:rsidRPr="002E1B44">
        <w:rPr>
          <w:noProof/>
          <w:lang w:val="ro-RO"/>
        </w:rPr>
        <w:object w:dxaOrig="146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1.2pt" o:ole="" fillcolor="window">
            <v:imagedata r:id="rId5" o:title=""/>
          </v:shape>
          <o:OLEObject Type="Embed" ProgID="Word.Picture.8" ShapeID="_x0000_i1025" DrawAspect="Content" ObjectID="_1533380081" r:id="rId6"/>
        </w:object>
      </w:r>
    </w:p>
    <w:p w:rsidR="00A66CCC" w:rsidRPr="002E1B44" w:rsidRDefault="00A66CCC" w:rsidP="00B277C5">
      <w:pPr>
        <w:spacing w:line="360" w:lineRule="auto"/>
        <w:ind w:firstLine="540"/>
        <w:jc w:val="center"/>
        <w:rPr>
          <w:lang w:val="ro-RO"/>
        </w:rPr>
      </w:pPr>
    </w:p>
    <w:p w:rsidR="00A66CCC" w:rsidRPr="002E1B44" w:rsidRDefault="00A66CCC" w:rsidP="00B277C5">
      <w:pPr>
        <w:pStyle w:val="cn"/>
        <w:spacing w:line="360" w:lineRule="auto"/>
        <w:ind w:firstLine="540"/>
        <w:rPr>
          <w:b/>
          <w:bCs/>
          <w:lang w:val="ro-RO"/>
        </w:rPr>
      </w:pPr>
      <w:r w:rsidRPr="002E1B44">
        <w:rPr>
          <w:b/>
          <w:bCs/>
          <w:lang w:val="ro-RO"/>
        </w:rPr>
        <w:t>GUVERNUL REPUBLICII MOLDOVA</w:t>
      </w:r>
    </w:p>
    <w:p w:rsidR="00A66CCC" w:rsidRPr="002E1B44" w:rsidRDefault="00A66CCC" w:rsidP="00B277C5">
      <w:pPr>
        <w:pStyle w:val="tt"/>
        <w:spacing w:line="360" w:lineRule="auto"/>
        <w:ind w:firstLine="540"/>
        <w:rPr>
          <w:lang w:val="ro-RO"/>
        </w:rPr>
      </w:pPr>
    </w:p>
    <w:p w:rsidR="00A66CCC" w:rsidRPr="002E1B44" w:rsidRDefault="00A66CCC" w:rsidP="00B277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sz w:val="24"/>
          <w:szCs w:val="24"/>
          <w:lang w:val="ro-RO"/>
        </w:rPr>
        <w:t>H O T Ă R Î R E</w:t>
      </w:r>
    </w:p>
    <w:p w:rsidR="00A66CCC" w:rsidRPr="002E1B44" w:rsidRDefault="00A66CCC" w:rsidP="00B277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66CCC" w:rsidRPr="002E1B44" w:rsidRDefault="00A66CCC" w:rsidP="00B277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sz w:val="24"/>
          <w:szCs w:val="24"/>
          <w:lang w:val="ro-RO"/>
        </w:rPr>
        <w:t>nr. _____ din _____________________ 2016</w:t>
      </w:r>
    </w:p>
    <w:p w:rsidR="00A66CCC" w:rsidRPr="002E1B44" w:rsidRDefault="00A66CCC" w:rsidP="00B277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B7A8E" w:rsidRDefault="00365189" w:rsidP="008221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1" w:name="_GoBack"/>
      <w:r w:rsidRPr="002E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cu privire la aprobarea</w:t>
      </w:r>
      <w:r w:rsidR="009B7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modificărilor şi completărilor</w:t>
      </w:r>
    </w:p>
    <w:p w:rsidR="00365189" w:rsidRPr="002E1B44" w:rsidRDefault="00365189" w:rsidP="008221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E1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ce se operează în unele hotărîri ale Guvernului</w:t>
      </w:r>
      <w:bookmarkEnd w:id="1"/>
    </w:p>
    <w:p w:rsidR="00A66CCC" w:rsidRPr="002E1B44" w:rsidRDefault="00C22E1F" w:rsidP="008221E4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În conformitate cu prevederile Legii metrologiei nr. 19 din 4 martie 2016</w:t>
      </w:r>
      <w:r w:rsidR="00482706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</w:t>
      </w:r>
      <w:r w:rsidR="00A66CCC" w:rsidRPr="002E1B44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Guvernul</w:t>
      </w:r>
    </w:p>
    <w:p w:rsidR="00A66CCC" w:rsidRPr="002E1B44" w:rsidRDefault="00A66CCC" w:rsidP="008221E4">
      <w:pPr>
        <w:spacing w:line="360" w:lineRule="auto"/>
        <w:ind w:firstLine="284"/>
        <w:rPr>
          <w:lang w:val="ro-RO" w:eastAsia="en-GB"/>
        </w:rPr>
      </w:pPr>
    </w:p>
    <w:p w:rsidR="00A66CCC" w:rsidRPr="002E1B44" w:rsidRDefault="00A66CCC" w:rsidP="008221E4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2E1B4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HOTĂRĂŞTE:</w:t>
      </w:r>
    </w:p>
    <w:p w:rsidR="00365189" w:rsidRPr="002E1B44" w:rsidRDefault="00365189" w:rsidP="008221E4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A32283" w:rsidRPr="002E1B44" w:rsidRDefault="00365189" w:rsidP="008221E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sz w:val="24"/>
          <w:szCs w:val="24"/>
          <w:lang w:val="ro-RO"/>
        </w:rPr>
        <w:t>Se aprobă modificările şi completările ce se operează în unele hotărîri ale Guvernului (se anexează).</w:t>
      </w:r>
    </w:p>
    <w:p w:rsidR="00365189" w:rsidRPr="002E1B44" w:rsidRDefault="00365189" w:rsidP="008221E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65189" w:rsidRPr="002E1B44" w:rsidRDefault="00365189" w:rsidP="008221E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Modificările și completările </w:t>
      </w:r>
    </w:p>
    <w:p w:rsidR="00365189" w:rsidRPr="002E1B44" w:rsidRDefault="00365189" w:rsidP="008221E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b/>
          <w:bCs/>
          <w:sz w:val="24"/>
          <w:szCs w:val="24"/>
          <w:lang w:val="ro-RO"/>
        </w:rPr>
        <w:t>ce se operează în unele hotărîri ale Guvernului</w:t>
      </w:r>
    </w:p>
    <w:p w:rsidR="00944815" w:rsidRDefault="00944815" w:rsidP="008221E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sz w:val="24"/>
          <w:szCs w:val="24"/>
          <w:lang w:val="ro-RO"/>
        </w:rPr>
        <w:t>Hotărîrea Guvernului nr. 881 din 21.10.2014 cu privire la aprobarea Regulamentului general de metrologie legală de stabilire a cerinţelor privind sticlele utilizate ca recipiente de măsurare se modifică după cum urmează:</w:t>
      </w:r>
    </w:p>
    <w:p w:rsidR="00C6351D" w:rsidRDefault="00C6351D" w:rsidP="00C6351D">
      <w:pPr>
        <w:pStyle w:val="ListParagraph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tot parcursul textului</w:t>
      </w:r>
      <w:r w:rsidR="005A53AF">
        <w:rPr>
          <w:rFonts w:ascii="Times New Roman" w:hAnsi="Times New Roman" w:cs="Times New Roman"/>
          <w:sz w:val="24"/>
          <w:szCs w:val="24"/>
          <w:lang w:val="ro-RO"/>
        </w:rPr>
        <w:t xml:space="preserve"> din sintagma ”recipiente de măsurare”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cuvîntul ”măsurare” se substituie cu cuvîntul ”măsură”.</w:t>
      </w:r>
    </w:p>
    <w:p w:rsidR="00687AEE" w:rsidRPr="00362AE3" w:rsidRDefault="00DF58F5" w:rsidP="00DF58F5">
      <w:pPr>
        <w:pStyle w:val="ListParagraph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</w:t>
      </w:r>
      <w:r w:rsidR="00CE5D8F" w:rsidRPr="00362AE3">
        <w:rPr>
          <w:rFonts w:ascii="Times New Roman" w:hAnsi="Times New Roman" w:cs="Times New Roman"/>
          <w:sz w:val="24"/>
          <w:szCs w:val="24"/>
          <w:lang w:val="ro-RO"/>
        </w:rPr>
        <w:t xml:space="preserve">unctul </w:t>
      </w:r>
      <w:r w:rsidR="00687AEE" w:rsidRPr="00362AE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E5D8F" w:rsidRPr="00362AE3">
        <w:rPr>
          <w:rFonts w:ascii="Times New Roman" w:hAnsi="Times New Roman" w:cs="Times New Roman"/>
          <w:sz w:val="24"/>
          <w:szCs w:val="24"/>
          <w:lang w:val="ro-RO"/>
        </w:rPr>
        <w:t>, capitolul I se modifică și va avea următorul cuprins: ”Producătorul, reprezentantul autorizat al acestuia sau importatorul trebuie să respecte cerințele prezentului Regulament.”</w:t>
      </w:r>
    </w:p>
    <w:p w:rsidR="00944815" w:rsidRPr="002E1B44" w:rsidRDefault="00944815" w:rsidP="00DF58F5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sz w:val="24"/>
          <w:szCs w:val="24"/>
          <w:lang w:val="ro-RO"/>
        </w:rPr>
        <w:lastRenderedPageBreak/>
        <w:t>La litera c), punctul 6, capitolul II, după cuvîntul ”corespunzător” se completează cu cuvîntul ”fie”, iar după cuvîntul ”nominale” se completează cu cuvintele ”fie capacității maxime”.</w:t>
      </w:r>
    </w:p>
    <w:p w:rsidR="00767335" w:rsidRPr="002E1B44" w:rsidRDefault="00767335" w:rsidP="00DF58F5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sz w:val="24"/>
          <w:szCs w:val="24"/>
          <w:lang w:val="ro-RO"/>
        </w:rPr>
        <w:t>La punctul 8, capitolul II, cu</w:t>
      </w:r>
      <w:r w:rsidR="002B5F94"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2E1B44">
        <w:rPr>
          <w:rFonts w:ascii="Times New Roman" w:hAnsi="Times New Roman" w:cs="Times New Roman"/>
          <w:sz w:val="24"/>
          <w:szCs w:val="24"/>
          <w:lang w:val="ro-RO"/>
        </w:rPr>
        <w:t>intele ”regulamentele sau actele normative naţionale referitoare la produsele preambalate” se substituie cu cu</w:t>
      </w:r>
      <w:r w:rsidR="002B5F94"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2E1B44">
        <w:rPr>
          <w:rFonts w:ascii="Times New Roman" w:hAnsi="Times New Roman" w:cs="Times New Roman"/>
          <w:sz w:val="24"/>
          <w:szCs w:val="24"/>
          <w:lang w:val="ro-RO"/>
        </w:rPr>
        <w:t xml:space="preserve">intele ”Hotărîrea Guvernului nr. 907 din 04.11.2014 cu privire la aprobarea </w:t>
      </w:r>
      <w:r w:rsidR="00DF58F5" w:rsidRPr="00DF58F5">
        <w:rPr>
          <w:rFonts w:ascii="Times New Roman" w:hAnsi="Times New Roman" w:cs="Times New Roman"/>
          <w:sz w:val="24"/>
          <w:szCs w:val="24"/>
          <w:lang w:val="ro-RO"/>
        </w:rPr>
        <w:t>Regulamentului general de metrologie legală referitor la preambalarea, în funcție de masă sau volum, a anumitor produse preambalate</w:t>
      </w:r>
      <w:r w:rsidRPr="002E1B44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DE26D7" w:rsidRPr="002E1B4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F58F5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A66FA4">
        <w:rPr>
          <w:rFonts w:ascii="Times New Roman" w:hAnsi="Times New Roman" w:cs="Times New Roman"/>
          <w:sz w:val="24"/>
          <w:szCs w:val="24"/>
          <w:lang w:val="ro-RO"/>
        </w:rPr>
        <w:t>alineatul 2</w:t>
      </w:r>
      <w:r w:rsidR="00DF58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6FA4">
        <w:rPr>
          <w:rFonts w:ascii="Times New Roman" w:hAnsi="Times New Roman" w:cs="Times New Roman"/>
          <w:sz w:val="24"/>
          <w:szCs w:val="24"/>
          <w:lang w:val="ro-RO"/>
        </w:rPr>
        <w:t>cuvintele ”trebuie să fie</w:t>
      </w:r>
      <w:r w:rsidR="002B5F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B5F94">
        <w:rPr>
          <w:rFonts w:ascii="Times New Roman" w:hAnsi="Times New Roman" w:cs="Times New Roman"/>
          <w:sz w:val="24"/>
          <w:szCs w:val="24"/>
          <w:lang w:val="ro-RO"/>
        </w:rPr>
        <w:t>acceași</w:t>
      </w:r>
      <w:proofErr w:type="spellEnd"/>
      <w:r w:rsidR="00A66FA4">
        <w:rPr>
          <w:rFonts w:ascii="Times New Roman" w:hAnsi="Times New Roman" w:cs="Times New Roman"/>
          <w:sz w:val="24"/>
          <w:szCs w:val="24"/>
          <w:lang w:val="ro-RO"/>
        </w:rPr>
        <w:t>” se substituie cu cuvîntul ”este</w:t>
      </w:r>
      <w:r w:rsidR="002B5F94">
        <w:rPr>
          <w:rFonts w:ascii="Times New Roman" w:hAnsi="Times New Roman" w:cs="Times New Roman"/>
          <w:sz w:val="24"/>
          <w:szCs w:val="24"/>
          <w:lang w:val="ro-RO"/>
        </w:rPr>
        <w:t xml:space="preserve"> aceeași</w:t>
      </w:r>
      <w:r w:rsidR="00A66FA4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767335" w:rsidRPr="002E1B44" w:rsidRDefault="00DE26D7" w:rsidP="008221E4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sz w:val="24"/>
          <w:szCs w:val="24"/>
          <w:lang w:val="ro-RO"/>
        </w:rPr>
        <w:t>La punctul 9, capitolul II, cuintele ”o temperatur</w:t>
      </w:r>
      <w:r w:rsidR="000E410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E1B44">
        <w:rPr>
          <w:rFonts w:ascii="Times New Roman" w:hAnsi="Times New Roman" w:cs="Times New Roman"/>
          <w:sz w:val="24"/>
          <w:szCs w:val="24"/>
          <w:lang w:val="ro-RO"/>
        </w:rPr>
        <w:t xml:space="preserve">” se substituie cu cuvîntul </w:t>
      </w:r>
      <w:r w:rsidR="000E4101">
        <w:rPr>
          <w:rFonts w:ascii="Times New Roman" w:hAnsi="Times New Roman" w:cs="Times New Roman"/>
          <w:sz w:val="24"/>
          <w:szCs w:val="24"/>
          <w:lang w:val="ro-RO"/>
        </w:rPr>
        <w:t>”temperatura</w:t>
      </w:r>
      <w:r w:rsidRPr="002E1B44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DE26D7" w:rsidRPr="002E1B44" w:rsidRDefault="00DE26D7" w:rsidP="008221E4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sz w:val="24"/>
          <w:szCs w:val="24"/>
          <w:lang w:val="ro-RO"/>
        </w:rPr>
        <w:t>La punctul 11, capitolul II, cuvintele ”(la producător sau la repre</w:t>
      </w:r>
      <w:r w:rsidR="008A2560">
        <w:rPr>
          <w:rFonts w:ascii="Times New Roman" w:hAnsi="Times New Roman" w:cs="Times New Roman"/>
          <w:sz w:val="24"/>
          <w:szCs w:val="24"/>
          <w:lang w:val="ro-RO"/>
        </w:rPr>
        <w:t>zentantul autorizat)” se exclud</w:t>
      </w:r>
      <w:r w:rsidRPr="002E1B44">
        <w:rPr>
          <w:rFonts w:ascii="Times New Roman" w:hAnsi="Times New Roman" w:cs="Times New Roman"/>
          <w:sz w:val="24"/>
          <w:szCs w:val="24"/>
          <w:lang w:val="ro-RO"/>
        </w:rPr>
        <w:t xml:space="preserve">, iar cuvintele ”la importator” se substituie cu cuvintele ”în depozitul reprezentantului autorizat sau a importatorului”. </w:t>
      </w:r>
      <w:r w:rsidR="00F55CA5">
        <w:rPr>
          <w:rFonts w:ascii="Times New Roman" w:hAnsi="Times New Roman" w:cs="Times New Roman"/>
          <w:sz w:val="24"/>
          <w:szCs w:val="24"/>
          <w:lang w:val="ro-RO"/>
        </w:rPr>
        <w:t>La propoziția a doua cuvintele ”alte laboratoare de metrologie” se substituie cu cuvintele ”</w:t>
      </w:r>
      <w:r w:rsidR="00F55CA5" w:rsidRPr="00EA7CFD">
        <w:rPr>
          <w:rFonts w:ascii="Times New Roman" w:hAnsi="Times New Roman" w:cs="Times New Roman"/>
          <w:sz w:val="24"/>
          <w:szCs w:val="24"/>
          <w:lang w:val="ro-RO"/>
        </w:rPr>
        <w:t xml:space="preserve">laboratoarele de metrologie acreditate și desemnate pe domenii specifice măsurărilor efectuate </w:t>
      </w:r>
      <w:r w:rsidR="007419A7">
        <w:rPr>
          <w:rFonts w:ascii="Times New Roman" w:hAnsi="Times New Roman" w:cs="Times New Roman"/>
          <w:sz w:val="24"/>
          <w:szCs w:val="24"/>
          <w:lang w:val="ro-RO"/>
        </w:rPr>
        <w:t>pentru sticlele</w:t>
      </w:r>
      <w:r w:rsidR="00F55CA5" w:rsidRPr="00EA7CFD">
        <w:rPr>
          <w:rFonts w:ascii="Times New Roman" w:hAnsi="Times New Roman" w:cs="Times New Roman"/>
          <w:sz w:val="24"/>
          <w:szCs w:val="24"/>
          <w:lang w:val="ro-RO"/>
        </w:rPr>
        <w:t xml:space="preserve"> util</w:t>
      </w:r>
      <w:r w:rsidR="00A66FA4">
        <w:rPr>
          <w:rFonts w:ascii="Times New Roman" w:hAnsi="Times New Roman" w:cs="Times New Roman"/>
          <w:sz w:val="24"/>
          <w:szCs w:val="24"/>
          <w:lang w:val="ro-RO"/>
        </w:rPr>
        <w:t>izate ca recipiente de măsurare</w:t>
      </w:r>
      <w:r w:rsidR="00F55CA5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DE26D7" w:rsidRDefault="004047D8" w:rsidP="008221E4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sz w:val="24"/>
          <w:szCs w:val="24"/>
          <w:lang w:val="ro-RO"/>
        </w:rPr>
        <w:t>La punctul 12, capitolul II, cuvintele ”autorităţile de supraveghere a pieţei” se substituie cu cuvintele ”Agenția pentru Protecția Consumatorilor pe lanțul de comercializare al produselor”.</w:t>
      </w:r>
      <w:r w:rsidR="009B1D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047D8" w:rsidRPr="002E1B44" w:rsidRDefault="004047D8" w:rsidP="008221E4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1B44">
        <w:rPr>
          <w:rFonts w:ascii="Times New Roman" w:hAnsi="Times New Roman" w:cs="Times New Roman"/>
          <w:sz w:val="24"/>
          <w:szCs w:val="24"/>
          <w:lang w:val="ro-RO"/>
        </w:rPr>
        <w:t>La punctul 15, capitolul III, după cuvîntul ”corespunzător” se completează cu cu</w:t>
      </w:r>
      <w:r w:rsidR="009B7A8E">
        <w:rPr>
          <w:rFonts w:ascii="Times New Roman" w:hAnsi="Times New Roman" w:cs="Times New Roman"/>
          <w:sz w:val="24"/>
          <w:szCs w:val="24"/>
          <w:lang w:val="ro-RO"/>
        </w:rPr>
        <w:t xml:space="preserve">vintele </w:t>
      </w:r>
      <w:r w:rsidRPr="002E1B44">
        <w:rPr>
          <w:rFonts w:ascii="Times New Roman" w:hAnsi="Times New Roman" w:cs="Times New Roman"/>
          <w:sz w:val="24"/>
          <w:szCs w:val="24"/>
          <w:lang w:val="ro-RO"/>
        </w:rPr>
        <w:t>”metodei de verificare folosită”. Cuvîntul ”eta</w:t>
      </w:r>
      <w:r w:rsidR="002E1B44" w:rsidRPr="002E1B44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2E1B44">
        <w:rPr>
          <w:rFonts w:ascii="Times New Roman" w:hAnsi="Times New Roman" w:cs="Times New Roman"/>
          <w:sz w:val="24"/>
          <w:szCs w:val="24"/>
          <w:lang w:val="ro-RO"/>
        </w:rPr>
        <w:t>onate” din a doua propoziție se substituie cu cu</w:t>
      </w:r>
      <w:r w:rsidR="00110424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8A2560">
        <w:rPr>
          <w:rFonts w:ascii="Times New Roman" w:hAnsi="Times New Roman" w:cs="Times New Roman"/>
          <w:sz w:val="24"/>
          <w:szCs w:val="24"/>
          <w:lang w:val="ro-RO"/>
        </w:rPr>
        <w:t>intele</w:t>
      </w:r>
      <w:r w:rsidRPr="002E1B44">
        <w:rPr>
          <w:rFonts w:ascii="Times New Roman" w:hAnsi="Times New Roman" w:cs="Times New Roman"/>
          <w:sz w:val="24"/>
          <w:szCs w:val="24"/>
          <w:lang w:val="ro-RO"/>
        </w:rPr>
        <w:t xml:space="preserve"> ”</w:t>
      </w:r>
      <w:r w:rsidR="004A7E1A">
        <w:rPr>
          <w:rFonts w:ascii="Times New Roman" w:hAnsi="Times New Roman" w:cs="Times New Roman"/>
          <w:sz w:val="24"/>
          <w:szCs w:val="24"/>
          <w:lang w:val="ro-RO"/>
        </w:rPr>
        <w:t>supuse controlului metrologic legal</w:t>
      </w:r>
      <w:r w:rsidRPr="002E1B44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8A7411" w:rsidRPr="008A7411" w:rsidRDefault="00892372" w:rsidP="008221E4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3E5B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1C77E5" w:rsidRPr="00673E5B">
        <w:rPr>
          <w:rFonts w:ascii="Times New Roman" w:hAnsi="Times New Roman" w:cs="Times New Roman"/>
          <w:sz w:val="24"/>
          <w:szCs w:val="24"/>
          <w:lang w:val="ro-RO"/>
        </w:rPr>
        <w:t xml:space="preserve"> subpunctul 1),</w:t>
      </w:r>
      <w:r w:rsidR="000630A4" w:rsidRPr="00673E5B">
        <w:rPr>
          <w:rFonts w:ascii="Times New Roman" w:hAnsi="Times New Roman" w:cs="Times New Roman"/>
          <w:sz w:val="24"/>
          <w:szCs w:val="24"/>
          <w:lang w:val="ro-RO"/>
        </w:rPr>
        <w:t xml:space="preserve"> punctul 16 sintagma ”</w:t>
      </w:r>
      <w:r w:rsidR="000630A4">
        <w:rPr>
          <w:rFonts w:ascii="Times New Roman" w:hAnsi="Times New Roman" w:cs="Times New Roman"/>
          <w:noProof/>
          <w:sz w:val="18"/>
          <w:szCs w:val="18"/>
          <w:lang w:eastAsia="en-GB"/>
        </w:rPr>
        <w:drawing>
          <wp:inline distT="0" distB="0" distL="0" distR="0" wp14:anchorId="556FAC98" wp14:editId="383D3749">
            <wp:extent cx="114300" cy="180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0A4" w:rsidRPr="00673E5B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0630A4" w:rsidRPr="006817D9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177AED" w:rsidRPr="006817D9">
        <w:rPr>
          <w:rFonts w:ascii="Times New Roman" w:hAnsi="Times New Roman" w:cs="Times New Roman"/>
          <w:sz w:val="24"/>
          <w:szCs w:val="24"/>
          <w:lang w:val="ro-RO"/>
        </w:rPr>
        <w:t>transferă</w:t>
      </w:r>
      <w:r w:rsidR="00177AED" w:rsidRPr="00673E5B">
        <w:rPr>
          <w:rFonts w:ascii="Times New Roman" w:hAnsi="Times New Roman" w:cs="Times New Roman"/>
          <w:sz w:val="24"/>
          <w:szCs w:val="24"/>
          <w:lang w:val="ro-RO"/>
        </w:rPr>
        <w:t xml:space="preserve"> după cu</w:t>
      </w:r>
      <w:r w:rsidR="00110424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177AED" w:rsidRPr="00673E5B">
        <w:rPr>
          <w:rFonts w:ascii="Times New Roman" w:hAnsi="Times New Roman" w:cs="Times New Roman"/>
          <w:sz w:val="24"/>
          <w:szCs w:val="24"/>
          <w:lang w:val="ro-RO"/>
        </w:rPr>
        <w:t>întul ”medie”. Formulele</w:t>
      </w:r>
      <w:r w:rsidR="001210A2" w:rsidRPr="00673E5B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7D282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x=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sub>
            </m:sSub>
          </m:e>
        </m:nary>
      </m:oMath>
      <w:r w:rsidR="007D282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1210A2" w:rsidRP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>,</w:t>
      </w:r>
      <w:r w:rsidR="007D282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bar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35</m:t>
            </m:r>
          </m:den>
        </m:f>
      </m:oMath>
      <w:r w:rsidR="007D282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1210A2" w:rsidRP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bSup>
          </m:e>
        </m:nary>
      </m:oMath>
      <w:r w:rsidR="001210A2" w:rsidRP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(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)</m:t>
            </m:r>
          </m:e>
        </m:nary>
      </m:oMath>
      <w:r w:rsidR="001210A2" w:rsidRP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(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bSup>
          </m:e>
        </m:nary>
        <m:r>
          <w:rPr>
            <w:rFonts w:ascii="Cambria Math" w:hAnsi="Cambria Math" w:cs="Times New Roman"/>
            <w:sz w:val="24"/>
            <w:szCs w:val="24"/>
            <w:lang w:val="ro-RO"/>
          </w:rPr>
          <m:t>)/35</m:t>
        </m:r>
      </m:oMath>
      <w:r w:rsidR="001210A2" w:rsidRP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SC=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35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e>
        </m:nary>
      </m:oMath>
      <w:r w:rsidR="00673E5B" w:rsidRP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</w:p>
    <w:p w:rsidR="000630A4" w:rsidRPr="004F3464" w:rsidRDefault="00892372" w:rsidP="008A7411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S≤F(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)</m:t>
        </m:r>
      </m:oMath>
      <w:r w:rsidR="00673E5B" w:rsidRP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se modifică după cum urmează:</w:t>
      </w:r>
      <w:r w:rsidR="008A7411">
        <w:rPr>
          <w:rFonts w:ascii="Times New Roman" w:eastAsiaTheme="minorEastAsia" w:hAnsi="Times New Roman" w:cs="Times New Roman"/>
          <w:sz w:val="24"/>
          <w:szCs w:val="24"/>
          <w:lang w:val="ro-RO"/>
        </w:rPr>
        <w:br/>
      </w:r>
      <m:oMathPara>
        <m:oMath>
          <m:r>
            <w:rPr>
              <w:rFonts w:ascii="Cambria Math" w:hAnsi="Cambria Math" w:cs="Times New Roman"/>
              <w:sz w:val="24"/>
              <w:szCs w:val="24"/>
              <w:lang w:val="ro-RO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o-RO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35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  <w:lang w:val="ro-RO"/>
            </w:rPr>
            <w:br/>
          </m:r>
        </m:oMath>
      </m:oMathPara>
      <w:r w:rsid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>,</w:t>
      </w:r>
      <w:r w:rsidR="008A7411">
        <w:rPr>
          <w:rFonts w:ascii="Times New Roman" w:eastAsiaTheme="minorEastAsia" w:hAnsi="Times New Roman" w:cs="Times New Roman"/>
          <w:sz w:val="24"/>
          <w:szCs w:val="24"/>
          <w:lang w:val="ro-RO"/>
        </w:rPr>
        <w:br/>
      </w:r>
      <m:oMathPara>
        <m:oMath>
          <m:bar>
            <m:barPr>
              <m:pos m:val="to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bar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</m:t>
              </m:r>
            </m:e>
          </m:bar>
          <m:r>
            <w:rPr>
              <w:rFonts w:ascii="Cambria Math" w:eastAsiaTheme="minorEastAsia" w:hAnsi="Cambria Math" w:cs="Times New Roman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35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35</m:t>
              </m:r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  <w:lang w:val="ro-RO"/>
            </w:rPr>
            <w:br/>
          </m:r>
        </m:oMath>
      </m:oMathPara>
      <w:r w:rsid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>,</w:t>
      </w:r>
      <w:r w:rsidR="008A7411">
        <w:rPr>
          <w:rFonts w:ascii="Times New Roman" w:eastAsiaTheme="minorEastAsia" w:hAnsi="Times New Roman" w:cs="Times New Roman"/>
          <w:sz w:val="24"/>
          <w:szCs w:val="24"/>
          <w:lang w:val="ro-RO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35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bSup>
            </m:e>
          </m:nary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  <w:lang w:val="ro-RO"/>
            </w:rPr>
            <w:br/>
          </m:r>
        </m:oMath>
      </m:oMathPara>
      <w:r w:rsid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>,</w:t>
      </w:r>
      <w:r w:rsidR="008A7411">
        <w:rPr>
          <w:rFonts w:ascii="Times New Roman" w:eastAsiaTheme="minorEastAsia" w:hAnsi="Times New Roman" w:cs="Times New Roman"/>
          <w:sz w:val="24"/>
          <w:szCs w:val="24"/>
          <w:lang w:val="ro-RO"/>
        </w:rPr>
        <w:br/>
      </w: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ro-RO"/>
            </w:rPr>
            <w:lastRenderedPageBreak/>
            <m:t>(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35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bSup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ro-RO"/>
            </w:rPr>
            <m:t>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  <w:lang w:val="ro-RO"/>
            </w:rPr>
            <w:br/>
          </m:r>
        </m:oMath>
      </m:oMathPara>
      <w:r w:rsid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>,</w:t>
      </w:r>
      <w:r w:rsidR="008A7411">
        <w:rPr>
          <w:rFonts w:ascii="Times New Roman" w:eastAsiaTheme="minorEastAsia" w:hAnsi="Times New Roman" w:cs="Times New Roman"/>
          <w:sz w:val="24"/>
          <w:szCs w:val="24"/>
          <w:lang w:val="ro-RO"/>
        </w:rPr>
        <w:br/>
      </w: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ro-RO"/>
            </w:rPr>
            <m:t>(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35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4"/>
              <w:szCs w:val="24"/>
              <w:lang w:val="ro-RO"/>
            </w:rPr>
            <m:t>)/35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  <w:lang w:val="ro-RO"/>
            </w:rPr>
            <w:br/>
          </m:r>
        </m:oMath>
      </m:oMathPara>
      <w:r w:rsid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>,</w:t>
      </w:r>
      <w:r w:rsidR="008A7411">
        <w:rPr>
          <w:rFonts w:ascii="Times New Roman" w:eastAsiaTheme="minorEastAsia" w:hAnsi="Times New Roman" w:cs="Times New Roman"/>
          <w:sz w:val="24"/>
          <w:szCs w:val="24"/>
          <w:lang w:val="ro-RO"/>
        </w:rPr>
        <w:br/>
      </w: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ro-RO"/>
            </w:rPr>
            <m:t>SC=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35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bSup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ro-RO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35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ro-RO"/>
            </w:rPr>
            <m:t>(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35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4"/>
              <w:szCs w:val="24"/>
              <w:lang w:val="ro-RO"/>
            </w:rPr>
            <m:t>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  <w:lang w:val="ro-RO"/>
            </w:rPr>
            <w:br/>
          </m:r>
        </m:oMath>
      </m:oMathPara>
      <w:r w:rsidR="00673E5B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și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s≤F(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)</m:t>
        </m:r>
      </m:oMath>
      <w:r w:rsidR="004F3464">
        <w:rPr>
          <w:rFonts w:ascii="Times New Roman" w:eastAsiaTheme="minorEastAsia" w:hAnsi="Times New Roman" w:cs="Times New Roman"/>
          <w:sz w:val="24"/>
          <w:szCs w:val="24"/>
          <w:lang w:val="ro-RO"/>
        </w:rPr>
        <w:t>. La a doua și a treia propoziție cuîntul ”din” se substituie cu cuvîntul ”ca”.</w:t>
      </w:r>
    </w:p>
    <w:p w:rsidR="00421978" w:rsidRPr="00421978" w:rsidRDefault="004F3464" w:rsidP="008221E4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La subpunctul 2), punctul 16</w:t>
      </w:r>
      <w:r w:rsidR="00680E51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cuvintele ”măsurători reale ale capacității” se substituie cu cuvintele ”măsurări ale capacității reale”</w:t>
      </w:r>
      <w:r w:rsidR="00C7654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formula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i</m:t>
                </m:r>
              </m:sub>
            </m:sSub>
          </m:e>
        </m:nary>
      </m:oMath>
      <w:r w:rsidR="00C7654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se înlocuiește cu formula </w:t>
      </w:r>
    </w:p>
    <w:p w:rsidR="004A7E1A" w:rsidRDefault="007D090E" w:rsidP="00421978">
      <w:pPr>
        <w:pStyle w:val="ListParagraph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o-RO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o-RO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40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  <w:lang w:val="ro-RO"/>
            </w:rPr>
            <w:br/>
          </m:r>
        </m:oMath>
      </m:oMathPara>
      <w:r w:rsidR="008F50FD">
        <w:rPr>
          <w:rFonts w:ascii="Times New Roman" w:eastAsiaTheme="minorEastAsia" w:hAnsi="Times New Roman" w:cs="Times New Roman"/>
          <w:sz w:val="24"/>
          <w:szCs w:val="24"/>
          <w:lang w:val="ro-RO"/>
        </w:rPr>
        <w:t>, iar formula</w:t>
      </w:r>
      <w:r w:rsidR="008A7411">
        <w:rPr>
          <w:rFonts w:ascii="Times New Roman" w:eastAsiaTheme="minorEastAsia" w:hAnsi="Times New Roman" w:cs="Times New Roman"/>
          <w:sz w:val="24"/>
          <w:szCs w:val="24"/>
          <w:lang w:val="ro-RO"/>
        </w:rPr>
        <w:br/>
      </w:r>
      <m:oMathPara>
        <m:oMath>
          <m:bar>
            <m:barPr>
              <m:pos m:val="to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bar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</m:t>
              </m:r>
            </m:e>
          </m:bar>
          <m:r>
            <w:rPr>
              <w:rFonts w:ascii="Cambria Math" w:eastAsiaTheme="minorEastAsia" w:hAnsi="Cambria Math" w:cs="Times New Roman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40</m:t>
              </m:r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  <w:lang w:val="ro-RO"/>
            </w:rPr>
            <w:br/>
          </m:r>
        </m:oMath>
      </m:oMathPara>
      <w:r w:rsidR="008F50FD">
        <w:rPr>
          <w:rFonts w:ascii="Times New Roman" w:eastAsiaTheme="minorEastAsia" w:hAnsi="Times New Roman" w:cs="Times New Roman"/>
          <w:sz w:val="24"/>
          <w:szCs w:val="24"/>
          <w:lang w:val="ro-RO"/>
        </w:rPr>
        <w:t>se înlocuiește cu formula</w:t>
      </w:r>
      <w:r w:rsidR="008A7411">
        <w:rPr>
          <w:rFonts w:ascii="Times New Roman" w:eastAsiaTheme="minorEastAsia" w:hAnsi="Times New Roman" w:cs="Times New Roman"/>
          <w:sz w:val="24"/>
          <w:szCs w:val="24"/>
          <w:lang w:val="ro-RO"/>
        </w:rPr>
        <w:br/>
      </w:r>
      <m:oMathPara>
        <m:oMath>
          <m:bar>
            <m:barPr>
              <m:pos m:val="to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bar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</m:t>
              </m:r>
            </m:e>
          </m:bar>
          <m:r>
            <w:rPr>
              <w:rFonts w:ascii="Cambria Math" w:eastAsiaTheme="minorEastAsia" w:hAnsi="Cambria Math" w:cs="Times New Roman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o-RO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40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40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ro-RO"/>
            </w:rPr>
            <m:t>.</m:t>
          </m:r>
        </m:oMath>
      </m:oMathPara>
    </w:p>
    <w:p w:rsidR="004A7E1A" w:rsidRDefault="008F50FD" w:rsidP="00421978">
      <w:pPr>
        <w:pStyle w:val="ListParagraph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La a cincea și a șasea propoziție cuîntul ”din” se substituie cu cuvîntul ”ca”</w:t>
      </w:r>
      <w:r w:rsidR="004A7E1A"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</w:p>
    <w:p w:rsidR="004F3464" w:rsidRDefault="004A7E1A" w:rsidP="00421978">
      <w:pPr>
        <w:pStyle w:val="ListParagraph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Formula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bar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R</m:t>
            </m:r>
          </m:e>
        </m:bar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se substituie cu formula: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bar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R</m:t>
            </m:r>
          </m:e>
        </m:bar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:rsidR="004A7E1A" w:rsidRDefault="004A7E1A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B277C5" w:rsidRPr="00B277C5" w:rsidRDefault="00B277C5" w:rsidP="004A7E1A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77C5">
        <w:rPr>
          <w:rFonts w:ascii="Times New Roman" w:hAnsi="Times New Roman" w:cs="Times New Roman"/>
          <w:sz w:val="24"/>
          <w:szCs w:val="24"/>
          <w:lang w:val="ro-RO"/>
        </w:rPr>
        <w:lastRenderedPageBreak/>
        <w:t>Hotărîrea Guvernului nr. 907 din 04.11.2014 pentru aprobarea Regulamentului general de metrologie legală de stabilire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77C5">
        <w:rPr>
          <w:rFonts w:ascii="Times New Roman" w:hAnsi="Times New Roman" w:cs="Times New Roman"/>
          <w:sz w:val="24"/>
          <w:szCs w:val="24"/>
          <w:lang w:val="ro-RO"/>
        </w:rPr>
        <w:t>a normelor privind cantităţile nominale ale produselor preambalate se modifică după cum urmează:</w:t>
      </w:r>
    </w:p>
    <w:p w:rsidR="00B277C5" w:rsidRPr="00AA34B2" w:rsidRDefault="00B277C5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Titlul Hotărîrii Guvernului se modifică după cum urmează ”</w:t>
      </w:r>
      <w:r w:rsidRPr="00B277C5">
        <w:rPr>
          <w:rFonts w:ascii="Times New Roman" w:hAnsi="Times New Roman" w:cs="Times New Roman"/>
          <w:sz w:val="24"/>
          <w:szCs w:val="24"/>
          <w:lang w:val="ro-RO"/>
        </w:rPr>
        <w:t xml:space="preserve"> Regulamentului general de metrologie legală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77C5">
        <w:rPr>
          <w:rFonts w:ascii="Times New Roman" w:hAnsi="Times New Roman" w:cs="Times New Roman"/>
          <w:sz w:val="24"/>
          <w:szCs w:val="24"/>
          <w:lang w:val="ro-RO"/>
        </w:rPr>
        <w:t>referitor la preambalarea, în funcție de masă sau volum, a anumitor produse preambalate</w:t>
      </w:r>
      <w:r w:rsidR="000F308A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F614AF" w:rsidRPr="00AA34B2" w:rsidRDefault="005C0366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34B2">
        <w:rPr>
          <w:rFonts w:ascii="Times New Roman" w:hAnsi="Times New Roman" w:cs="Times New Roman"/>
          <w:sz w:val="24"/>
          <w:szCs w:val="24"/>
          <w:lang w:val="ro-RO"/>
        </w:rPr>
        <w:t>La punctul 4, capitolul I cuvintele ”</w:t>
      </w:r>
      <w:r w:rsidRPr="00AA34B2">
        <w:rPr>
          <w:lang w:val="ro-RO"/>
        </w:rPr>
        <w:t xml:space="preserve"> </w:t>
      </w:r>
      <w:hyperlink r:id="rId8" w:history="1">
        <w:r w:rsidRPr="00AA34B2">
          <w:rPr>
            <w:rFonts w:ascii="Times New Roman" w:eastAsia="Times New Roman" w:hAnsi="Times New Roman" w:cs="Times New Roman"/>
            <w:sz w:val="24"/>
            <w:szCs w:val="24"/>
            <w:lang w:val="ro-RO" w:eastAsia="en-GB"/>
          </w:rPr>
          <w:t>Legea metrologiei nr.647-XIII din 17 noiembrie 1995</w:t>
        </w:r>
      </w:hyperlink>
      <w:r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” se substituie cu cuvintele ”Lege a metrologiei nr. </w:t>
      </w:r>
      <w:r w:rsidR="00F614AF"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19 din 4 martie 2016”. Definițiile</w:t>
      </w:r>
      <w:r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se modifică </w:t>
      </w:r>
      <w:r w:rsidR="00F614AF"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și se completează </w:t>
      </w:r>
      <w:r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după cum urmează </w:t>
      </w:r>
    </w:p>
    <w:p w:rsidR="00E05C38" w:rsidRPr="00AA34B2" w:rsidRDefault="005C0366" w:rsidP="008221E4">
      <w:pPr>
        <w:pStyle w:val="ListParagraph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”ambalator- </w:t>
      </w:r>
      <w:r w:rsidR="00F614AF"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persoană</w:t>
      </w:r>
      <w:r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fizică sau juridică </w:t>
      </w:r>
      <w:r w:rsidR="00F614AF"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</w:t>
      </w:r>
      <w:r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nregistrată în Republica Moldova care produce pentru comercializare, </w:t>
      </w:r>
      <w:r w:rsidR="00F614AF"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</w:t>
      </w:r>
      <w:r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n nume propriu sau </w:t>
      </w:r>
      <w:r w:rsidR="00F614AF"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pentru</w:t>
      </w:r>
      <w:r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alț</w:t>
      </w:r>
      <w:r w:rsidR="00F614AF"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i </w:t>
      </w:r>
      <w:r w:rsidR="00AA34B2"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agenți</w:t>
      </w:r>
      <w:r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economici, produse preambalate</w:t>
      </w:r>
      <w:r w:rsidR="00F614AF" w:rsidRPr="00AA34B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;</w:t>
      </w:r>
    </w:p>
    <w:p w:rsidR="00F614AF" w:rsidRPr="00AA34B2" w:rsidRDefault="00F614AF" w:rsidP="008221E4">
      <w:pPr>
        <w:pStyle w:val="ListParagraph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34B2">
        <w:rPr>
          <w:rFonts w:ascii="Times New Roman" w:hAnsi="Times New Roman" w:cs="Times New Roman"/>
          <w:sz w:val="24"/>
          <w:szCs w:val="24"/>
          <w:lang w:val="ro-RO"/>
        </w:rPr>
        <w:t>importator - persoană fizică sau juridică, stabilită în Republica Moldova care introduce pe piața Republicii Moldova produse preambalate fabricate în alt stat.”</w:t>
      </w:r>
    </w:p>
    <w:p w:rsidR="00F614AF" w:rsidRPr="0008275C" w:rsidRDefault="00F614AF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34B2">
        <w:rPr>
          <w:rFonts w:ascii="Times New Roman" w:hAnsi="Times New Roman" w:cs="Times New Roman"/>
          <w:sz w:val="24"/>
          <w:szCs w:val="24"/>
          <w:lang w:val="ro-RO"/>
        </w:rPr>
        <w:t xml:space="preserve">Punctul 6, capitolul I se modifică după cum urmează: ”Prezentul Regulament nu se aplică produselor preambalate enumerate în Anexa nr.4 care sînt </w:t>
      </w:r>
      <w:proofErr w:type="spellStart"/>
      <w:r w:rsidRPr="00AA34B2">
        <w:rPr>
          <w:rFonts w:ascii="Times New Roman" w:hAnsi="Times New Roman" w:cs="Times New Roman"/>
          <w:sz w:val="24"/>
          <w:szCs w:val="24"/>
          <w:lang w:val="ro-RO"/>
        </w:rPr>
        <w:t>vîndute</w:t>
      </w:r>
      <w:proofErr w:type="spellEnd"/>
      <w:r w:rsidRPr="00AA34B2">
        <w:rPr>
          <w:rFonts w:ascii="Times New Roman" w:hAnsi="Times New Roman" w:cs="Times New Roman"/>
          <w:sz w:val="24"/>
          <w:szCs w:val="24"/>
          <w:lang w:val="ro-RO"/>
        </w:rPr>
        <w:t xml:space="preserve"> în magazinele duty-free și care sunt destinate consumului în afara Republicii Moldova și statelor</w:t>
      </w:r>
      <w:r w:rsidRPr="0008275C">
        <w:rPr>
          <w:rFonts w:ascii="Times New Roman" w:hAnsi="Times New Roman" w:cs="Times New Roman"/>
          <w:sz w:val="24"/>
          <w:szCs w:val="24"/>
          <w:lang w:val="ro-RO"/>
        </w:rPr>
        <w:t xml:space="preserve"> membre UE.”</w:t>
      </w:r>
    </w:p>
    <w:p w:rsidR="00303E17" w:rsidRDefault="00303E17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275C">
        <w:rPr>
          <w:rFonts w:ascii="Times New Roman" w:hAnsi="Times New Roman" w:cs="Times New Roman"/>
          <w:sz w:val="24"/>
          <w:szCs w:val="24"/>
          <w:lang w:val="ro-RO"/>
        </w:rPr>
        <w:t>La punctul 7, capitolul I după cuîntul ”ambalatorului” se completează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cuvintele ”respectiv ale importatorului”.</w:t>
      </w:r>
    </w:p>
    <w:p w:rsidR="00726629" w:rsidRDefault="008A2560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Titlul capitolului </w:t>
      </w:r>
      <w:r w:rsidR="00726629">
        <w:rPr>
          <w:rFonts w:ascii="Times New Roman" w:hAnsi="Times New Roman" w:cs="Times New Roman"/>
          <w:sz w:val="24"/>
          <w:szCs w:val="24"/>
          <w:lang w:val="ro-RO"/>
        </w:rPr>
        <w:t>II.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”</w:t>
      </w:r>
      <w:r w:rsidR="00726629">
        <w:rPr>
          <w:rFonts w:ascii="Times New Roman" w:hAnsi="Times New Roman" w:cs="Times New Roman"/>
          <w:sz w:val="24"/>
          <w:szCs w:val="24"/>
          <w:lang w:val="ro-RO"/>
        </w:rPr>
        <w:t>Inscripții și marcaje” se exclud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2662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454B8" w:rsidRPr="00F14019" w:rsidRDefault="00D454B8" w:rsidP="00D454B8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4019">
        <w:rPr>
          <w:rFonts w:ascii="Times New Roman" w:hAnsi="Times New Roman" w:cs="Times New Roman"/>
          <w:sz w:val="24"/>
          <w:szCs w:val="24"/>
          <w:lang w:val="ro-RO"/>
        </w:rPr>
        <w:t>La punctul 9</w:t>
      </w:r>
      <w:r w:rsidR="008A2560" w:rsidRPr="00F14019">
        <w:rPr>
          <w:rFonts w:ascii="Times New Roman" w:hAnsi="Times New Roman" w:cs="Times New Roman"/>
          <w:sz w:val="24"/>
          <w:szCs w:val="24"/>
          <w:lang w:val="ro-RO"/>
        </w:rPr>
        <w:t xml:space="preserve"> cuvintele ”pot fi marcate”</w:t>
      </w:r>
      <w:r w:rsidRPr="00F140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2560" w:rsidRPr="00F14019">
        <w:rPr>
          <w:rFonts w:ascii="Times New Roman" w:hAnsi="Times New Roman" w:cs="Times New Roman"/>
          <w:sz w:val="24"/>
          <w:szCs w:val="24"/>
          <w:lang w:val="ro-RO"/>
        </w:rPr>
        <w:t>se substituie cu cuvintele ”se marchează”. P</w:t>
      </w:r>
      <w:r w:rsidRPr="00F14019">
        <w:rPr>
          <w:rFonts w:ascii="Times New Roman" w:hAnsi="Times New Roman" w:cs="Times New Roman"/>
          <w:sz w:val="24"/>
          <w:szCs w:val="24"/>
          <w:lang w:val="ro-RO"/>
        </w:rPr>
        <w:t xml:space="preserve">ropoziția ” Dimensiunile, în valori relative, ale marcajului “e” sînt prezentate în anexa nr.3 la prezentul Regulament” se substituie cu următoarea propoziție : ”Marcajul “e” trebuie să aibă o </w:t>
      </w:r>
      <w:proofErr w:type="spellStart"/>
      <w:r w:rsidRPr="00F14019">
        <w:rPr>
          <w:rFonts w:ascii="Times New Roman" w:hAnsi="Times New Roman" w:cs="Times New Roman"/>
          <w:sz w:val="24"/>
          <w:szCs w:val="24"/>
          <w:lang w:val="ro-RO"/>
        </w:rPr>
        <w:t>înălţime</w:t>
      </w:r>
      <w:proofErr w:type="spellEnd"/>
      <w:r w:rsidRPr="00F14019">
        <w:rPr>
          <w:rFonts w:ascii="Times New Roman" w:hAnsi="Times New Roman" w:cs="Times New Roman"/>
          <w:sz w:val="24"/>
          <w:szCs w:val="24"/>
          <w:lang w:val="ro-RO"/>
        </w:rPr>
        <w:t xml:space="preserve"> de cel puţin 3 mm, plasat în acelaşi </w:t>
      </w:r>
      <w:proofErr w:type="spellStart"/>
      <w:r w:rsidRPr="00F14019">
        <w:rPr>
          <w:rFonts w:ascii="Times New Roman" w:hAnsi="Times New Roman" w:cs="Times New Roman"/>
          <w:sz w:val="24"/>
          <w:szCs w:val="24"/>
          <w:lang w:val="ro-RO"/>
        </w:rPr>
        <w:t>cîmp</w:t>
      </w:r>
      <w:proofErr w:type="spellEnd"/>
      <w:r w:rsidRPr="00F14019">
        <w:rPr>
          <w:rFonts w:ascii="Times New Roman" w:hAnsi="Times New Roman" w:cs="Times New Roman"/>
          <w:sz w:val="24"/>
          <w:szCs w:val="24"/>
          <w:lang w:val="ro-RO"/>
        </w:rPr>
        <w:t xml:space="preserve"> vizual cu </w:t>
      </w:r>
      <w:proofErr w:type="spellStart"/>
      <w:r w:rsidRPr="00F14019">
        <w:rPr>
          <w:rFonts w:ascii="Times New Roman" w:hAnsi="Times New Roman" w:cs="Times New Roman"/>
          <w:sz w:val="24"/>
          <w:szCs w:val="24"/>
          <w:lang w:val="ro-RO"/>
        </w:rPr>
        <w:t>indicaţia</w:t>
      </w:r>
      <w:proofErr w:type="spellEnd"/>
      <w:r w:rsidRPr="00F14019">
        <w:rPr>
          <w:rFonts w:ascii="Times New Roman" w:hAnsi="Times New Roman" w:cs="Times New Roman"/>
          <w:sz w:val="24"/>
          <w:szCs w:val="24"/>
          <w:lang w:val="ro-RO"/>
        </w:rPr>
        <w:t xml:space="preserve"> masei nominale sau a volumului nominal </w:t>
      </w:r>
      <w:proofErr w:type="spellStart"/>
      <w:r w:rsidRPr="00F14019">
        <w:rPr>
          <w:rFonts w:ascii="Times New Roman" w:hAnsi="Times New Roman" w:cs="Times New Roman"/>
          <w:sz w:val="24"/>
          <w:szCs w:val="24"/>
          <w:lang w:val="ro-RO"/>
        </w:rPr>
        <w:t>inscripţionată</w:t>
      </w:r>
      <w:proofErr w:type="spellEnd"/>
      <w:r w:rsidRPr="00F14019">
        <w:rPr>
          <w:rFonts w:ascii="Times New Roman" w:hAnsi="Times New Roman" w:cs="Times New Roman"/>
          <w:sz w:val="24"/>
          <w:szCs w:val="24"/>
          <w:lang w:val="ro-RO"/>
        </w:rPr>
        <w:t xml:space="preserve"> pe ambalaj.”</w:t>
      </w:r>
    </w:p>
    <w:p w:rsidR="00726629" w:rsidRDefault="00253138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Punctul 14 se modifică după cum urmează ”</w:t>
      </w:r>
      <w:r w:rsidRPr="00253138">
        <w:rPr>
          <w:rFonts w:ascii="Times New Roman" w:hAnsi="Times New Roman" w:cs="Times New Roman"/>
          <w:sz w:val="24"/>
          <w:szCs w:val="24"/>
          <w:lang w:val="ro-RO"/>
        </w:rPr>
        <w:t>14. În cazul în care două sau mai multe preambalate 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ndividuale din cele </w:t>
      </w:r>
      <w:r w:rsidR="00F14019">
        <w:rPr>
          <w:rFonts w:ascii="Times New Roman" w:hAnsi="Times New Roman" w:cs="Times New Roman"/>
          <w:sz w:val="24"/>
          <w:szCs w:val="24"/>
          <w:lang w:val="ro-RO"/>
        </w:rPr>
        <w:t>menționate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253138">
        <w:rPr>
          <w:rFonts w:ascii="Times New Roman" w:hAnsi="Times New Roman" w:cs="Times New Roman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Anexa nr.</w:t>
      </w:r>
      <w:r w:rsidRPr="00253138">
        <w:rPr>
          <w:rFonts w:ascii="Times New Roman" w:hAnsi="Times New Roman" w:cs="Times New Roman"/>
          <w:sz w:val="24"/>
          <w:szCs w:val="24"/>
          <w:lang w:val="ro-RO"/>
        </w:rPr>
        <w:t xml:space="preserve"> 4 formează un ambalaj multiplu, cantităţile nominale enumerate la punctul 1 din </w:t>
      </w:r>
      <w:r>
        <w:rPr>
          <w:rFonts w:ascii="Times New Roman" w:hAnsi="Times New Roman" w:cs="Times New Roman"/>
          <w:sz w:val="24"/>
          <w:szCs w:val="24"/>
          <w:lang w:val="ro-RO"/>
        </w:rPr>
        <w:t>Anexa</w:t>
      </w:r>
      <w:r w:rsidRPr="002531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253138">
        <w:rPr>
          <w:rFonts w:ascii="Times New Roman" w:hAnsi="Times New Roman" w:cs="Times New Roman"/>
          <w:sz w:val="24"/>
          <w:szCs w:val="24"/>
          <w:lang w:val="ro-RO"/>
        </w:rPr>
        <w:t>4 se aplică fiecărui preambalat individual.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1E46B1" w:rsidRDefault="00253138" w:rsidP="001E46B1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punctul 15, după cuîntul ”nominale” se completează cu cuvintele ”enumerate la punctul 1 din Anexa nr. 4”.</w:t>
      </w:r>
      <w:r w:rsidR="001E46B1" w:rsidRPr="001E46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14019" w:rsidRDefault="00F14019" w:rsidP="001E46B1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pct. 17 după cuvintele ”nominale” se completează cu cuvintele ”în intervalele”.</w:t>
      </w:r>
    </w:p>
    <w:p w:rsidR="001E46B1" w:rsidRDefault="001E46B1" w:rsidP="001E46B1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denumirea Anexei se exclude cuvîntul ”ambalatorului”.</w:t>
      </w:r>
    </w:p>
    <w:p w:rsidR="00253138" w:rsidRDefault="00253138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La subpunctul 3), punctul 1, capitolul I din Anexa nr. 1, după cuvîntul ”anexă” se completează cu cu</w:t>
      </w:r>
      <w:r w:rsidR="00F14019">
        <w:rPr>
          <w:rFonts w:ascii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lang w:val="ro-RO"/>
        </w:rPr>
        <w:t>intele ”și nu trebuie comercializat”.</w:t>
      </w:r>
    </w:p>
    <w:p w:rsidR="00253138" w:rsidRDefault="00253138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Tabelul 2, subpunctul 1), punctul 7, capitolul III din Anexa nr. 1</w:t>
      </w:r>
      <w:r w:rsidR="00D03863">
        <w:rPr>
          <w:rFonts w:ascii="Times New Roman" w:hAnsi="Times New Roman" w:cs="Times New Roman"/>
          <w:sz w:val="24"/>
          <w:szCs w:val="24"/>
          <w:lang w:val="ro-RO"/>
        </w:rPr>
        <w:t>, relațiile ”</w:t>
      </w:r>
      <w:r w:rsidR="00D03863" w:rsidRPr="00D03863">
        <w:rPr>
          <w:rFonts w:ascii="Times New Roman" w:hAnsi="Times New Roman" w:cs="Times New Roman"/>
          <w:sz w:val="24"/>
          <w:szCs w:val="24"/>
          <w:lang w:val="ro-RO"/>
        </w:rPr>
        <w:t>50 ≤ Qn ≤ 200</w:t>
      </w:r>
      <w:r w:rsidR="00D0386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D03863" w:rsidRPr="00D03863">
        <w:rPr>
          <w:rFonts w:ascii="Times New Roman" w:hAnsi="Times New Roman" w:cs="Times New Roman"/>
          <w:sz w:val="24"/>
          <w:szCs w:val="24"/>
          <w:lang w:val="ro-RO"/>
        </w:rPr>
        <w:t>200 ≤ Qn ≤ 1000</w:t>
      </w:r>
      <w:r w:rsidR="00D0386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D03863" w:rsidRPr="00D03863">
        <w:rPr>
          <w:rFonts w:ascii="Times New Roman" w:hAnsi="Times New Roman" w:cs="Times New Roman"/>
          <w:sz w:val="24"/>
          <w:szCs w:val="24"/>
          <w:lang w:val="ro-RO"/>
        </w:rPr>
        <w:t>1000 ≤ Qn</w:t>
      </w:r>
      <w:r w:rsidR="00D03863">
        <w:rPr>
          <w:rFonts w:ascii="Times New Roman" w:hAnsi="Times New Roman" w:cs="Times New Roman"/>
          <w:sz w:val="24"/>
          <w:szCs w:val="24"/>
          <w:lang w:val="ro-RO"/>
        </w:rPr>
        <w:t>” se modifică după cum urmează: ”</w:t>
      </w:r>
      <w:r w:rsidR="00D03863" w:rsidRPr="00D03863">
        <w:rPr>
          <w:rFonts w:ascii="Times New Roman" w:hAnsi="Times New Roman" w:cs="Times New Roman"/>
          <w:sz w:val="24"/>
          <w:szCs w:val="24"/>
          <w:lang w:val="ro-RO"/>
        </w:rPr>
        <w:t>50 &lt; Qn ≤ 200</w:t>
      </w:r>
      <w:r w:rsidR="00D0386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D03863" w:rsidRPr="00D03863">
        <w:rPr>
          <w:rFonts w:ascii="Times New Roman" w:hAnsi="Times New Roman" w:cs="Times New Roman"/>
          <w:sz w:val="24"/>
          <w:szCs w:val="24"/>
          <w:lang w:val="ro-RO"/>
        </w:rPr>
        <w:t>200 &lt; Qn ≤ 1000</w:t>
      </w:r>
      <w:r w:rsidR="00D0386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D03863" w:rsidRPr="00D03863">
        <w:rPr>
          <w:rFonts w:ascii="Times New Roman" w:hAnsi="Times New Roman" w:cs="Times New Roman"/>
          <w:sz w:val="24"/>
          <w:szCs w:val="24"/>
          <w:lang w:val="ro-RO"/>
        </w:rPr>
        <w:t>1000 &lt; Qn</w:t>
      </w:r>
      <w:r w:rsidR="00D03863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D03863" w:rsidRDefault="00D03863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subpunctul 2), punctul 7, capitolul III din Anexa nr. 1, după cuvîntul ”ambalatorului” se completează cu cuvintele ”</w:t>
      </w:r>
      <w:r w:rsidRPr="00D03863">
        <w:t xml:space="preserve"> </w:t>
      </w:r>
      <w:r w:rsidRPr="00D03863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>
        <w:rPr>
          <w:rFonts w:ascii="Times New Roman" w:hAnsi="Times New Roman" w:cs="Times New Roman"/>
          <w:sz w:val="24"/>
          <w:szCs w:val="24"/>
          <w:lang w:val="ro-RO"/>
        </w:rPr>
        <w:t>a persoanei</w:t>
      </w:r>
      <w:r w:rsidRPr="00D03863">
        <w:rPr>
          <w:rFonts w:ascii="Times New Roman" w:hAnsi="Times New Roman" w:cs="Times New Roman"/>
          <w:sz w:val="24"/>
          <w:szCs w:val="24"/>
          <w:lang w:val="ro-RO"/>
        </w:rPr>
        <w:t xml:space="preserve"> care a dispus ambalarea sau importatorul</w:t>
      </w:r>
      <w:r w:rsidR="001E46B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03863">
        <w:rPr>
          <w:rFonts w:ascii="Times New Roman" w:hAnsi="Times New Roman" w:cs="Times New Roman"/>
          <w:sz w:val="24"/>
          <w:szCs w:val="24"/>
          <w:lang w:val="ro-RO"/>
        </w:rPr>
        <w:t xml:space="preserve"> stabilit în Republica Moldova</w:t>
      </w:r>
      <w:r>
        <w:rPr>
          <w:rFonts w:ascii="Times New Roman" w:hAnsi="Times New Roman" w:cs="Times New Roman"/>
          <w:sz w:val="24"/>
          <w:szCs w:val="24"/>
          <w:lang w:val="ro-RO"/>
        </w:rPr>
        <w:t>;”.</w:t>
      </w:r>
    </w:p>
    <w:p w:rsidR="00D454B8" w:rsidRDefault="00D454B8" w:rsidP="009504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Subpunctul 3) </w:t>
      </w:r>
      <w:r w:rsidR="00950431">
        <w:rPr>
          <w:rFonts w:ascii="Times New Roman" w:hAnsi="Times New Roman" w:cs="Times New Roman"/>
          <w:sz w:val="24"/>
          <w:szCs w:val="24"/>
          <w:lang w:val="ro-RO"/>
        </w:rPr>
        <w:t>cuvintele ”</w:t>
      </w:r>
      <w:r w:rsidR="00950431" w:rsidRPr="00950431">
        <w:t xml:space="preserve"> </w:t>
      </w:r>
      <w:r w:rsidR="00950431" w:rsidRPr="00950431">
        <w:rPr>
          <w:rFonts w:ascii="Times New Roman" w:hAnsi="Times New Roman" w:cs="Times New Roman"/>
          <w:sz w:val="24"/>
          <w:szCs w:val="24"/>
        </w:rPr>
        <w:t xml:space="preserve">cu o </w:t>
      </w:r>
      <w:proofErr w:type="spellStart"/>
      <w:r w:rsidR="00950431" w:rsidRPr="00950431">
        <w:rPr>
          <w:rFonts w:ascii="Times New Roman" w:hAnsi="Times New Roman" w:cs="Times New Roman"/>
          <w:sz w:val="24"/>
          <w:szCs w:val="24"/>
          <w:lang w:val="ro-RO"/>
        </w:rPr>
        <w:t>înălţime</w:t>
      </w:r>
      <w:proofErr w:type="spellEnd"/>
      <w:r w:rsidR="00950431" w:rsidRPr="00950431">
        <w:rPr>
          <w:rFonts w:ascii="Times New Roman" w:hAnsi="Times New Roman" w:cs="Times New Roman"/>
          <w:sz w:val="24"/>
          <w:szCs w:val="24"/>
          <w:lang w:val="ro-RO"/>
        </w:rPr>
        <w:t xml:space="preserve"> de cel puţin 3 mm, plasat în acelaşi </w:t>
      </w:r>
      <w:proofErr w:type="spellStart"/>
      <w:r w:rsidR="00950431" w:rsidRPr="00950431">
        <w:rPr>
          <w:rFonts w:ascii="Times New Roman" w:hAnsi="Times New Roman" w:cs="Times New Roman"/>
          <w:sz w:val="24"/>
          <w:szCs w:val="24"/>
          <w:lang w:val="ro-RO"/>
        </w:rPr>
        <w:t>cîmp</w:t>
      </w:r>
      <w:proofErr w:type="spellEnd"/>
      <w:r w:rsidR="00950431" w:rsidRPr="00950431">
        <w:rPr>
          <w:rFonts w:ascii="Times New Roman" w:hAnsi="Times New Roman" w:cs="Times New Roman"/>
          <w:sz w:val="24"/>
          <w:szCs w:val="24"/>
          <w:lang w:val="ro-RO"/>
        </w:rPr>
        <w:t xml:space="preserve"> vizual cu </w:t>
      </w:r>
      <w:proofErr w:type="spellStart"/>
      <w:r w:rsidR="00950431" w:rsidRPr="00950431">
        <w:rPr>
          <w:rFonts w:ascii="Times New Roman" w:hAnsi="Times New Roman" w:cs="Times New Roman"/>
          <w:sz w:val="24"/>
          <w:szCs w:val="24"/>
          <w:lang w:val="ro-RO"/>
        </w:rPr>
        <w:t>indicaţia</w:t>
      </w:r>
      <w:proofErr w:type="spellEnd"/>
      <w:r w:rsidR="00950431" w:rsidRPr="00950431">
        <w:rPr>
          <w:rFonts w:ascii="Times New Roman" w:hAnsi="Times New Roman" w:cs="Times New Roman"/>
          <w:sz w:val="24"/>
          <w:szCs w:val="24"/>
          <w:lang w:val="ro-RO"/>
        </w:rPr>
        <w:t xml:space="preserve"> masei nominale sau a volumului no</w:t>
      </w:r>
      <w:r w:rsidR="00950431">
        <w:rPr>
          <w:rFonts w:ascii="Times New Roman" w:hAnsi="Times New Roman" w:cs="Times New Roman"/>
          <w:sz w:val="24"/>
          <w:szCs w:val="24"/>
          <w:lang w:val="ro-RO"/>
        </w:rPr>
        <w:t xml:space="preserve">minal </w:t>
      </w:r>
      <w:proofErr w:type="spellStart"/>
      <w:r w:rsidR="00950431">
        <w:rPr>
          <w:rFonts w:ascii="Times New Roman" w:hAnsi="Times New Roman" w:cs="Times New Roman"/>
          <w:sz w:val="24"/>
          <w:szCs w:val="24"/>
          <w:lang w:val="ro-RO"/>
        </w:rPr>
        <w:t>inscripţionată</w:t>
      </w:r>
      <w:proofErr w:type="spellEnd"/>
      <w:r w:rsidR="00950431">
        <w:rPr>
          <w:rFonts w:ascii="Times New Roman" w:hAnsi="Times New Roman" w:cs="Times New Roman"/>
          <w:sz w:val="24"/>
          <w:szCs w:val="24"/>
          <w:lang w:val="ro-RO"/>
        </w:rPr>
        <w:t xml:space="preserve"> pe ambalaj” se exclud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02ED9" w:rsidRDefault="00E02ED9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capitolul IV Anexa nr. 1, titlul acestuia se completează cu cuvintele ”</w:t>
      </w:r>
      <w:r w:rsidR="001E46B1">
        <w:rPr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importatorului”.</w:t>
      </w:r>
    </w:p>
    <w:p w:rsidR="00D03863" w:rsidRDefault="00E02ED9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punctul 10, capitolul IV din Anexa nr. 1, după cuvîntul ”ambalatorul” se completează cu cuintele ”sau importatorul”.</w:t>
      </w:r>
    </w:p>
    <w:p w:rsidR="00E02ED9" w:rsidRDefault="00E02ED9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punctul 11, capitolul IV din Anexa nr. 1, după cuvîntul ”ambalatorului” se completează cu cuintele ”și/sau </w:t>
      </w:r>
      <w:r w:rsidR="00D454B8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ro-RO"/>
        </w:rPr>
        <w:t>importatorului”.</w:t>
      </w:r>
    </w:p>
    <w:p w:rsidR="00E02ED9" w:rsidRDefault="00E02ED9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punctul 12, capitolul IV din Anexa nr. 1, după cuvîntul ”verificarea” se completează cu cu</w:t>
      </w:r>
      <w:r w:rsidR="00A242E0">
        <w:rPr>
          <w:rFonts w:ascii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lang w:val="ro-RO"/>
        </w:rPr>
        <w:t>intele ”poate fi efectuată”.</w:t>
      </w:r>
    </w:p>
    <w:p w:rsidR="00E02ED9" w:rsidRDefault="00E02ED9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punctul 14, capitolul IV din Anexa nr. 1, după cuvîntul ”organului” se substituie cu cu</w:t>
      </w:r>
      <w:r w:rsidR="00950431">
        <w:rPr>
          <w:rFonts w:ascii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lang w:val="ro-RO"/>
        </w:rPr>
        <w:t>intele ”A</w:t>
      </w:r>
      <w:r w:rsidR="00D454B8">
        <w:rPr>
          <w:rFonts w:ascii="Times New Roman" w:hAnsi="Times New Roman" w:cs="Times New Roman"/>
          <w:sz w:val="24"/>
          <w:szCs w:val="24"/>
          <w:lang w:val="ro-RO"/>
        </w:rPr>
        <w:t xml:space="preserve">genției pentru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454B8">
        <w:rPr>
          <w:rFonts w:ascii="Times New Roman" w:hAnsi="Times New Roman" w:cs="Times New Roman"/>
          <w:sz w:val="24"/>
          <w:szCs w:val="24"/>
          <w:lang w:val="ro-RO"/>
        </w:rPr>
        <w:t xml:space="preserve">rotecția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454B8">
        <w:rPr>
          <w:rFonts w:ascii="Times New Roman" w:hAnsi="Times New Roman" w:cs="Times New Roman"/>
          <w:sz w:val="24"/>
          <w:szCs w:val="24"/>
          <w:lang w:val="ro-RO"/>
        </w:rPr>
        <w:t>onsumatorilor</w:t>
      </w:r>
      <w:r>
        <w:rPr>
          <w:rFonts w:ascii="Times New Roman" w:hAnsi="Times New Roman" w:cs="Times New Roman"/>
          <w:sz w:val="24"/>
          <w:szCs w:val="24"/>
          <w:lang w:val="ro-RO"/>
        </w:rPr>
        <w:t>, organul”.</w:t>
      </w:r>
    </w:p>
    <w:p w:rsidR="00E02ED9" w:rsidRPr="00D454B8" w:rsidRDefault="00E02ED9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54B8">
        <w:rPr>
          <w:rFonts w:ascii="Times New Roman" w:hAnsi="Times New Roman" w:cs="Times New Roman"/>
          <w:sz w:val="24"/>
          <w:szCs w:val="24"/>
          <w:lang w:val="ro-RO"/>
        </w:rPr>
        <w:t>La punctul 15, capitolul IV din Anexa nr. 1, prima propoziție se modifică după cum urmează ”</w:t>
      </w:r>
      <w:r w:rsidRPr="00D454B8">
        <w:t xml:space="preserve"> </w:t>
      </w:r>
      <w:r w:rsidRPr="00D454B8">
        <w:rPr>
          <w:rFonts w:ascii="Times New Roman" w:hAnsi="Times New Roman" w:cs="Times New Roman"/>
          <w:sz w:val="24"/>
          <w:szCs w:val="24"/>
          <w:lang w:val="ro-RO"/>
        </w:rPr>
        <w:t>În cazul importurilor, importatorul poate ca, în locul măsurării şi al verificării, să furnizeze documentele care atestă că preambalatele au fost măsurate sau verificate şi corespund cerintelor prezentului Regulament.”</w:t>
      </w:r>
    </w:p>
    <w:p w:rsidR="00E02ED9" w:rsidRDefault="00FE48DA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punctul 18, capitolul V din Anexa nr. 1, după cuîntul ”ambalatorului” se completează cu cuvintele ”</w:t>
      </w:r>
      <w:r w:rsidRPr="00FE48DA">
        <w:t xml:space="preserve"> </w:t>
      </w:r>
      <w:r w:rsidRPr="00FE48DA">
        <w:rPr>
          <w:rFonts w:ascii="Times New Roman" w:hAnsi="Times New Roman" w:cs="Times New Roman"/>
          <w:sz w:val="24"/>
          <w:szCs w:val="24"/>
          <w:lang w:val="ro-RO"/>
        </w:rPr>
        <w:t>sau, în cazul în care acest lucru nu este practic posibil, la sediul importatorului</w:t>
      </w:r>
      <w:r>
        <w:rPr>
          <w:rFonts w:ascii="Times New Roman" w:hAnsi="Times New Roman" w:cs="Times New Roman"/>
          <w:sz w:val="24"/>
          <w:szCs w:val="24"/>
          <w:lang w:val="ro-RO"/>
        </w:rPr>
        <w:t>.”</w:t>
      </w:r>
    </w:p>
    <w:p w:rsidR="000259D6" w:rsidRDefault="00B06234" w:rsidP="008221E4">
      <w:pPr>
        <w:pStyle w:val="ListParagraph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punctul 1, Anexa nr. 4,</w:t>
      </w:r>
      <w:r w:rsidR="000259D6">
        <w:rPr>
          <w:rFonts w:ascii="Times New Roman" w:hAnsi="Times New Roman" w:cs="Times New Roman"/>
          <w:sz w:val="24"/>
          <w:szCs w:val="24"/>
          <w:lang w:val="ro-RO"/>
        </w:rPr>
        <w:t xml:space="preserve"> tabel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0259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completează cu </w:t>
      </w:r>
      <w:r w:rsidR="000259D6">
        <w:rPr>
          <w:rFonts w:ascii="Times New Roman" w:hAnsi="Times New Roman" w:cs="Times New Roman"/>
          <w:sz w:val="24"/>
          <w:szCs w:val="24"/>
          <w:lang w:val="ro-RO"/>
        </w:rPr>
        <w:t>un rînd nou cu următorul cuprins: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500"/>
        <w:gridCol w:w="7566"/>
      </w:tblGrid>
      <w:tr w:rsidR="000259D6" w:rsidTr="000259D6">
        <w:tc>
          <w:tcPr>
            <w:tcW w:w="1525" w:type="dxa"/>
          </w:tcPr>
          <w:p w:rsidR="000259D6" w:rsidRDefault="000259D6" w:rsidP="000259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59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Vin </w:t>
            </w:r>
            <w:proofErr w:type="spellStart"/>
            <w:r w:rsidRPr="000259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jaune</w:t>
            </w:r>
            <w:proofErr w:type="spellEnd"/>
          </w:p>
        </w:tc>
        <w:tc>
          <w:tcPr>
            <w:tcW w:w="7767" w:type="dxa"/>
          </w:tcPr>
          <w:p w:rsidR="000259D6" w:rsidRDefault="000259D6" w:rsidP="00025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59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intervalul de la 100 ml până la 1 500 ml, numai următoarea cantitate nominală: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0259D6" w:rsidRDefault="000259D6" w:rsidP="00025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59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ml: 620</w:t>
            </w:r>
          </w:p>
        </w:tc>
      </w:tr>
    </w:tbl>
    <w:p w:rsidR="000259D6" w:rsidRDefault="000259D6" w:rsidP="000259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punctul 2. Anexa nr. 4, tabel, se completează cu </w:t>
      </w:r>
      <w:r w:rsidR="00910984">
        <w:rPr>
          <w:rFonts w:ascii="Times New Roman" w:hAnsi="Times New Roman" w:cs="Times New Roman"/>
          <w:sz w:val="24"/>
          <w:szCs w:val="24"/>
          <w:lang w:val="ro-RO"/>
        </w:rPr>
        <w:t>un rînd nou cu următorul cuprins: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504"/>
        <w:gridCol w:w="7562"/>
      </w:tblGrid>
      <w:tr w:rsidR="00910984" w:rsidTr="005856D3">
        <w:tc>
          <w:tcPr>
            <w:tcW w:w="1525" w:type="dxa"/>
          </w:tcPr>
          <w:p w:rsidR="00910984" w:rsidRDefault="00910984" w:rsidP="005856D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59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Vin </w:t>
            </w:r>
            <w:proofErr w:type="spellStart"/>
            <w:r w:rsidRPr="000259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jaune</w:t>
            </w:r>
            <w:proofErr w:type="spellEnd"/>
          </w:p>
        </w:tc>
        <w:tc>
          <w:tcPr>
            <w:tcW w:w="7767" w:type="dxa"/>
          </w:tcPr>
          <w:p w:rsidR="00910984" w:rsidRDefault="00910984" w:rsidP="00585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630A4" w:rsidRPr="000630A4" w:rsidRDefault="000630A4" w:rsidP="00EE09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630A4" w:rsidRPr="000630A4" w:rsidSect="00EE09E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F1571"/>
    <w:multiLevelType w:val="hybridMultilevel"/>
    <w:tmpl w:val="48289038"/>
    <w:lvl w:ilvl="0" w:tplc="6A663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557F3"/>
    <w:multiLevelType w:val="hybridMultilevel"/>
    <w:tmpl w:val="F8FCA6D8"/>
    <w:lvl w:ilvl="0" w:tplc="5162A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034"/>
    <w:multiLevelType w:val="hybridMultilevel"/>
    <w:tmpl w:val="D4EAA41E"/>
    <w:lvl w:ilvl="0" w:tplc="73D40CA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7C4422F"/>
    <w:multiLevelType w:val="hybridMultilevel"/>
    <w:tmpl w:val="AB3804CA"/>
    <w:lvl w:ilvl="0" w:tplc="C1B02E6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CC"/>
    <w:rsid w:val="000259D6"/>
    <w:rsid w:val="000630A4"/>
    <w:rsid w:val="0008275C"/>
    <w:rsid w:val="000A4DF2"/>
    <w:rsid w:val="000B385E"/>
    <w:rsid w:val="000E4101"/>
    <w:rsid w:val="000F308A"/>
    <w:rsid w:val="00105ECD"/>
    <w:rsid w:val="00110424"/>
    <w:rsid w:val="001210A2"/>
    <w:rsid w:val="0016337E"/>
    <w:rsid w:val="00177AED"/>
    <w:rsid w:val="001A7466"/>
    <w:rsid w:val="001C77E5"/>
    <w:rsid w:val="001E46B1"/>
    <w:rsid w:val="00253138"/>
    <w:rsid w:val="00287C8A"/>
    <w:rsid w:val="002B5F94"/>
    <w:rsid w:val="002E1B44"/>
    <w:rsid w:val="00303E17"/>
    <w:rsid w:val="00362AE3"/>
    <w:rsid w:val="00365189"/>
    <w:rsid w:val="004047D8"/>
    <w:rsid w:val="00421978"/>
    <w:rsid w:val="00440846"/>
    <w:rsid w:val="00482706"/>
    <w:rsid w:val="004A7E1A"/>
    <w:rsid w:val="004F3464"/>
    <w:rsid w:val="00584C40"/>
    <w:rsid w:val="005A53AF"/>
    <w:rsid w:val="005C0366"/>
    <w:rsid w:val="005C6828"/>
    <w:rsid w:val="006638F8"/>
    <w:rsid w:val="00673E5B"/>
    <w:rsid w:val="00680E51"/>
    <w:rsid w:val="006817D9"/>
    <w:rsid w:val="00687AEE"/>
    <w:rsid w:val="006D19D0"/>
    <w:rsid w:val="00726629"/>
    <w:rsid w:val="007419A7"/>
    <w:rsid w:val="00767335"/>
    <w:rsid w:val="007D090E"/>
    <w:rsid w:val="007D2829"/>
    <w:rsid w:val="00807E72"/>
    <w:rsid w:val="008221E4"/>
    <w:rsid w:val="00892372"/>
    <w:rsid w:val="008A2560"/>
    <w:rsid w:val="008A7411"/>
    <w:rsid w:val="008C7C6C"/>
    <w:rsid w:val="008F50FD"/>
    <w:rsid w:val="00910984"/>
    <w:rsid w:val="00944815"/>
    <w:rsid w:val="009458D7"/>
    <w:rsid w:val="00950431"/>
    <w:rsid w:val="009B1D79"/>
    <w:rsid w:val="009B7A8E"/>
    <w:rsid w:val="00A242E0"/>
    <w:rsid w:val="00A32283"/>
    <w:rsid w:val="00A60B5C"/>
    <w:rsid w:val="00A66CCC"/>
    <w:rsid w:val="00A66FA4"/>
    <w:rsid w:val="00A960C7"/>
    <w:rsid w:val="00AA34B2"/>
    <w:rsid w:val="00B06234"/>
    <w:rsid w:val="00B277C5"/>
    <w:rsid w:val="00C22E1F"/>
    <w:rsid w:val="00C434B7"/>
    <w:rsid w:val="00C6351D"/>
    <w:rsid w:val="00C76542"/>
    <w:rsid w:val="00CE5D8F"/>
    <w:rsid w:val="00D03863"/>
    <w:rsid w:val="00D454B8"/>
    <w:rsid w:val="00D83BB7"/>
    <w:rsid w:val="00DE26D7"/>
    <w:rsid w:val="00DF58F5"/>
    <w:rsid w:val="00E02ED9"/>
    <w:rsid w:val="00E05C38"/>
    <w:rsid w:val="00EA7CFD"/>
    <w:rsid w:val="00EE09EA"/>
    <w:rsid w:val="00F14019"/>
    <w:rsid w:val="00F14063"/>
    <w:rsid w:val="00F55CA5"/>
    <w:rsid w:val="00F614AF"/>
    <w:rsid w:val="00F80FBA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9ED368-87AC-4D15-BB93-A3654191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CC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A66C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rsid w:val="00A66C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header">
    <w:name w:val="doc_header"/>
    <w:basedOn w:val="DefaultParagraphFont"/>
    <w:rsid w:val="00365189"/>
  </w:style>
  <w:style w:type="character" w:customStyle="1" w:styleId="apple-converted-space">
    <w:name w:val="apple-converted-space"/>
    <w:basedOn w:val="DefaultParagraphFont"/>
    <w:rsid w:val="00365189"/>
  </w:style>
  <w:style w:type="paragraph" w:styleId="ListParagraph">
    <w:name w:val="List Paragraph"/>
    <w:basedOn w:val="Normal"/>
    <w:uiPriority w:val="34"/>
    <w:qFormat/>
    <w:rsid w:val="003651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A4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177AED"/>
    <w:rPr>
      <w:color w:val="808080"/>
    </w:rPr>
  </w:style>
  <w:style w:type="table" w:styleId="TableGrid">
    <w:name w:val="Table Grid"/>
    <w:basedOn w:val="TableNormal"/>
    <w:uiPriority w:val="59"/>
    <w:rsid w:val="000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199511176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Operator</cp:lastModifiedBy>
  <cp:revision>8</cp:revision>
  <cp:lastPrinted>2016-08-22T10:10:00Z</cp:lastPrinted>
  <dcterms:created xsi:type="dcterms:W3CDTF">2016-07-20T05:25:00Z</dcterms:created>
  <dcterms:modified xsi:type="dcterms:W3CDTF">2016-08-22T11:08:00Z</dcterms:modified>
</cp:coreProperties>
</file>