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3F4" w:rsidRDefault="00A303F4" w:rsidP="00A303F4">
      <w:pPr>
        <w:pStyle w:val="a3"/>
        <w:jc w:val="center"/>
        <w:rPr>
          <w:b/>
          <w:lang w:val="ro-RO"/>
        </w:rPr>
      </w:pPr>
    </w:p>
    <w:p w:rsidR="00A303F4" w:rsidRPr="00415172" w:rsidRDefault="00A303F4" w:rsidP="00A303F4">
      <w:pPr>
        <w:pStyle w:val="a3"/>
        <w:jc w:val="center"/>
        <w:rPr>
          <w:b/>
          <w:sz w:val="28"/>
          <w:szCs w:val="28"/>
          <w:lang w:val="ro-RO"/>
        </w:rPr>
      </w:pPr>
      <w:r w:rsidRPr="00415172">
        <w:rPr>
          <w:b/>
          <w:sz w:val="28"/>
          <w:szCs w:val="28"/>
          <w:lang w:val="ro-RO"/>
        </w:rPr>
        <w:t>NOTĂ INFORMATIVĂ</w:t>
      </w:r>
    </w:p>
    <w:p w:rsidR="00A303F4" w:rsidRPr="00415172" w:rsidRDefault="00A303F4" w:rsidP="00A303F4">
      <w:pPr>
        <w:pStyle w:val="a3"/>
        <w:jc w:val="center"/>
        <w:rPr>
          <w:b/>
          <w:lang w:val="ro-RO"/>
        </w:rPr>
      </w:pPr>
      <w:r w:rsidRPr="00415172">
        <w:rPr>
          <w:b/>
          <w:lang w:val="ro-RO"/>
        </w:rPr>
        <w:t>la proiectul hotărîrii  Guvernului ,,Cu privire la abrogarea</w:t>
      </w:r>
    </w:p>
    <w:p w:rsidR="00A303F4" w:rsidRPr="00AC78BE" w:rsidRDefault="00A303F4" w:rsidP="00A303F4">
      <w:pPr>
        <w:pStyle w:val="a3"/>
        <w:jc w:val="center"/>
        <w:rPr>
          <w:sz w:val="22"/>
          <w:szCs w:val="22"/>
          <w:lang w:val="ro-RO"/>
        </w:rPr>
      </w:pPr>
      <w:r w:rsidRPr="00415172">
        <w:rPr>
          <w:rStyle w:val="docheader"/>
          <w:b/>
          <w:bCs/>
          <w:lang w:val="ro-RO"/>
        </w:rPr>
        <w:t xml:space="preserve">Hotărîrii Guvernului nr. 77 din 30 ianuarie </w:t>
      </w:r>
      <w:smartTag w:uri="urn:schemas-microsoft-com:office:smarttags" w:element="metricconverter">
        <w:smartTagPr>
          <w:attr w:name="ProductID" w:val="2009”"/>
        </w:smartTagPr>
        <w:r w:rsidRPr="00415172">
          <w:rPr>
            <w:rStyle w:val="docheader"/>
            <w:b/>
            <w:bCs/>
            <w:lang w:val="ro-RO"/>
          </w:rPr>
          <w:t>2009”</w:t>
        </w:r>
      </w:smartTag>
    </w:p>
    <w:p w:rsidR="00A303F4" w:rsidRPr="00886E96" w:rsidRDefault="00A303F4" w:rsidP="00A303F4">
      <w:pPr>
        <w:pStyle w:val="a3"/>
        <w:rPr>
          <w:lang w:val="ro-RO"/>
        </w:rPr>
      </w:pPr>
    </w:p>
    <w:p w:rsidR="00A303F4" w:rsidRPr="00886E96" w:rsidRDefault="00A303F4" w:rsidP="00A303F4">
      <w:pPr>
        <w:pStyle w:val="a3"/>
        <w:rPr>
          <w:lang w:val="ro-RO"/>
        </w:rPr>
      </w:pPr>
    </w:p>
    <w:p w:rsidR="00A303F4" w:rsidRDefault="00A303F4" w:rsidP="00A303F4">
      <w:pPr>
        <w:pStyle w:val="a3"/>
        <w:rPr>
          <w:sz w:val="28"/>
          <w:szCs w:val="28"/>
          <w:lang w:val="ro-RO"/>
        </w:rPr>
      </w:pPr>
      <w:r>
        <w:rPr>
          <w:sz w:val="28"/>
          <w:szCs w:val="28"/>
          <w:lang w:val="ro-RO"/>
        </w:rPr>
        <w:t xml:space="preserve">În scopul dotării Ministerului Afacerilor Interne, inclusiv a subdiviziunilor subordonate cu mijloace de transport de serviciu, prin </w:t>
      </w:r>
      <w:r>
        <w:rPr>
          <w:rStyle w:val="docheader"/>
          <w:bCs/>
          <w:sz w:val="28"/>
          <w:szCs w:val="28"/>
          <w:lang w:val="ro-RO"/>
        </w:rPr>
        <w:t>Hotărîrea</w:t>
      </w:r>
      <w:r w:rsidRPr="00886E96">
        <w:rPr>
          <w:rStyle w:val="docheader"/>
          <w:bCs/>
          <w:sz w:val="28"/>
          <w:szCs w:val="28"/>
          <w:lang w:val="ro-RO"/>
        </w:rPr>
        <w:t xml:space="preserve"> Guvernului nr. 77 din 30 ianuarie 2009</w:t>
      </w:r>
      <w:r w:rsidRPr="00886E96">
        <w:rPr>
          <w:sz w:val="28"/>
          <w:szCs w:val="28"/>
          <w:lang w:val="ro-RO"/>
        </w:rPr>
        <w:t xml:space="preserve"> cu privire la aprobarea Normelor de dotare a subdiviziunilor Ministerului Afacerilor Interne cu mijloace de transport de serviciu</w:t>
      </w:r>
      <w:r>
        <w:rPr>
          <w:sz w:val="28"/>
          <w:szCs w:val="28"/>
          <w:lang w:val="ro-RO"/>
        </w:rPr>
        <w:t xml:space="preserve"> au fost aprobate normele de dotare, în acest sens.</w:t>
      </w:r>
    </w:p>
    <w:p w:rsidR="00A303F4" w:rsidRPr="00886E96" w:rsidRDefault="00A303F4" w:rsidP="00A303F4">
      <w:pPr>
        <w:pStyle w:val="a3"/>
        <w:rPr>
          <w:sz w:val="28"/>
          <w:szCs w:val="28"/>
          <w:lang w:val="ro-RO"/>
        </w:rPr>
      </w:pPr>
      <w:r w:rsidRPr="00886E96">
        <w:rPr>
          <w:sz w:val="28"/>
          <w:szCs w:val="28"/>
          <w:lang w:val="ro-RO"/>
        </w:rPr>
        <w:t xml:space="preserve">Conform clauzei de emitere a </w:t>
      </w:r>
      <w:r w:rsidRPr="00886E96">
        <w:rPr>
          <w:rStyle w:val="docheader"/>
          <w:bCs/>
          <w:sz w:val="28"/>
          <w:szCs w:val="28"/>
          <w:lang w:val="ro-RO"/>
        </w:rPr>
        <w:t>Hotărîrii Guvernului nr. 77 din 30 ianuarie 2009</w:t>
      </w:r>
      <w:r>
        <w:rPr>
          <w:rStyle w:val="docheader"/>
          <w:bCs/>
          <w:sz w:val="28"/>
          <w:szCs w:val="28"/>
          <w:lang w:val="ro-RO"/>
        </w:rPr>
        <w:t>,</w:t>
      </w:r>
      <w:r w:rsidRPr="00886E96">
        <w:rPr>
          <w:sz w:val="28"/>
          <w:szCs w:val="28"/>
          <w:lang w:val="ro-RO"/>
        </w:rPr>
        <w:t xml:space="preserve"> temeiul legal de emitere</w:t>
      </w:r>
      <w:r>
        <w:rPr>
          <w:sz w:val="28"/>
          <w:szCs w:val="28"/>
          <w:lang w:val="ro-RO"/>
        </w:rPr>
        <w:t xml:space="preserve"> a hotărîrii nominalizate a constituit</w:t>
      </w:r>
      <w:r w:rsidRPr="00886E96">
        <w:rPr>
          <w:sz w:val="28"/>
          <w:szCs w:val="28"/>
          <w:lang w:val="ro-RO"/>
        </w:rPr>
        <w:t xml:space="preserve">  Legea nr.416-XII din 18 decembrie 1990 cu privire la poliţie. </w:t>
      </w:r>
    </w:p>
    <w:p w:rsidR="00A303F4" w:rsidRDefault="00A303F4" w:rsidP="00A303F4">
      <w:pPr>
        <w:pStyle w:val="a3"/>
        <w:rPr>
          <w:sz w:val="28"/>
          <w:szCs w:val="28"/>
          <w:lang w:val="ro-RO"/>
        </w:rPr>
      </w:pPr>
      <w:r w:rsidRPr="00886E96">
        <w:rPr>
          <w:sz w:val="28"/>
          <w:szCs w:val="28"/>
          <w:lang w:val="ro-RO"/>
        </w:rPr>
        <w:t>Se remarcă că, în contextul reorganizării Ministerului Afacerilor Interne</w:t>
      </w:r>
      <w:r>
        <w:rPr>
          <w:sz w:val="28"/>
          <w:szCs w:val="28"/>
          <w:lang w:val="ro-RO"/>
        </w:rPr>
        <w:t>,</w:t>
      </w:r>
      <w:r w:rsidRPr="00886E96">
        <w:rPr>
          <w:sz w:val="28"/>
          <w:szCs w:val="28"/>
          <w:lang w:val="ro-RO"/>
        </w:rPr>
        <w:t xml:space="preserve"> la  05 martie </w:t>
      </w:r>
      <w:smartTag w:uri="urn:schemas-microsoft-com:office:smarttags" w:element="metricconverter">
        <w:smartTagPr>
          <w:attr w:name="ProductID" w:val="2013 a"/>
        </w:smartTagPr>
        <w:r w:rsidRPr="00886E96">
          <w:rPr>
            <w:sz w:val="28"/>
            <w:szCs w:val="28"/>
            <w:lang w:val="ro-RO"/>
          </w:rPr>
          <w:t>2013 a</w:t>
        </w:r>
      </w:smartTag>
      <w:r w:rsidRPr="00886E96">
        <w:rPr>
          <w:sz w:val="28"/>
          <w:szCs w:val="28"/>
          <w:lang w:val="ro-RO"/>
        </w:rPr>
        <w:t xml:space="preserve"> intrat în vigoare Legea cu privire la activitatea Poliţiei şi statutul poliţistului nr. 320 din 27 decembrie 2012, iar în conformitate cu art. 69 alin. (6) al Legii prenotate, la intrarea în vigoare a acesteia</w:t>
      </w:r>
      <w:r>
        <w:rPr>
          <w:sz w:val="28"/>
          <w:szCs w:val="28"/>
          <w:lang w:val="ro-RO"/>
        </w:rPr>
        <w:t>,</w:t>
      </w:r>
      <w:r w:rsidRPr="00886E96">
        <w:rPr>
          <w:sz w:val="28"/>
          <w:szCs w:val="28"/>
          <w:lang w:val="ro-RO"/>
        </w:rPr>
        <w:t xml:space="preserve"> Legea nr.416-XII din 18 decembrie 1990 cu privire la poliţie,</w:t>
      </w:r>
      <w:r>
        <w:rPr>
          <w:sz w:val="28"/>
          <w:szCs w:val="28"/>
          <w:lang w:val="ro-RO"/>
        </w:rPr>
        <w:t xml:space="preserve"> </w:t>
      </w:r>
      <w:r w:rsidRPr="00886E96">
        <w:rPr>
          <w:sz w:val="28"/>
          <w:szCs w:val="28"/>
          <w:lang w:val="ro-RO"/>
        </w:rPr>
        <w:t>a</w:t>
      </w:r>
      <w:r>
        <w:rPr>
          <w:sz w:val="28"/>
          <w:szCs w:val="28"/>
          <w:lang w:val="ro-RO"/>
        </w:rPr>
        <w:t xml:space="preserve"> fost</w:t>
      </w:r>
      <w:r w:rsidRPr="00886E96">
        <w:rPr>
          <w:sz w:val="28"/>
          <w:szCs w:val="28"/>
          <w:lang w:val="ro-RO"/>
        </w:rPr>
        <w:t xml:space="preserve"> abrogat</w:t>
      </w:r>
      <w:r>
        <w:rPr>
          <w:sz w:val="28"/>
          <w:szCs w:val="28"/>
          <w:lang w:val="ro-RO"/>
        </w:rPr>
        <w:t>ă</w:t>
      </w:r>
      <w:r w:rsidRPr="00886E96">
        <w:rPr>
          <w:sz w:val="28"/>
          <w:szCs w:val="28"/>
          <w:lang w:val="ro-RO"/>
        </w:rPr>
        <w:t>.</w:t>
      </w:r>
    </w:p>
    <w:p w:rsidR="00A303F4" w:rsidRDefault="00A303F4" w:rsidP="00A303F4">
      <w:pPr>
        <w:pStyle w:val="a3"/>
        <w:rPr>
          <w:sz w:val="28"/>
          <w:szCs w:val="28"/>
          <w:lang w:val="ro-RO"/>
        </w:rPr>
      </w:pPr>
      <w:r>
        <w:rPr>
          <w:sz w:val="28"/>
          <w:szCs w:val="28"/>
          <w:lang w:val="ro-RO"/>
        </w:rPr>
        <w:t xml:space="preserve">Subsidiar, de menţionat că, deşi </w:t>
      </w:r>
      <w:r w:rsidRPr="00886E96">
        <w:rPr>
          <w:sz w:val="28"/>
          <w:szCs w:val="28"/>
          <w:lang w:val="ro-RO"/>
        </w:rPr>
        <w:t>Legea nr.416-XII din 18 decembrie 1990</w:t>
      </w:r>
      <w:r>
        <w:rPr>
          <w:sz w:val="28"/>
          <w:szCs w:val="28"/>
          <w:lang w:val="ro-RO"/>
        </w:rPr>
        <w:t xml:space="preserve"> (abrogată) a constituit temei de aprobare a Hotărîrii Guvernului menţionate mai sus, anexa la aceasta identifică şi norme de dotare cu mijloace de transport de serviciu şi pentru alte subdiviziuni ale MAI, dar care nu au statut poliţienesc, iar activitatea lor este reglementată de legi speciale (ex. Serviciul protecţie civilă şi situaţii excepţionale, Departamentul trupelor de carabinieri).</w:t>
      </w:r>
    </w:p>
    <w:p w:rsidR="00A303F4" w:rsidRPr="00886E96" w:rsidRDefault="00A303F4" w:rsidP="00A303F4">
      <w:pPr>
        <w:pStyle w:val="a3"/>
        <w:rPr>
          <w:sz w:val="28"/>
          <w:szCs w:val="28"/>
          <w:lang w:val="ro-RO"/>
        </w:rPr>
      </w:pPr>
      <w:r w:rsidRPr="00886E96">
        <w:rPr>
          <w:sz w:val="28"/>
          <w:szCs w:val="28"/>
          <w:lang w:val="ro-RO"/>
        </w:rPr>
        <w:t>Legea cu privire la activitatea Poliţiei şi statutul poliţistului a stabilit o nouă viziune cu privire la organizarea activităţii Poliţiei în cadrul Ministerului Afacerilor Interne</w:t>
      </w:r>
      <w:r>
        <w:rPr>
          <w:sz w:val="28"/>
          <w:szCs w:val="28"/>
          <w:lang w:val="ro-RO"/>
        </w:rPr>
        <w:t>, aşadar,</w:t>
      </w:r>
      <w:r w:rsidRPr="00886E96">
        <w:rPr>
          <w:sz w:val="28"/>
          <w:szCs w:val="28"/>
          <w:lang w:val="ro-RO"/>
        </w:rPr>
        <w:t xml:space="preserve"> în consecinţă a fost modificată</w:t>
      </w:r>
      <w:r>
        <w:rPr>
          <w:sz w:val="28"/>
          <w:szCs w:val="28"/>
          <w:lang w:val="ro-RO"/>
        </w:rPr>
        <w:t xml:space="preserve"> şi structura organizatorico-</w:t>
      </w:r>
      <w:r w:rsidRPr="00886E96">
        <w:rPr>
          <w:sz w:val="28"/>
          <w:szCs w:val="28"/>
          <w:lang w:val="ro-RO"/>
        </w:rPr>
        <w:t xml:space="preserve"> funcţională a </w:t>
      </w:r>
      <w:r>
        <w:rPr>
          <w:sz w:val="28"/>
          <w:szCs w:val="28"/>
          <w:lang w:val="ro-RO"/>
        </w:rPr>
        <w:t>acestuia.</w:t>
      </w:r>
    </w:p>
    <w:p w:rsidR="00A303F4" w:rsidRDefault="00A303F4" w:rsidP="00A303F4">
      <w:pPr>
        <w:pStyle w:val="a3"/>
        <w:rPr>
          <w:sz w:val="28"/>
          <w:szCs w:val="28"/>
          <w:lang w:val="ro-RO"/>
        </w:rPr>
      </w:pPr>
      <w:r>
        <w:rPr>
          <w:sz w:val="28"/>
          <w:szCs w:val="28"/>
          <w:lang w:val="ro-RO"/>
        </w:rPr>
        <w:t xml:space="preserve">Astfel, </w:t>
      </w:r>
      <w:r w:rsidRPr="00886E96">
        <w:rPr>
          <w:sz w:val="28"/>
          <w:szCs w:val="28"/>
          <w:lang w:val="ro-RO"/>
        </w:rPr>
        <w:t xml:space="preserve">au </w:t>
      </w:r>
      <w:r>
        <w:rPr>
          <w:sz w:val="28"/>
          <w:szCs w:val="28"/>
          <w:lang w:val="ro-RO"/>
        </w:rPr>
        <w:t xml:space="preserve">fost operate o serie de amendamente la </w:t>
      </w:r>
      <w:r w:rsidRPr="00886E96">
        <w:rPr>
          <w:sz w:val="28"/>
          <w:szCs w:val="28"/>
          <w:lang w:val="ro-RO"/>
        </w:rPr>
        <w:t>Hotărîrea Guvernului nr. 778 din 27 ianuarie 2009 cu privire la aprobarea Regulamentului privind organizarea şi funcţionarea Ministerului Afacerilor Interne, structurii şi efectivului-limită ale aparatului central al acestuia, prin care s-a modificat structu</w:t>
      </w:r>
      <w:r>
        <w:rPr>
          <w:sz w:val="28"/>
          <w:szCs w:val="28"/>
          <w:lang w:val="ro-RO"/>
        </w:rPr>
        <w:t>ra organizatorică-funcţională,</w:t>
      </w:r>
      <w:r w:rsidRPr="00886E96">
        <w:rPr>
          <w:sz w:val="28"/>
          <w:szCs w:val="28"/>
          <w:lang w:val="ro-RO"/>
        </w:rPr>
        <w:t xml:space="preserve"> denumirea unor subdiviziuni ale ministerului, alte subdiviziuni au fost lichidate,</w:t>
      </w:r>
      <w:r>
        <w:rPr>
          <w:sz w:val="28"/>
          <w:szCs w:val="28"/>
          <w:lang w:val="ro-RO"/>
        </w:rPr>
        <w:t xml:space="preserve"> în timp ce unele au fost </w:t>
      </w:r>
      <w:r w:rsidRPr="00886E96">
        <w:rPr>
          <w:sz w:val="28"/>
          <w:szCs w:val="28"/>
          <w:lang w:val="ro-RO"/>
        </w:rPr>
        <w:t>reorganizat</w:t>
      </w:r>
      <w:r>
        <w:rPr>
          <w:sz w:val="28"/>
          <w:szCs w:val="28"/>
          <w:lang w:val="ro-RO"/>
        </w:rPr>
        <w:t>e</w:t>
      </w:r>
      <w:r w:rsidRPr="00886E96">
        <w:rPr>
          <w:sz w:val="28"/>
          <w:szCs w:val="28"/>
          <w:lang w:val="ro-RO"/>
        </w:rPr>
        <w:t xml:space="preserve"> (structural şi funcţional) în a</w:t>
      </w:r>
      <w:r>
        <w:rPr>
          <w:sz w:val="28"/>
          <w:szCs w:val="28"/>
          <w:lang w:val="ro-RO"/>
        </w:rPr>
        <w:t>utorităţi administrative şi instituţii</w:t>
      </w:r>
      <w:r w:rsidRPr="00886E96">
        <w:rPr>
          <w:sz w:val="28"/>
          <w:szCs w:val="28"/>
          <w:lang w:val="ro-RO"/>
        </w:rPr>
        <w:t xml:space="preserve"> din subordinea Ministerului Afacerilor Interne.</w:t>
      </w:r>
    </w:p>
    <w:p w:rsidR="00A303F4" w:rsidRDefault="00A303F4" w:rsidP="00A303F4">
      <w:pPr>
        <w:pStyle w:val="a3"/>
        <w:rPr>
          <w:sz w:val="28"/>
          <w:szCs w:val="28"/>
          <w:lang w:val="ro-RO"/>
        </w:rPr>
      </w:pPr>
      <w:r>
        <w:rPr>
          <w:rStyle w:val="docheader"/>
          <w:bCs/>
          <w:sz w:val="28"/>
          <w:szCs w:val="28"/>
          <w:lang w:val="ro-RO"/>
        </w:rPr>
        <w:t xml:space="preserve">Pornind de la rigorile de tehnică legislativă, avînd în vedere că </w:t>
      </w:r>
      <w:r w:rsidRPr="00886E96">
        <w:rPr>
          <w:sz w:val="28"/>
          <w:szCs w:val="28"/>
          <w:lang w:val="ro-RO"/>
        </w:rPr>
        <w:t xml:space="preserve">Legea nr.416-XII din 18 decembrie </w:t>
      </w:r>
      <w:smartTag w:uri="urn:schemas-microsoft-com:office:smarttags" w:element="metricconverter">
        <w:smartTagPr>
          <w:attr w:name="ProductID" w:val="1990 a"/>
        </w:smartTagPr>
        <w:r w:rsidRPr="00886E96">
          <w:rPr>
            <w:sz w:val="28"/>
            <w:szCs w:val="28"/>
            <w:lang w:val="ro-RO"/>
          </w:rPr>
          <w:t>1990</w:t>
        </w:r>
        <w:r>
          <w:rPr>
            <w:sz w:val="28"/>
            <w:szCs w:val="28"/>
            <w:lang w:val="ro-RO"/>
          </w:rPr>
          <w:t xml:space="preserve"> a</w:t>
        </w:r>
      </w:smartTag>
      <w:r>
        <w:rPr>
          <w:sz w:val="28"/>
          <w:szCs w:val="28"/>
          <w:lang w:val="ro-RO"/>
        </w:rPr>
        <w:t xml:space="preserve"> fost abrogată, se consideră judicioasă şi abrogarea hotărîrii nominalizate. </w:t>
      </w:r>
    </w:p>
    <w:p w:rsidR="00A303F4" w:rsidRDefault="00A303F4" w:rsidP="00A303F4">
      <w:pPr>
        <w:pStyle w:val="a3"/>
        <w:rPr>
          <w:sz w:val="28"/>
          <w:szCs w:val="28"/>
          <w:lang w:val="ro-RO"/>
        </w:rPr>
      </w:pPr>
      <w:r>
        <w:rPr>
          <w:sz w:val="28"/>
          <w:szCs w:val="28"/>
          <w:lang w:val="ro-RO"/>
        </w:rPr>
        <w:t xml:space="preserve">Inoportunitatea elaborării unei noi hotărîri de Guvern ce va reglementa acest aspect, se datorează faptului că, </w:t>
      </w:r>
      <w:r w:rsidRPr="00886E96">
        <w:rPr>
          <w:sz w:val="28"/>
          <w:szCs w:val="28"/>
          <w:lang w:val="ro-RO"/>
        </w:rPr>
        <w:t>Legea cu privire la activitatea Poliţiei şi statutul poliţistului</w:t>
      </w:r>
      <w:r>
        <w:rPr>
          <w:sz w:val="28"/>
          <w:szCs w:val="28"/>
          <w:lang w:val="ro-RO"/>
        </w:rPr>
        <w:t xml:space="preserve"> nu stabileşte o astfel de modalitate.</w:t>
      </w:r>
    </w:p>
    <w:p w:rsidR="00A303F4" w:rsidRDefault="00A303F4" w:rsidP="00A303F4">
      <w:pPr>
        <w:pStyle w:val="a3"/>
        <w:rPr>
          <w:sz w:val="28"/>
          <w:szCs w:val="28"/>
          <w:lang w:val="ro-RO"/>
        </w:rPr>
      </w:pPr>
      <w:r>
        <w:rPr>
          <w:sz w:val="28"/>
          <w:szCs w:val="28"/>
          <w:lang w:val="ro-RO"/>
        </w:rPr>
        <w:t xml:space="preserve">Mai mult decît atît, ţinînd cont de practica normativă pe acest segment, constatăm că, normele de dotare a subdiviziunilor tuturor autorităţilor </w:t>
      </w:r>
      <w:r>
        <w:rPr>
          <w:sz w:val="28"/>
          <w:szCs w:val="28"/>
          <w:lang w:val="ro-RO"/>
        </w:rPr>
        <w:lastRenderedPageBreak/>
        <w:t>administraţiei publice de specialitate cu mijloace de transport de serviciu sunt aprobate la nivel intern de conducătorul instituţiei respective.</w:t>
      </w:r>
    </w:p>
    <w:p w:rsidR="00A303F4" w:rsidRDefault="00A303F4" w:rsidP="00A303F4">
      <w:pPr>
        <w:pStyle w:val="a3"/>
        <w:rPr>
          <w:sz w:val="28"/>
          <w:szCs w:val="28"/>
          <w:lang w:val="ro-RO"/>
        </w:rPr>
      </w:pPr>
      <w:r>
        <w:rPr>
          <w:sz w:val="28"/>
          <w:szCs w:val="28"/>
          <w:lang w:val="ro-RO"/>
        </w:rPr>
        <w:t xml:space="preserve">Prin urmare, normele de dotare a Ministerului Afacerilor Interne, inclusiv a </w:t>
      </w:r>
      <w:r w:rsidRPr="00886E96">
        <w:rPr>
          <w:sz w:val="28"/>
          <w:szCs w:val="28"/>
          <w:lang w:val="ro-RO"/>
        </w:rPr>
        <w:t>a</w:t>
      </w:r>
      <w:r>
        <w:rPr>
          <w:sz w:val="28"/>
          <w:szCs w:val="28"/>
          <w:lang w:val="ro-RO"/>
        </w:rPr>
        <w:t>utorităţilor administrative şi instituţiilor din subordine cu mijloace de transport de serviciu, vor fi aprobate prin ordinul ministrului afacerilor interne.</w:t>
      </w:r>
    </w:p>
    <w:p w:rsidR="00A303F4" w:rsidRDefault="00A303F4" w:rsidP="00A303F4">
      <w:pPr>
        <w:pStyle w:val="a3"/>
        <w:rPr>
          <w:rStyle w:val="docheader"/>
          <w:bCs/>
          <w:sz w:val="28"/>
          <w:szCs w:val="28"/>
          <w:lang w:val="ro-RO"/>
        </w:rPr>
      </w:pPr>
      <w:r>
        <w:rPr>
          <w:sz w:val="28"/>
          <w:szCs w:val="28"/>
          <w:lang w:val="ro-RO"/>
        </w:rPr>
        <w:t xml:space="preserve">Subsecvent, conchidem că procedeul tehnic de abrogare a </w:t>
      </w:r>
      <w:r>
        <w:rPr>
          <w:rStyle w:val="docheader"/>
          <w:bCs/>
          <w:sz w:val="28"/>
          <w:szCs w:val="28"/>
          <w:lang w:val="ro-RO"/>
        </w:rPr>
        <w:t>Hotărîrii</w:t>
      </w:r>
      <w:r w:rsidRPr="00886E96">
        <w:rPr>
          <w:rStyle w:val="docheader"/>
          <w:bCs/>
          <w:sz w:val="28"/>
          <w:szCs w:val="28"/>
          <w:lang w:val="ro-RO"/>
        </w:rPr>
        <w:t xml:space="preserve"> Guvernului nr. 77 din 30 ianuarie 2009</w:t>
      </w:r>
      <w:r>
        <w:rPr>
          <w:rStyle w:val="docheader"/>
          <w:bCs/>
          <w:sz w:val="28"/>
          <w:szCs w:val="28"/>
          <w:lang w:val="ro-RO"/>
        </w:rPr>
        <w:t xml:space="preserve"> corespunde rigorilor de tehnică legislativă. </w:t>
      </w:r>
    </w:p>
    <w:p w:rsidR="00A303F4" w:rsidRPr="00886E96" w:rsidRDefault="00A303F4" w:rsidP="00A303F4">
      <w:pPr>
        <w:pStyle w:val="a3"/>
        <w:rPr>
          <w:sz w:val="28"/>
          <w:szCs w:val="28"/>
          <w:lang w:val="ro-RO"/>
        </w:rPr>
      </w:pPr>
      <w:r>
        <w:rPr>
          <w:rStyle w:val="docheader"/>
          <w:bCs/>
          <w:sz w:val="28"/>
          <w:szCs w:val="28"/>
          <w:lang w:val="ro-RO"/>
        </w:rPr>
        <w:t>Or</w:t>
      </w:r>
      <w:r w:rsidRPr="00886E96">
        <w:rPr>
          <w:sz w:val="28"/>
          <w:szCs w:val="28"/>
          <w:lang w:val="ro-RO"/>
        </w:rPr>
        <w:t xml:space="preserve">, prevederile </w:t>
      </w:r>
      <w:r w:rsidRPr="00886E96">
        <w:rPr>
          <w:bCs/>
          <w:sz w:val="28"/>
          <w:szCs w:val="28"/>
          <w:lang w:val="ro-RO"/>
        </w:rPr>
        <w:t xml:space="preserve">art. 62 alin. (1) al </w:t>
      </w:r>
      <w:r w:rsidRPr="00886E96">
        <w:rPr>
          <w:sz w:val="28"/>
          <w:szCs w:val="28"/>
          <w:lang w:val="ro-RO"/>
        </w:rPr>
        <w:t>Legii nr. 317-XV din 18 iulie 2003 privind actele normative ale Guvernului şi ale altor autorităţi ale administraţiei publice centrale şi locale</w:t>
      </w:r>
      <w:r w:rsidRPr="00886E96">
        <w:rPr>
          <w:bCs/>
          <w:sz w:val="28"/>
          <w:szCs w:val="28"/>
          <w:lang w:val="ro-RO"/>
        </w:rPr>
        <w:t>,</w:t>
      </w:r>
      <w:r w:rsidRPr="00886E96">
        <w:rPr>
          <w:b/>
          <w:bCs/>
          <w:sz w:val="28"/>
          <w:szCs w:val="28"/>
          <w:lang w:val="ro-RO"/>
        </w:rPr>
        <w:t xml:space="preserve"> </w:t>
      </w:r>
      <w:r w:rsidRPr="00886E96">
        <w:rPr>
          <w:sz w:val="28"/>
          <w:szCs w:val="28"/>
          <w:lang w:val="ro-RO"/>
        </w:rPr>
        <w:t xml:space="preserve">indică că, modificarea sau completarea unui act normativ este admisă numai dacă nu se afectează concepţia generală ori caracterul unitar al acelui act sau dacă nu priveşte întreaga ori cea mai mare parte a reglementării în cauză. În caz contrar, actul se înlocuieşte cu o nouă reglementare, urmînd să </w:t>
      </w:r>
      <w:r>
        <w:rPr>
          <w:sz w:val="28"/>
          <w:szCs w:val="28"/>
          <w:lang w:val="ro-RO"/>
        </w:rPr>
        <w:t>fie în întregime abrogat</w:t>
      </w:r>
      <w:r w:rsidRPr="00886E96">
        <w:rPr>
          <w:sz w:val="28"/>
          <w:szCs w:val="28"/>
          <w:lang w:val="ro-RO"/>
        </w:rPr>
        <w:t xml:space="preserve">, iar potrivit art. 65 alin. (1) al </w:t>
      </w:r>
      <w:r>
        <w:rPr>
          <w:sz w:val="28"/>
          <w:szCs w:val="28"/>
          <w:lang w:val="ro-RO"/>
        </w:rPr>
        <w:t>acelei</w:t>
      </w:r>
      <w:r w:rsidRPr="00886E96">
        <w:rPr>
          <w:sz w:val="28"/>
          <w:szCs w:val="28"/>
          <w:lang w:val="ro-RO"/>
        </w:rPr>
        <w:t>aşi legi,</w:t>
      </w:r>
      <w:r>
        <w:rPr>
          <w:sz w:val="28"/>
          <w:szCs w:val="28"/>
          <w:lang w:val="ro-RO"/>
        </w:rPr>
        <w:t xml:space="preserve"> stabileşte</w:t>
      </w:r>
      <w:r w:rsidRPr="00886E96">
        <w:rPr>
          <w:sz w:val="28"/>
          <w:szCs w:val="28"/>
          <w:lang w:val="ro-RO"/>
        </w:rPr>
        <w:t xml:space="preserve"> că, prevederile cuprinse într-un act normativ contrare unei noi reglementări de acelaşi nivel sau de nivel superior trebuie abrogate</w:t>
      </w:r>
      <w:r>
        <w:rPr>
          <w:sz w:val="28"/>
          <w:szCs w:val="28"/>
          <w:lang w:val="ro-RO"/>
        </w:rPr>
        <w:t>.</w:t>
      </w:r>
    </w:p>
    <w:p w:rsidR="00A303F4" w:rsidRPr="00886E96" w:rsidRDefault="00A303F4" w:rsidP="00A303F4">
      <w:pPr>
        <w:ind w:firstLine="567"/>
        <w:jc w:val="both"/>
        <w:rPr>
          <w:sz w:val="28"/>
          <w:szCs w:val="28"/>
        </w:rPr>
      </w:pPr>
      <w:r w:rsidRPr="00886E96">
        <w:rPr>
          <w:sz w:val="28"/>
          <w:szCs w:val="28"/>
        </w:rPr>
        <w:t>Implementarea practică a proiectului nu presupune alocări financiare suplimentare din contul mijloacelor bugetare.</w:t>
      </w:r>
    </w:p>
    <w:p w:rsidR="00A303F4" w:rsidRPr="00886E96" w:rsidRDefault="00A303F4" w:rsidP="00A303F4">
      <w:pPr>
        <w:ind w:firstLine="567"/>
        <w:jc w:val="both"/>
        <w:rPr>
          <w:iCs/>
          <w:sz w:val="28"/>
          <w:szCs w:val="28"/>
        </w:rPr>
      </w:pPr>
      <w:r w:rsidRPr="00886E96">
        <w:rPr>
          <w:sz w:val="28"/>
          <w:szCs w:val="28"/>
        </w:rPr>
        <w:t>Ministerul Afacerilor Interne consideră oportun şi necesar aprobarea proiectului menţionat.</w:t>
      </w:r>
    </w:p>
    <w:p w:rsidR="00A303F4" w:rsidRPr="00886E96" w:rsidRDefault="00A303F4" w:rsidP="00A303F4">
      <w:pPr>
        <w:ind w:firstLine="567"/>
        <w:jc w:val="both"/>
        <w:rPr>
          <w:rFonts w:ascii="Tahoma" w:hAnsi="Tahoma" w:cs="Tahoma"/>
          <w:sz w:val="28"/>
          <w:szCs w:val="28"/>
        </w:rPr>
      </w:pPr>
    </w:p>
    <w:p w:rsidR="00A303F4" w:rsidRPr="00886E96" w:rsidRDefault="00A303F4" w:rsidP="00A303F4">
      <w:pPr>
        <w:ind w:firstLine="567"/>
        <w:jc w:val="both"/>
        <w:rPr>
          <w:sz w:val="28"/>
          <w:szCs w:val="28"/>
        </w:rPr>
      </w:pPr>
    </w:p>
    <w:p w:rsidR="00A303F4" w:rsidRPr="000F233D" w:rsidRDefault="00A303F4" w:rsidP="00A303F4">
      <w:pPr>
        <w:ind w:firstLine="567"/>
        <w:jc w:val="both"/>
        <w:rPr>
          <w:b/>
          <w:sz w:val="28"/>
          <w:szCs w:val="28"/>
        </w:rPr>
      </w:pPr>
      <w:r>
        <w:rPr>
          <w:b/>
          <w:sz w:val="28"/>
          <w:szCs w:val="28"/>
        </w:rPr>
        <w:t xml:space="preserve">   </w:t>
      </w:r>
      <w:r w:rsidRPr="000F233D">
        <w:rPr>
          <w:b/>
          <w:sz w:val="28"/>
          <w:szCs w:val="28"/>
        </w:rPr>
        <w:t xml:space="preserve">Ministru                          </w:t>
      </w:r>
      <w:r>
        <w:rPr>
          <w:b/>
          <w:sz w:val="28"/>
          <w:szCs w:val="28"/>
        </w:rPr>
        <w:t xml:space="preserve">  </w:t>
      </w:r>
      <w:r w:rsidRPr="000F233D">
        <w:rPr>
          <w:b/>
          <w:sz w:val="28"/>
          <w:szCs w:val="28"/>
        </w:rPr>
        <w:t xml:space="preserve">         </w:t>
      </w:r>
      <w:r>
        <w:rPr>
          <w:b/>
          <w:sz w:val="28"/>
          <w:szCs w:val="28"/>
        </w:rPr>
        <w:t xml:space="preserve">   </w:t>
      </w:r>
      <w:r w:rsidRPr="000F233D">
        <w:rPr>
          <w:b/>
          <w:sz w:val="28"/>
          <w:szCs w:val="28"/>
        </w:rPr>
        <w:t xml:space="preserve">                              Dorin RECEAN</w:t>
      </w:r>
    </w:p>
    <w:p w:rsidR="00A303F4" w:rsidRPr="000F233D" w:rsidRDefault="00A303F4" w:rsidP="00A303F4">
      <w:pPr>
        <w:pStyle w:val="a3"/>
        <w:rPr>
          <w:b/>
          <w:lang w:val="ro-RO"/>
        </w:rPr>
      </w:pPr>
    </w:p>
    <w:p w:rsidR="005400CD" w:rsidRDefault="005400CD"/>
    <w:sectPr w:rsidR="005400CD" w:rsidSect="00F84E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03F4"/>
    <w:rsid w:val="00011CB0"/>
    <w:rsid w:val="003240BD"/>
    <w:rsid w:val="005400CD"/>
    <w:rsid w:val="00A303F4"/>
    <w:rsid w:val="00B04C6B"/>
    <w:rsid w:val="00C20E27"/>
    <w:rsid w:val="00F84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F4"/>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03F4"/>
    <w:pPr>
      <w:ind w:firstLine="567"/>
      <w:jc w:val="both"/>
    </w:pPr>
    <w:rPr>
      <w:lang w:val="ru-RU"/>
    </w:rPr>
  </w:style>
  <w:style w:type="character" w:customStyle="1" w:styleId="docheader">
    <w:name w:val="doc_header"/>
    <w:basedOn w:val="a0"/>
    <w:rsid w:val="00A303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3823</Characters>
  <Application>Microsoft Office Word</Application>
  <DocSecurity>0</DocSecurity>
  <Lines>31</Lines>
  <Paragraphs>8</Paragraphs>
  <ScaleCrop>false</ScaleCrop>
  <Company>CtrlSoft</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2</cp:revision>
  <dcterms:created xsi:type="dcterms:W3CDTF">2014-02-25T12:03:00Z</dcterms:created>
  <dcterms:modified xsi:type="dcterms:W3CDTF">2014-02-25T12:03:00Z</dcterms:modified>
</cp:coreProperties>
</file>