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47" w:rsidRPr="00883E40" w:rsidRDefault="00D457F2" w:rsidP="00844E56">
      <w:pPr>
        <w:pStyle w:val="tt"/>
        <w:rPr>
          <w:lang w:val="ro-RO"/>
        </w:rPr>
      </w:pPr>
      <w:r w:rsidRPr="00883E40">
        <w:rPr>
          <w:lang w:val="ro-RO"/>
        </w:rPr>
        <w:t>Tabelul divergențelor</w:t>
      </w:r>
      <w:r w:rsidR="009B560E" w:rsidRPr="00883E40">
        <w:rPr>
          <w:lang w:val="ro-RO"/>
        </w:rPr>
        <w:t xml:space="preserve"> la proiectul </w:t>
      </w:r>
      <w:r w:rsidR="00883E40" w:rsidRPr="00883E40">
        <w:rPr>
          <w:lang w:val="ro-RO"/>
        </w:rPr>
        <w:t>Hotărârii</w:t>
      </w:r>
      <w:r w:rsidR="00E92247" w:rsidRPr="00883E40">
        <w:rPr>
          <w:lang w:val="ro-RO"/>
        </w:rPr>
        <w:t xml:space="preserve"> de Guvern </w:t>
      </w:r>
      <w:r w:rsidR="00883E40">
        <w:rPr>
          <w:lang w:val="ro-RO"/>
        </w:rPr>
        <w:t>cu privire la</w:t>
      </w:r>
      <w:r w:rsidR="00883E40" w:rsidRPr="00883E40">
        <w:t xml:space="preserve"> </w:t>
      </w:r>
      <w:r w:rsidR="00883E40" w:rsidRPr="00883E40">
        <w:rPr>
          <w:lang w:val="ro-RO"/>
        </w:rPr>
        <w:t xml:space="preserve">modificarea </w:t>
      </w:r>
      <w:proofErr w:type="spellStart"/>
      <w:r w:rsidR="00883E40" w:rsidRPr="00883E40">
        <w:rPr>
          <w:lang w:val="ro-RO"/>
        </w:rPr>
        <w:t>Hotărîrii</w:t>
      </w:r>
      <w:proofErr w:type="spellEnd"/>
      <w:r w:rsidR="00883E40" w:rsidRPr="00883E40">
        <w:rPr>
          <w:lang w:val="ro-RO"/>
        </w:rPr>
        <w:t xml:space="preserve"> Guvernului nr. 20 din 20 ianuarie 2009</w:t>
      </w:r>
    </w:p>
    <w:p w:rsidR="005179A9" w:rsidRPr="00883E40" w:rsidRDefault="005179A9" w:rsidP="00844E56">
      <w:pPr>
        <w:pStyle w:val="tt"/>
        <w:rPr>
          <w:b w:val="0"/>
          <w:lang w:val="ro-RO"/>
        </w:rPr>
      </w:pPr>
    </w:p>
    <w:tbl>
      <w:tblPr>
        <w:tblW w:w="14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9225"/>
        <w:gridCol w:w="4217"/>
      </w:tblGrid>
      <w:tr w:rsidR="00DA7CA1" w:rsidRPr="00883E40" w:rsidTr="00CE64E8">
        <w:tc>
          <w:tcPr>
            <w:tcW w:w="840" w:type="dxa"/>
            <w:vAlign w:val="center"/>
          </w:tcPr>
          <w:p w:rsidR="009B560E" w:rsidRPr="00883E40" w:rsidRDefault="009B560E" w:rsidP="00EF6366">
            <w:pPr>
              <w:jc w:val="center"/>
              <w:rPr>
                <w:b/>
                <w:lang w:val="ro-RO"/>
              </w:rPr>
            </w:pPr>
            <w:r w:rsidRPr="00883E40">
              <w:rPr>
                <w:b/>
                <w:lang w:val="ro-RO"/>
              </w:rPr>
              <w:t>nr. d/o</w:t>
            </w:r>
          </w:p>
        </w:tc>
        <w:tc>
          <w:tcPr>
            <w:tcW w:w="9225" w:type="dxa"/>
            <w:vAlign w:val="center"/>
          </w:tcPr>
          <w:p w:rsidR="009B560E" w:rsidRPr="00883E40" w:rsidRDefault="009B560E" w:rsidP="00EF6366">
            <w:pPr>
              <w:jc w:val="center"/>
              <w:rPr>
                <w:b/>
                <w:lang w:val="ro-RO"/>
              </w:rPr>
            </w:pPr>
            <w:r w:rsidRPr="00883E40">
              <w:rPr>
                <w:b/>
                <w:lang w:val="ro-RO"/>
              </w:rPr>
              <w:t>Conţinutul propunerilor şi obiecţiilor</w:t>
            </w:r>
          </w:p>
        </w:tc>
        <w:tc>
          <w:tcPr>
            <w:tcW w:w="4217" w:type="dxa"/>
            <w:vAlign w:val="center"/>
          </w:tcPr>
          <w:p w:rsidR="009B560E" w:rsidRPr="00883E40" w:rsidRDefault="009B560E" w:rsidP="00EF6366">
            <w:pPr>
              <w:jc w:val="center"/>
              <w:rPr>
                <w:b/>
                <w:lang w:val="ro-RO"/>
              </w:rPr>
            </w:pPr>
            <w:r w:rsidRPr="00883E40">
              <w:rPr>
                <w:b/>
                <w:lang w:val="ro-RO"/>
              </w:rPr>
              <w:t>Comentarii</w:t>
            </w:r>
          </w:p>
        </w:tc>
      </w:tr>
      <w:tr w:rsidR="007C0736" w:rsidRPr="00C82423" w:rsidTr="00543469">
        <w:tc>
          <w:tcPr>
            <w:tcW w:w="14282" w:type="dxa"/>
            <w:gridSpan w:val="3"/>
          </w:tcPr>
          <w:p w:rsidR="007C0736" w:rsidRPr="00883E40" w:rsidRDefault="007C0736" w:rsidP="00543469">
            <w:pPr>
              <w:spacing w:before="120" w:after="120"/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Ministerul Finanțelor</w:t>
            </w:r>
            <w:r w:rsidRPr="00883E40">
              <w:rPr>
                <w:b/>
                <w:lang w:val="ro-RO"/>
              </w:rPr>
              <w:t xml:space="preserve"> a prezentat avizul prin scrisoarea nr. </w:t>
            </w:r>
            <w:r>
              <w:rPr>
                <w:b/>
                <w:lang w:val="ro-RO"/>
              </w:rPr>
              <w:t>09-04/1008 din 15.12</w:t>
            </w:r>
            <w:r w:rsidRPr="00883E40">
              <w:rPr>
                <w:b/>
                <w:lang w:val="ro-RO"/>
              </w:rPr>
              <w:t>.2016</w:t>
            </w:r>
          </w:p>
        </w:tc>
      </w:tr>
      <w:tr w:rsidR="007C0736" w:rsidRPr="000E4F7D" w:rsidTr="00543469">
        <w:trPr>
          <w:trHeight w:val="912"/>
        </w:trPr>
        <w:tc>
          <w:tcPr>
            <w:tcW w:w="840" w:type="dxa"/>
          </w:tcPr>
          <w:p w:rsidR="007C0736" w:rsidRPr="00883E40" w:rsidRDefault="007C0736" w:rsidP="00543469">
            <w:pPr>
              <w:jc w:val="center"/>
              <w:rPr>
                <w:lang w:val="ro-RO"/>
              </w:rPr>
            </w:pPr>
            <w:r w:rsidRPr="00883E40">
              <w:rPr>
                <w:lang w:val="ro-RO"/>
              </w:rPr>
              <w:t>1.</w:t>
            </w:r>
          </w:p>
          <w:p w:rsidR="007C0736" w:rsidRPr="00883E40" w:rsidRDefault="007C0736" w:rsidP="00543469">
            <w:pPr>
              <w:jc w:val="center"/>
              <w:rPr>
                <w:lang w:val="ro-RO"/>
              </w:rPr>
            </w:pPr>
          </w:p>
        </w:tc>
        <w:tc>
          <w:tcPr>
            <w:tcW w:w="9225" w:type="dxa"/>
            <w:vAlign w:val="center"/>
          </w:tcPr>
          <w:p w:rsidR="007C0736" w:rsidRPr="00883E40" w:rsidRDefault="007C0736" w:rsidP="00543469">
            <w:pPr>
              <w:ind w:firstLine="612"/>
              <w:jc w:val="both"/>
              <w:rPr>
                <w:lang w:val="ro-RO"/>
              </w:rPr>
            </w:pPr>
            <w:r>
              <w:rPr>
                <w:lang w:val="ro-RO"/>
              </w:rPr>
              <w:t>Ministerul Finanțelor a examinat proiectul h</w:t>
            </w:r>
            <w:r w:rsidRPr="00883E40">
              <w:rPr>
                <w:lang w:val="ro-RO"/>
              </w:rPr>
              <w:t xml:space="preserve">otărârii </w:t>
            </w:r>
            <w:r>
              <w:rPr>
                <w:lang w:val="ro-RO"/>
              </w:rPr>
              <w:t>Guvernului c</w:t>
            </w:r>
            <w:r w:rsidRPr="00883E40">
              <w:rPr>
                <w:lang w:val="ro-RO"/>
              </w:rPr>
              <w:t xml:space="preserve">u privire la </w:t>
            </w:r>
            <w:r>
              <w:rPr>
                <w:lang w:val="ro-RO"/>
              </w:rPr>
              <w:t>modificarea</w:t>
            </w:r>
            <w:r w:rsidRPr="00883E40">
              <w:rPr>
                <w:lang w:val="ro-RO"/>
              </w:rPr>
              <w:t xml:space="preserve"> </w:t>
            </w:r>
            <w:r>
              <w:rPr>
                <w:lang w:val="ro-RO"/>
              </w:rPr>
              <w:t>Hotărârii</w:t>
            </w:r>
            <w:r w:rsidRPr="00883E40">
              <w:rPr>
                <w:lang w:val="ro-RO"/>
              </w:rPr>
              <w:t xml:space="preserve"> Guvernului nr. 20 din 20</w:t>
            </w:r>
            <w:r>
              <w:rPr>
                <w:lang w:val="ro-RO"/>
              </w:rPr>
              <w:t xml:space="preserve"> ianuarie </w:t>
            </w:r>
            <w:r w:rsidRPr="00883E40">
              <w:rPr>
                <w:lang w:val="ro-RO"/>
              </w:rPr>
              <w:t>2009</w:t>
            </w:r>
            <w:r>
              <w:rPr>
                <w:lang w:val="ro-RO"/>
              </w:rPr>
              <w:t xml:space="preserve"> ,,Cu privire la eliberarea unor materiale din rezervele materiale de stat</w:t>
            </w:r>
            <w:r>
              <w:rPr>
                <w:lang w:val="en-US"/>
              </w:rPr>
              <w:t xml:space="preserve">”,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limita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competențelor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funcționale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comunică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lipsă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obiecții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propuneri</w:t>
            </w:r>
            <w:proofErr w:type="spellEnd"/>
            <w:r w:rsidRPr="00883E40">
              <w:rPr>
                <w:lang w:val="ro-RO"/>
              </w:rPr>
              <w:t>.</w:t>
            </w:r>
          </w:p>
        </w:tc>
        <w:tc>
          <w:tcPr>
            <w:tcW w:w="4217" w:type="dxa"/>
          </w:tcPr>
          <w:p w:rsidR="007C0736" w:rsidRPr="00883E40" w:rsidRDefault="007C0736" w:rsidP="00543469">
            <w:pPr>
              <w:rPr>
                <w:lang w:val="ro-RO"/>
              </w:rPr>
            </w:pPr>
            <w:r w:rsidRPr="00883E40">
              <w:rPr>
                <w:lang w:val="ro-RO"/>
              </w:rPr>
              <w:t xml:space="preserve">Se acceptă. </w:t>
            </w:r>
          </w:p>
        </w:tc>
      </w:tr>
      <w:tr w:rsidR="007C0736" w:rsidRPr="00C82423" w:rsidTr="00543469">
        <w:tc>
          <w:tcPr>
            <w:tcW w:w="14282" w:type="dxa"/>
            <w:gridSpan w:val="3"/>
          </w:tcPr>
          <w:p w:rsidR="007C0736" w:rsidRPr="00883E40" w:rsidRDefault="007C0736" w:rsidP="00543469">
            <w:pPr>
              <w:spacing w:before="120" w:after="120"/>
              <w:jc w:val="center"/>
              <w:rPr>
                <w:b/>
                <w:lang w:val="ro-RO"/>
              </w:rPr>
            </w:pPr>
            <w:r w:rsidRPr="00883E40">
              <w:rPr>
                <w:b/>
                <w:lang w:val="ro-RO"/>
              </w:rPr>
              <w:t>Agenția Rezerve Materiale a prezentat avizul prin scrisoarea nr</w:t>
            </w:r>
            <w:r w:rsidRPr="000E4F7D">
              <w:rPr>
                <w:b/>
                <w:lang w:val="ro-RO"/>
              </w:rPr>
              <w:t>. 0305-706 din 21.11.2016</w:t>
            </w:r>
          </w:p>
        </w:tc>
      </w:tr>
      <w:tr w:rsidR="007C0736" w:rsidRPr="00883E40" w:rsidTr="00543469">
        <w:tc>
          <w:tcPr>
            <w:tcW w:w="840" w:type="dxa"/>
          </w:tcPr>
          <w:p w:rsidR="007C0736" w:rsidRPr="00883E40" w:rsidRDefault="007C0736" w:rsidP="0054346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9225" w:type="dxa"/>
            <w:vAlign w:val="center"/>
          </w:tcPr>
          <w:p w:rsidR="007C0736" w:rsidRDefault="007C0736" w:rsidP="00543469">
            <w:pPr>
              <w:ind w:firstLine="612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Agenția Rezerve Materiale a examinat </w:t>
            </w:r>
            <w:r w:rsidRPr="00883E40">
              <w:rPr>
                <w:lang w:val="ro-RO"/>
              </w:rPr>
              <w:t>proiectul Hotărârii</w:t>
            </w:r>
            <w:r>
              <w:rPr>
                <w:lang w:val="ro-RO"/>
              </w:rPr>
              <w:t xml:space="preserve"> Guvernului</w:t>
            </w:r>
            <w:r w:rsidRPr="00883E40">
              <w:rPr>
                <w:lang w:val="ro-RO"/>
              </w:rPr>
              <w:t xml:space="preserve"> </w:t>
            </w:r>
            <w:r>
              <w:rPr>
                <w:lang w:val="ro-RO"/>
              </w:rPr>
              <w:t>c</w:t>
            </w:r>
            <w:r w:rsidRPr="00883E40">
              <w:rPr>
                <w:lang w:val="ro-RO"/>
              </w:rPr>
              <w:t xml:space="preserve">u privire la </w:t>
            </w:r>
            <w:r>
              <w:rPr>
                <w:lang w:val="ro-RO"/>
              </w:rPr>
              <w:t>modificarea</w:t>
            </w:r>
            <w:r w:rsidRPr="00883E40">
              <w:rPr>
                <w:lang w:val="ro-RO"/>
              </w:rPr>
              <w:t xml:space="preserve"> </w:t>
            </w:r>
            <w:r>
              <w:rPr>
                <w:lang w:val="ro-RO"/>
              </w:rPr>
              <w:t>Hotărârii</w:t>
            </w:r>
            <w:r w:rsidRPr="00883E40">
              <w:rPr>
                <w:lang w:val="ro-RO"/>
              </w:rPr>
              <w:t xml:space="preserve"> Guvernului nr. 20 din 20.01.2009</w:t>
            </w:r>
            <w:r>
              <w:rPr>
                <w:lang w:val="ro-RO"/>
              </w:rPr>
              <w:t xml:space="preserve"> și în limita competenței sale funcționale comunică, în principiu, lipsa de obiecții</w:t>
            </w:r>
            <w:r w:rsidRPr="00883E40">
              <w:rPr>
                <w:lang w:val="ro-RO"/>
              </w:rPr>
              <w:t>.</w:t>
            </w:r>
          </w:p>
          <w:p w:rsidR="007C0736" w:rsidRPr="00883E40" w:rsidRDefault="007C0736" w:rsidP="00543469">
            <w:pPr>
              <w:ind w:firstLine="612"/>
              <w:jc w:val="both"/>
              <w:rPr>
                <w:lang w:val="ro-RO"/>
              </w:rPr>
            </w:pPr>
            <w:r>
              <w:rPr>
                <w:lang w:val="ro-RO"/>
              </w:rPr>
              <w:t>Totodată, informăm, că modificarea hotărârii nominalizate în fiecare an, începând cu anul 2009, prin care se extinde termenul de restituire a păcurii împrumutate din rezervele de stat, diminuează stocurile de păcură din rezervele de stat cu 4771,364 tone, fapt ce ar putea avea un impact negativ asupra securității energetice a țării în caz de situații excepționale.</w:t>
            </w:r>
          </w:p>
        </w:tc>
        <w:tc>
          <w:tcPr>
            <w:tcW w:w="4217" w:type="dxa"/>
          </w:tcPr>
          <w:p w:rsidR="007C0736" w:rsidRPr="00883E40" w:rsidRDefault="007C0736" w:rsidP="00543469">
            <w:pPr>
              <w:rPr>
                <w:lang w:val="ro-RO"/>
              </w:rPr>
            </w:pPr>
            <w:r w:rsidRPr="00883E40">
              <w:rPr>
                <w:lang w:val="ro-RO"/>
              </w:rPr>
              <w:t>Se acceptă.</w:t>
            </w:r>
          </w:p>
        </w:tc>
      </w:tr>
      <w:tr w:rsidR="00F2072B" w:rsidRPr="00C82423" w:rsidTr="0075610B">
        <w:tc>
          <w:tcPr>
            <w:tcW w:w="14282" w:type="dxa"/>
            <w:gridSpan w:val="3"/>
          </w:tcPr>
          <w:p w:rsidR="00F2072B" w:rsidRPr="00883E40" w:rsidRDefault="00F2072B" w:rsidP="0075610B">
            <w:pPr>
              <w:spacing w:before="120" w:after="120"/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 xml:space="preserve">Centrul Național </w:t>
            </w:r>
            <w:r w:rsidRPr="00883E40">
              <w:rPr>
                <w:b/>
                <w:lang w:val="ro-RO"/>
              </w:rPr>
              <w:t xml:space="preserve">a prezentat avizul prin scrisoarea </w:t>
            </w:r>
            <w:r w:rsidR="00C82423">
              <w:rPr>
                <w:b/>
                <w:lang w:val="ro-RO"/>
              </w:rPr>
              <w:t>06/5574 din 14.12.20</w:t>
            </w:r>
            <w:bookmarkStart w:id="0" w:name="_GoBack"/>
            <w:bookmarkEnd w:id="0"/>
            <w:r w:rsidR="00C82423">
              <w:rPr>
                <w:b/>
                <w:lang w:val="ro-RO"/>
              </w:rPr>
              <w:t>16</w:t>
            </w:r>
          </w:p>
        </w:tc>
      </w:tr>
      <w:tr w:rsidR="00F2072B" w:rsidRPr="009D444C" w:rsidTr="0075610B">
        <w:trPr>
          <w:trHeight w:val="912"/>
        </w:trPr>
        <w:tc>
          <w:tcPr>
            <w:tcW w:w="840" w:type="dxa"/>
          </w:tcPr>
          <w:p w:rsidR="00F2072B" w:rsidRPr="00883E40" w:rsidRDefault="00F2072B" w:rsidP="0075610B">
            <w:pPr>
              <w:jc w:val="center"/>
              <w:rPr>
                <w:lang w:val="ro-RO"/>
              </w:rPr>
            </w:pPr>
            <w:r w:rsidRPr="00883E40">
              <w:rPr>
                <w:lang w:val="ro-RO"/>
              </w:rPr>
              <w:t>1.</w:t>
            </w:r>
          </w:p>
          <w:p w:rsidR="00F2072B" w:rsidRPr="00883E40" w:rsidRDefault="00F2072B" w:rsidP="0075610B">
            <w:pPr>
              <w:jc w:val="center"/>
              <w:rPr>
                <w:lang w:val="ro-RO"/>
              </w:rPr>
            </w:pPr>
          </w:p>
        </w:tc>
        <w:tc>
          <w:tcPr>
            <w:tcW w:w="9225" w:type="dxa"/>
            <w:vAlign w:val="center"/>
          </w:tcPr>
          <w:p w:rsidR="00F2072B" w:rsidRPr="001E40EE" w:rsidRDefault="00F2072B" w:rsidP="0075610B">
            <w:pPr>
              <w:ind w:firstLine="612"/>
              <w:jc w:val="center"/>
              <w:rPr>
                <w:b/>
                <w:lang w:val="ro-RO"/>
              </w:rPr>
            </w:pPr>
            <w:r w:rsidRPr="001E40EE">
              <w:rPr>
                <w:b/>
                <w:lang w:val="ro-RO"/>
              </w:rPr>
              <w:t>I. EVALUAREA GENERALĂ A PROIECTULUI</w:t>
            </w:r>
          </w:p>
          <w:p w:rsidR="00F2072B" w:rsidRPr="001E40EE" w:rsidRDefault="00F2072B" w:rsidP="0075610B">
            <w:pPr>
              <w:ind w:firstLine="612"/>
              <w:jc w:val="center"/>
              <w:rPr>
                <w:b/>
                <w:lang w:val="ro-RO"/>
              </w:rPr>
            </w:pPr>
            <w:r w:rsidRPr="001E40EE">
              <w:rPr>
                <w:b/>
                <w:lang w:val="ro-RO"/>
              </w:rPr>
              <w:t>1. Evaluarea fundamentării proiectului</w:t>
            </w:r>
          </w:p>
          <w:p w:rsidR="00F2072B" w:rsidRPr="001E40EE" w:rsidRDefault="00F2072B" w:rsidP="0075610B">
            <w:pPr>
              <w:ind w:firstLine="612"/>
              <w:jc w:val="center"/>
              <w:rPr>
                <w:b/>
                <w:lang w:val="ro-RO"/>
              </w:rPr>
            </w:pPr>
            <w:r w:rsidRPr="001E40EE">
              <w:rPr>
                <w:b/>
                <w:lang w:val="ro-RO"/>
              </w:rPr>
              <w:t>1.1 Fundamentarea generală a proiectului</w:t>
            </w:r>
          </w:p>
          <w:p w:rsidR="00F2072B" w:rsidRPr="001E40EE" w:rsidRDefault="00F2072B" w:rsidP="0075610B">
            <w:pPr>
              <w:ind w:firstLine="612"/>
              <w:jc w:val="both"/>
              <w:rPr>
                <w:lang w:val="ro-RO"/>
              </w:rPr>
            </w:pPr>
            <w:r w:rsidRPr="001E40EE">
              <w:rPr>
                <w:b/>
                <w:lang w:val="ro-RO"/>
              </w:rPr>
              <w:t>a. Autor al proiectului de act normativ</w:t>
            </w:r>
            <w:r w:rsidRPr="001E40EE">
              <w:rPr>
                <w:lang w:val="ro-RO"/>
              </w:rPr>
              <w:t xml:space="preserve"> este Ministerul Economiei.</w:t>
            </w:r>
          </w:p>
          <w:p w:rsidR="00F2072B" w:rsidRPr="001E40EE" w:rsidRDefault="00F2072B" w:rsidP="0075610B">
            <w:pPr>
              <w:ind w:firstLine="612"/>
              <w:jc w:val="both"/>
              <w:rPr>
                <w:lang w:val="ro-RO"/>
              </w:rPr>
            </w:pPr>
            <w:r w:rsidRPr="001E40EE">
              <w:rPr>
                <w:b/>
                <w:lang w:val="ro-RO"/>
              </w:rPr>
              <w:t>b. Categoria actului normativ</w:t>
            </w:r>
            <w:r w:rsidRPr="001E40EE">
              <w:rPr>
                <w:lang w:val="ro-RO"/>
              </w:rPr>
              <w:t xml:space="preserve"> propus este </w:t>
            </w:r>
            <w:proofErr w:type="spellStart"/>
            <w:r w:rsidRPr="001E40EE">
              <w:rPr>
                <w:lang w:val="ro-RO"/>
              </w:rPr>
              <w:t>hotărîre</w:t>
            </w:r>
            <w:proofErr w:type="spellEnd"/>
            <w:r w:rsidRPr="001E40EE">
              <w:rPr>
                <w:lang w:val="ro-RO"/>
              </w:rPr>
              <w:t xml:space="preserve"> a Guvernului, ceea ce corespunde art.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102 din Constituţie, art. 10 din Legea privind actele normat</w:t>
            </w:r>
            <w:r>
              <w:rPr>
                <w:lang w:val="ro-RO"/>
              </w:rPr>
              <w:t xml:space="preserve">ive ale Guvernului şi ale altor </w:t>
            </w:r>
            <w:r w:rsidRPr="001E40EE">
              <w:rPr>
                <w:lang w:val="ro-RO"/>
              </w:rPr>
              <w:t>autorităţi ale administraţiei publice centrale şi locale nr. 317-XV din 18.07.2003.</w:t>
            </w:r>
          </w:p>
          <w:p w:rsidR="00F2072B" w:rsidRPr="001E40EE" w:rsidRDefault="00F2072B" w:rsidP="0075610B">
            <w:pPr>
              <w:ind w:firstLine="612"/>
              <w:jc w:val="both"/>
              <w:rPr>
                <w:lang w:val="ro-RO"/>
              </w:rPr>
            </w:pPr>
            <w:r w:rsidRPr="001E40EE">
              <w:rPr>
                <w:b/>
                <w:lang w:val="ro-RO"/>
              </w:rPr>
              <w:t>c. Scopul promovării proiectului.</w:t>
            </w:r>
            <w:r w:rsidRPr="001E40EE">
              <w:rPr>
                <w:lang w:val="ro-RO"/>
              </w:rPr>
              <w:t xml:space="preserve"> Potrivit notei informative, proiectul a fost elaborat „în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vederea restructurării graficului de restituire a păcurii de că</w:t>
            </w:r>
            <w:r>
              <w:rPr>
                <w:lang w:val="ro-RO"/>
              </w:rPr>
              <w:t xml:space="preserve">tre întreprinderile complexului </w:t>
            </w:r>
            <w:r w:rsidRPr="001E40EE">
              <w:rPr>
                <w:lang w:val="ro-RO"/>
              </w:rPr>
              <w:t xml:space="preserve">termoenergetic către Agenţia Rezerve Materiale, în </w:t>
            </w:r>
            <w:r>
              <w:rPr>
                <w:lang w:val="ro-RO"/>
              </w:rPr>
              <w:t xml:space="preserve">sensul extinderii termenelor de </w:t>
            </w:r>
            <w:r w:rsidRPr="001E40EE">
              <w:rPr>
                <w:lang w:val="ro-RO"/>
              </w:rPr>
              <w:t>rambursare a păcurii împrumutate.”</w:t>
            </w:r>
          </w:p>
          <w:p w:rsidR="00F2072B" w:rsidRPr="001E40EE" w:rsidRDefault="00F2072B" w:rsidP="0075610B">
            <w:pPr>
              <w:jc w:val="both"/>
              <w:rPr>
                <w:lang w:val="ro-RO"/>
              </w:rPr>
            </w:pPr>
            <w:r w:rsidRPr="001E40EE">
              <w:rPr>
                <w:lang w:val="ro-RO"/>
              </w:rPr>
              <w:t xml:space="preserve">Semnalăm că în perioada ultimilor ani (2010-2015), în repetate </w:t>
            </w:r>
            <w:proofErr w:type="spellStart"/>
            <w:r w:rsidRPr="001E40EE">
              <w:rPr>
                <w:lang w:val="ro-RO"/>
              </w:rPr>
              <w:t>rînduri</w:t>
            </w:r>
            <w:proofErr w:type="spellEnd"/>
            <w:r w:rsidRPr="001E40EE">
              <w:rPr>
                <w:lang w:val="ro-RO"/>
              </w:rPr>
              <w:t xml:space="preserve"> au fost aprobate de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 xml:space="preserve">către Guvern modificări la pct.3 alin.2 din </w:t>
            </w:r>
            <w:proofErr w:type="spellStart"/>
            <w:r w:rsidRPr="001E40EE">
              <w:rPr>
                <w:lang w:val="ro-RO"/>
              </w:rPr>
              <w:t>Hotărîrea</w:t>
            </w:r>
            <w:proofErr w:type="spellEnd"/>
            <w:r w:rsidRPr="001E40EE">
              <w:rPr>
                <w:lang w:val="ro-RO"/>
              </w:rPr>
              <w:t xml:space="preserve"> Guvernului nr.20 din 20.01.2009 cu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privire la eliberarea unor bunuri materiale din rezervele materiale de stat, instituindu-se o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practică de evitare a restituirii păcurii împrumutate din rezervele de stat (4771,364 tone) prin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extinderea termenilor stabiliţi. Astfel, considerăm că prevederile proiectului consolidează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lastRenderedPageBreak/>
              <w:t>fenomenul extinderii frecvente şi abuzive a termenelor de rambursare a păcurii împrumutate,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fapt ce ar putea avea un impact negativ asupra securităţii energetice a ţării în caz de situaţii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excepţionale.</w:t>
            </w:r>
          </w:p>
          <w:p w:rsidR="0053612F" w:rsidRDefault="0053612F" w:rsidP="0075610B">
            <w:pPr>
              <w:ind w:firstLine="612"/>
              <w:jc w:val="both"/>
              <w:rPr>
                <w:b/>
                <w:lang w:val="ro-RO"/>
              </w:rPr>
            </w:pPr>
          </w:p>
          <w:p w:rsidR="0053612F" w:rsidRDefault="0053612F" w:rsidP="0075610B">
            <w:pPr>
              <w:ind w:firstLine="612"/>
              <w:jc w:val="both"/>
              <w:rPr>
                <w:b/>
                <w:lang w:val="ro-RO"/>
              </w:rPr>
            </w:pPr>
          </w:p>
          <w:p w:rsidR="0053612F" w:rsidRDefault="0053612F" w:rsidP="0075610B">
            <w:pPr>
              <w:ind w:firstLine="612"/>
              <w:jc w:val="both"/>
              <w:rPr>
                <w:b/>
                <w:lang w:val="ro-RO"/>
              </w:rPr>
            </w:pPr>
          </w:p>
          <w:p w:rsidR="0053612F" w:rsidRDefault="0053612F" w:rsidP="0075610B">
            <w:pPr>
              <w:ind w:firstLine="612"/>
              <w:jc w:val="both"/>
              <w:rPr>
                <w:b/>
                <w:lang w:val="ro-RO"/>
              </w:rPr>
            </w:pPr>
          </w:p>
          <w:p w:rsidR="00F2072B" w:rsidRPr="001E40EE" w:rsidRDefault="00F2072B" w:rsidP="0075610B">
            <w:pPr>
              <w:ind w:firstLine="612"/>
              <w:jc w:val="both"/>
              <w:rPr>
                <w:lang w:val="ro-RO"/>
              </w:rPr>
            </w:pPr>
            <w:r w:rsidRPr="001E40EE">
              <w:rPr>
                <w:b/>
                <w:lang w:val="ro-RO"/>
              </w:rPr>
              <w:t>d. Suficienţa argumentării.</w:t>
            </w:r>
            <w:r w:rsidRPr="001E40EE">
              <w:rPr>
                <w:lang w:val="ro-RO"/>
              </w:rPr>
              <w:t xml:space="preserve"> Autorul a relatat în nota informativă condiţiile ce au impus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elaborarea proiectului şi finalităţile urmărite prin implementarea noilor reglementări. În acest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context se menţionează că necesitatea elaborării proiectului rezidă din situaţia economico</w:t>
            </w:r>
            <w:r w:rsidR="007C0736">
              <w:rPr>
                <w:lang w:val="ro-RO"/>
              </w:rPr>
              <w:t>-</w:t>
            </w:r>
            <w:r w:rsidRPr="001E40EE">
              <w:rPr>
                <w:lang w:val="ro-RO"/>
              </w:rPr>
              <w:t>financiară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dificilă cauzată de nivelul insuficient de achitare a energiei termice către furnizori,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de tarifele care nu acoperă cheltuielile justificate ale întreprinderilor energetice şi de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necesitatea asigurării efectuării plăţilor către S.A. „</w:t>
            </w:r>
            <w:proofErr w:type="spellStart"/>
            <w:r w:rsidRPr="001E40EE">
              <w:rPr>
                <w:lang w:val="ro-RO"/>
              </w:rPr>
              <w:t>Moldovagaz</w:t>
            </w:r>
            <w:proofErr w:type="spellEnd"/>
            <w:r w:rsidRPr="001E40EE">
              <w:rPr>
                <w:lang w:val="ro-RO"/>
              </w:rPr>
              <w:t>” pentru gazele naturale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consumate, S.A. „Termoelectrica” şi S.A. „</w:t>
            </w:r>
            <w:proofErr w:type="spellStart"/>
            <w:r w:rsidRPr="001E40EE">
              <w:rPr>
                <w:lang w:val="ro-RO"/>
              </w:rPr>
              <w:t>CET-Nord</w:t>
            </w:r>
            <w:proofErr w:type="spellEnd"/>
            <w:r w:rsidRPr="001E40EE">
              <w:rPr>
                <w:lang w:val="ro-RO"/>
              </w:rPr>
              <w:t>” care nu au avut posibilitatea de a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procura cantitatea necesară de păcură pentru asigurarea rezervelor corespunzătoare de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combustibil de rezervă. La fel, nota informativă conţine şi o estimare a plăţilor de penalizare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care vor trebui să fie suportate de către S.A. „Termoelectrica” şi S.A. „</w:t>
            </w:r>
            <w:proofErr w:type="spellStart"/>
            <w:r w:rsidRPr="001E40EE">
              <w:rPr>
                <w:lang w:val="ro-RO"/>
              </w:rPr>
              <w:t>CET-Nord</w:t>
            </w:r>
            <w:proofErr w:type="spellEnd"/>
            <w:r w:rsidRPr="001E40EE">
              <w:rPr>
                <w:lang w:val="ro-RO"/>
              </w:rPr>
              <w:t>”, în cazul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livrării cu întârziere a păcurii.</w:t>
            </w:r>
          </w:p>
          <w:p w:rsidR="00F2072B" w:rsidRPr="001E40EE" w:rsidRDefault="00F2072B" w:rsidP="0075610B">
            <w:pPr>
              <w:jc w:val="both"/>
              <w:rPr>
                <w:lang w:val="ro-RO"/>
              </w:rPr>
            </w:pPr>
            <w:r w:rsidRPr="001E40EE">
              <w:rPr>
                <w:lang w:val="ro-RO"/>
              </w:rPr>
              <w:t>Aşadar, stabilim că prevederile proiectului generează riscul de a continua, în mod repetat,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modificarea termenelor limită stabiliţi pentru restituirea păcurii Agenţiei Rezerve Materiale în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 xml:space="preserve">rezervele materiale de stat, astfel </w:t>
            </w:r>
            <w:proofErr w:type="spellStart"/>
            <w:r w:rsidRPr="001E40EE">
              <w:rPr>
                <w:lang w:val="ro-RO"/>
              </w:rPr>
              <w:t>încît</w:t>
            </w:r>
            <w:proofErr w:type="spellEnd"/>
            <w:r w:rsidRPr="001E40EE">
              <w:rPr>
                <w:lang w:val="ro-RO"/>
              </w:rPr>
              <w:t xml:space="preserve"> S.A. „Termoelectrica” şi S.A. „</w:t>
            </w:r>
            <w:proofErr w:type="spellStart"/>
            <w:r w:rsidRPr="001E40EE">
              <w:rPr>
                <w:lang w:val="ro-RO"/>
              </w:rPr>
              <w:t>CET-Nord</w:t>
            </w:r>
            <w:proofErr w:type="spellEnd"/>
            <w:r w:rsidRPr="001E40EE">
              <w:rPr>
                <w:lang w:val="ro-RO"/>
              </w:rPr>
              <w:t>” să nu-şi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execute la timp obligaţiile contractuale.</w:t>
            </w:r>
          </w:p>
          <w:p w:rsidR="00F2072B" w:rsidRPr="001E40EE" w:rsidRDefault="00F2072B" w:rsidP="0075610B">
            <w:pPr>
              <w:ind w:firstLine="612"/>
              <w:jc w:val="center"/>
              <w:rPr>
                <w:b/>
                <w:lang w:val="ro-RO"/>
              </w:rPr>
            </w:pPr>
            <w:r w:rsidRPr="001E40EE">
              <w:rPr>
                <w:b/>
                <w:lang w:val="ro-RO"/>
              </w:rPr>
              <w:t>1.2 Fundamentarea economico-financiară a proiectului</w:t>
            </w:r>
          </w:p>
          <w:p w:rsidR="00F2072B" w:rsidRPr="001E40EE" w:rsidRDefault="00F2072B" w:rsidP="0075610B">
            <w:pPr>
              <w:jc w:val="both"/>
              <w:rPr>
                <w:lang w:val="ro-RO"/>
              </w:rPr>
            </w:pPr>
            <w:r w:rsidRPr="001E40EE">
              <w:rPr>
                <w:lang w:val="ro-RO"/>
              </w:rPr>
              <w:t>Implementarea proiectului nu presupune cheltuieli financiare suplimentare.</w:t>
            </w:r>
          </w:p>
          <w:p w:rsidR="00F2072B" w:rsidRPr="001E40EE" w:rsidRDefault="00F2072B" w:rsidP="0075610B">
            <w:pPr>
              <w:ind w:firstLine="612"/>
              <w:jc w:val="center"/>
              <w:rPr>
                <w:b/>
                <w:lang w:val="ro-RO"/>
              </w:rPr>
            </w:pPr>
            <w:r w:rsidRPr="001E40EE">
              <w:rPr>
                <w:b/>
                <w:lang w:val="ro-RO"/>
              </w:rPr>
              <w:t>1.3 Promovarea sau prejudicierea intereselor de grup ori indiv</w:t>
            </w:r>
            <w:r>
              <w:rPr>
                <w:b/>
                <w:lang w:val="ro-RO"/>
              </w:rPr>
              <w:t xml:space="preserve">iduale, în lipsa unei </w:t>
            </w:r>
            <w:r w:rsidRPr="001E40EE">
              <w:rPr>
                <w:b/>
                <w:lang w:val="ro-RO"/>
              </w:rPr>
              <w:t>justificări a interesului public</w:t>
            </w:r>
          </w:p>
          <w:p w:rsidR="00F2072B" w:rsidRPr="001E40EE" w:rsidRDefault="00F2072B" w:rsidP="0075610B">
            <w:pPr>
              <w:jc w:val="both"/>
              <w:rPr>
                <w:lang w:val="ro-RO"/>
              </w:rPr>
            </w:pPr>
            <w:r w:rsidRPr="001E40EE">
              <w:rPr>
                <w:lang w:val="ro-RO"/>
              </w:rPr>
              <w:t>Prevederile proiectului promovează interesele Minis</w:t>
            </w:r>
            <w:r>
              <w:rPr>
                <w:lang w:val="ro-RO"/>
              </w:rPr>
              <w:t xml:space="preserve">terului Economiei şi anume S.A. </w:t>
            </w:r>
            <w:r w:rsidRPr="001E40EE">
              <w:rPr>
                <w:lang w:val="ro-RO"/>
              </w:rPr>
              <w:t>„Termoelectrica” şi S.A. „</w:t>
            </w:r>
            <w:proofErr w:type="spellStart"/>
            <w:r w:rsidRPr="001E40EE">
              <w:rPr>
                <w:lang w:val="ro-RO"/>
              </w:rPr>
              <w:t>CET-Nord</w:t>
            </w:r>
            <w:proofErr w:type="spellEnd"/>
            <w:r w:rsidRPr="001E40EE">
              <w:rPr>
                <w:lang w:val="ro-RO"/>
              </w:rPr>
              <w:t>” prin evitarea aplicării penalităţilor financiare, dacă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întreprinderile citate nu vor restitui cantităţile prevăzute de pă</w:t>
            </w:r>
            <w:r>
              <w:rPr>
                <w:lang w:val="ro-RO"/>
              </w:rPr>
              <w:t xml:space="preserve">cură </w:t>
            </w:r>
            <w:proofErr w:type="spellStart"/>
            <w:r>
              <w:rPr>
                <w:lang w:val="ro-RO"/>
              </w:rPr>
              <w:t>pînă</w:t>
            </w:r>
            <w:proofErr w:type="spellEnd"/>
            <w:r>
              <w:rPr>
                <w:lang w:val="ro-RO"/>
              </w:rPr>
              <w:t xml:space="preserve"> la data de 31.12.2016 </w:t>
            </w:r>
            <w:r w:rsidRPr="001E40EE">
              <w:rPr>
                <w:lang w:val="ro-RO"/>
              </w:rPr>
              <w:t xml:space="preserve">sau în cazul în care cantitatea de păcură va fi livrată cu </w:t>
            </w:r>
            <w:proofErr w:type="spellStart"/>
            <w:r w:rsidRPr="001E40EE">
              <w:rPr>
                <w:lang w:val="ro-RO"/>
              </w:rPr>
              <w:t>întîrziere</w:t>
            </w:r>
            <w:proofErr w:type="spellEnd"/>
            <w:r w:rsidRPr="001E40EE">
              <w:rPr>
                <w:lang w:val="ro-RO"/>
              </w:rPr>
              <w:t>.</w:t>
            </w:r>
          </w:p>
          <w:p w:rsidR="00F2072B" w:rsidRPr="001E40EE" w:rsidRDefault="00F2072B" w:rsidP="0075610B">
            <w:pPr>
              <w:jc w:val="both"/>
              <w:rPr>
                <w:lang w:val="ro-RO"/>
              </w:rPr>
            </w:pPr>
            <w:r w:rsidRPr="001E40EE">
              <w:rPr>
                <w:lang w:val="ro-RO"/>
              </w:rPr>
              <w:t>Aceste interese ar putea fi în detrimentul interesului public şi ar putea avea un impact negativ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asupra securităţii energetice a ţării în caz de situaţii excepţionale prin tergiversarea repetată,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an de an, a restituirii păcurii în termenii stabiliţi, care, în final, duce la micşorarea stocurilor de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păcură din rezervele de stat.</w:t>
            </w:r>
          </w:p>
          <w:p w:rsidR="0053612F" w:rsidRDefault="0053612F" w:rsidP="0075610B">
            <w:pPr>
              <w:ind w:firstLine="612"/>
              <w:jc w:val="center"/>
              <w:rPr>
                <w:b/>
                <w:lang w:val="ro-RO"/>
              </w:rPr>
            </w:pPr>
          </w:p>
          <w:p w:rsidR="0053612F" w:rsidRDefault="0053612F" w:rsidP="0075610B">
            <w:pPr>
              <w:ind w:firstLine="612"/>
              <w:jc w:val="center"/>
              <w:rPr>
                <w:b/>
                <w:lang w:val="ro-RO"/>
              </w:rPr>
            </w:pPr>
          </w:p>
          <w:p w:rsidR="0053612F" w:rsidRDefault="0053612F" w:rsidP="0075610B">
            <w:pPr>
              <w:ind w:firstLine="612"/>
              <w:jc w:val="center"/>
              <w:rPr>
                <w:b/>
                <w:lang w:val="ro-RO"/>
              </w:rPr>
            </w:pPr>
          </w:p>
          <w:p w:rsidR="0053612F" w:rsidRDefault="0053612F" w:rsidP="0075610B">
            <w:pPr>
              <w:ind w:firstLine="612"/>
              <w:jc w:val="center"/>
              <w:rPr>
                <w:b/>
                <w:lang w:val="ro-RO"/>
              </w:rPr>
            </w:pPr>
          </w:p>
          <w:p w:rsidR="0053612F" w:rsidRDefault="0053612F" w:rsidP="0075610B">
            <w:pPr>
              <w:ind w:firstLine="612"/>
              <w:jc w:val="center"/>
              <w:rPr>
                <w:b/>
                <w:lang w:val="ro-RO"/>
              </w:rPr>
            </w:pPr>
          </w:p>
          <w:p w:rsidR="0053612F" w:rsidRDefault="0053612F" w:rsidP="0075610B">
            <w:pPr>
              <w:ind w:firstLine="612"/>
              <w:jc w:val="center"/>
              <w:rPr>
                <w:b/>
                <w:lang w:val="ro-RO"/>
              </w:rPr>
            </w:pPr>
          </w:p>
          <w:p w:rsidR="0053612F" w:rsidRDefault="0053612F" w:rsidP="0075610B">
            <w:pPr>
              <w:ind w:firstLine="612"/>
              <w:jc w:val="center"/>
              <w:rPr>
                <w:b/>
                <w:lang w:val="ro-RO"/>
              </w:rPr>
            </w:pPr>
          </w:p>
          <w:p w:rsidR="00F2072B" w:rsidRPr="001E40EE" w:rsidRDefault="00F2072B" w:rsidP="0075610B">
            <w:pPr>
              <w:ind w:firstLine="612"/>
              <w:jc w:val="center"/>
              <w:rPr>
                <w:b/>
                <w:lang w:val="ro-RO"/>
              </w:rPr>
            </w:pPr>
            <w:r w:rsidRPr="001E40EE">
              <w:rPr>
                <w:b/>
                <w:lang w:val="ro-RO"/>
              </w:rPr>
              <w:t>2. Evaluarea compatibilităţii proiectului cu standarde anticorupţie</w:t>
            </w:r>
          </w:p>
          <w:p w:rsidR="00F2072B" w:rsidRPr="001E40EE" w:rsidRDefault="00F2072B" w:rsidP="0075610B">
            <w:pPr>
              <w:jc w:val="both"/>
              <w:rPr>
                <w:lang w:val="ro-RO"/>
              </w:rPr>
            </w:pPr>
            <w:r w:rsidRPr="001E40EE">
              <w:rPr>
                <w:lang w:val="ro-RO"/>
              </w:rPr>
              <w:t>În proiect nu au fost atestate incompatibilităţi cu standard</w:t>
            </w:r>
            <w:r>
              <w:rPr>
                <w:lang w:val="ro-RO"/>
              </w:rPr>
              <w:t xml:space="preserve">ele naţionale şi internaţionale </w:t>
            </w:r>
            <w:r w:rsidRPr="001E40EE">
              <w:rPr>
                <w:lang w:val="ro-RO"/>
              </w:rPr>
              <w:t xml:space="preserve">anticorupţie şi nu au fost identificate domenii în care proiectul nu satisface cerinţele sau </w:t>
            </w:r>
            <w:r>
              <w:rPr>
                <w:lang w:val="ro-RO"/>
              </w:rPr>
              <w:t xml:space="preserve">sunt </w:t>
            </w:r>
            <w:r w:rsidRPr="001E40EE">
              <w:rPr>
                <w:lang w:val="ro-RO"/>
              </w:rPr>
              <w:t>în contradicţie cu aceste standarde.</w:t>
            </w:r>
          </w:p>
          <w:p w:rsidR="00F2072B" w:rsidRPr="001E40EE" w:rsidRDefault="00F2072B" w:rsidP="0075610B">
            <w:pPr>
              <w:jc w:val="both"/>
              <w:rPr>
                <w:lang w:val="ro-RO"/>
              </w:rPr>
            </w:pPr>
            <w:r w:rsidRPr="001E40EE">
              <w:rPr>
                <w:b/>
                <w:lang w:val="ro-RO"/>
              </w:rPr>
              <w:t>Asigurarea transparenţei în procesul decizional.</w:t>
            </w:r>
            <w:r w:rsidRPr="001E40EE">
              <w:rPr>
                <w:lang w:val="ro-RO"/>
              </w:rPr>
              <w:t xml:space="preserve"> Proiectul întruneşte cerinţele impuse de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prevederile art.8-11 ale Legii privind transparenţa în procesul decizional nr. 239-XVI din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13.11.2008, potrivit cărora autorităţile publice sunt obligate de a întrepri</w:t>
            </w:r>
            <w:r>
              <w:rPr>
                <w:lang w:val="ro-RO"/>
              </w:rPr>
              <w:t xml:space="preserve">nde măsurile </w:t>
            </w:r>
            <w:r w:rsidRPr="001E40EE">
              <w:rPr>
                <w:lang w:val="ro-RO"/>
              </w:rPr>
              <w:t>necesare pentru asigurarea posibilităţilor de participare a cetăţenilor, a asociaţiilor constituite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 xml:space="preserve">în corespundere cu legea, a altor părţi interesate la procesul decizional, </w:t>
            </w:r>
            <w:proofErr w:type="spellStart"/>
            <w:r w:rsidRPr="001E40EE">
              <w:rPr>
                <w:lang w:val="ro-RO"/>
              </w:rPr>
              <w:t>plasînd</w:t>
            </w:r>
            <w:proofErr w:type="spellEnd"/>
            <w:r w:rsidRPr="001E40EE">
              <w:rPr>
                <w:lang w:val="ro-RO"/>
              </w:rPr>
              <w:t xml:space="preserve"> proiectul de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act normativ pe pagina web oficială a instituţiei.</w:t>
            </w:r>
          </w:p>
          <w:p w:rsidR="00F2072B" w:rsidRPr="001E40EE" w:rsidRDefault="00F2072B" w:rsidP="0075610B">
            <w:pPr>
              <w:jc w:val="both"/>
              <w:rPr>
                <w:lang w:val="ro-RO"/>
              </w:rPr>
            </w:pPr>
            <w:r w:rsidRPr="001E40EE">
              <w:rPr>
                <w:lang w:val="ro-RO"/>
              </w:rPr>
              <w:t>La momentul examinării, proiectul şi nota informativă sunt plasate pe pagina web oficială a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 xml:space="preserve">Ministerului Economiei: </w:t>
            </w:r>
            <w:proofErr w:type="spellStart"/>
            <w:r w:rsidRPr="001E40EE">
              <w:rPr>
                <w:lang w:val="ro-RO"/>
              </w:rPr>
              <w:t>www.mec.gov.md</w:t>
            </w:r>
            <w:proofErr w:type="spellEnd"/>
            <w:r w:rsidRPr="001E40EE">
              <w:rPr>
                <w:lang w:val="ro-RO"/>
              </w:rPr>
              <w:t>.</w:t>
            </w:r>
          </w:p>
          <w:p w:rsidR="00F2072B" w:rsidRPr="002F0842" w:rsidRDefault="00F2072B" w:rsidP="0075610B">
            <w:pPr>
              <w:ind w:firstLine="612"/>
              <w:jc w:val="center"/>
              <w:rPr>
                <w:b/>
                <w:lang w:val="ro-RO"/>
              </w:rPr>
            </w:pPr>
            <w:r w:rsidRPr="002F0842">
              <w:rPr>
                <w:b/>
                <w:lang w:val="ro-RO"/>
              </w:rPr>
              <w:t>II. EVALUAREA ÎN FOND A PROIECTULUI</w:t>
            </w:r>
          </w:p>
          <w:p w:rsidR="00F2072B" w:rsidRPr="002F0842" w:rsidRDefault="00F2072B" w:rsidP="0075610B">
            <w:pPr>
              <w:ind w:firstLine="612"/>
              <w:jc w:val="center"/>
              <w:rPr>
                <w:b/>
                <w:lang w:val="ro-RO"/>
              </w:rPr>
            </w:pPr>
            <w:r w:rsidRPr="002F0842">
              <w:rPr>
                <w:b/>
                <w:lang w:val="ro-RO"/>
              </w:rPr>
              <w:t>1. Formulări lingvistice ambigui</w:t>
            </w:r>
          </w:p>
          <w:p w:rsidR="00F2072B" w:rsidRPr="001E40EE" w:rsidRDefault="00F2072B" w:rsidP="0075610B">
            <w:pPr>
              <w:jc w:val="both"/>
              <w:rPr>
                <w:lang w:val="ro-RO"/>
              </w:rPr>
            </w:pPr>
            <w:r w:rsidRPr="001E40EE">
              <w:rPr>
                <w:lang w:val="ro-RO"/>
              </w:rPr>
              <w:t>Textul proiectului corespunde tehnicii legislative şi normative, regulilor limbajului şi expresiei</w:t>
            </w:r>
            <w:r>
              <w:rPr>
                <w:lang w:val="ro-RO"/>
              </w:rPr>
              <w:t xml:space="preserve"> </w:t>
            </w:r>
            <w:r w:rsidRPr="001E40EE">
              <w:rPr>
                <w:lang w:val="ro-RO"/>
              </w:rPr>
              <w:t>juridice.</w:t>
            </w:r>
          </w:p>
          <w:p w:rsidR="00F2072B" w:rsidRPr="002F0842" w:rsidRDefault="00F2072B" w:rsidP="0075610B">
            <w:pPr>
              <w:ind w:firstLine="612"/>
              <w:jc w:val="center"/>
              <w:rPr>
                <w:b/>
                <w:lang w:val="ro-RO"/>
              </w:rPr>
            </w:pPr>
            <w:r w:rsidRPr="002F0842">
              <w:rPr>
                <w:b/>
                <w:lang w:val="ro-RO"/>
              </w:rPr>
              <w:t>2. Conflicte ale normelor de drept</w:t>
            </w:r>
          </w:p>
          <w:p w:rsidR="00F2072B" w:rsidRPr="002F0842" w:rsidRDefault="00F2072B" w:rsidP="0075610B">
            <w:pPr>
              <w:jc w:val="both"/>
              <w:rPr>
                <w:lang w:val="ro-RO"/>
              </w:rPr>
            </w:pPr>
            <w:r w:rsidRPr="002F0842">
              <w:rPr>
                <w:lang w:val="ro-RO"/>
              </w:rPr>
              <w:t xml:space="preserve">Nu </w:t>
            </w:r>
            <w:proofErr w:type="spellStart"/>
            <w:r w:rsidRPr="002F0842">
              <w:rPr>
                <w:lang w:val="ro-RO"/>
              </w:rPr>
              <w:t>sînt</w:t>
            </w:r>
            <w:proofErr w:type="spellEnd"/>
            <w:r w:rsidRPr="002F0842">
              <w:rPr>
                <w:lang w:val="ro-RO"/>
              </w:rPr>
              <w:t xml:space="preserve"> identificate conflicte ale normelor de drept, capabile să genereze coruptibilitate.</w:t>
            </w:r>
          </w:p>
          <w:p w:rsidR="00F2072B" w:rsidRPr="002F0842" w:rsidRDefault="00F2072B" w:rsidP="0075610B">
            <w:pPr>
              <w:ind w:firstLine="612"/>
              <w:jc w:val="center"/>
              <w:rPr>
                <w:b/>
                <w:lang w:val="ro-RO"/>
              </w:rPr>
            </w:pPr>
            <w:r w:rsidRPr="002F0842">
              <w:rPr>
                <w:b/>
                <w:lang w:val="ro-RO"/>
              </w:rPr>
              <w:t>3. Norme de trimitere, de blanchetă şi norme în alb</w:t>
            </w:r>
          </w:p>
          <w:p w:rsidR="00F2072B" w:rsidRPr="002F0842" w:rsidRDefault="00F2072B" w:rsidP="0075610B">
            <w:pPr>
              <w:jc w:val="both"/>
              <w:rPr>
                <w:lang w:val="ro-RO"/>
              </w:rPr>
            </w:pPr>
            <w:r w:rsidRPr="002F0842">
              <w:rPr>
                <w:lang w:val="ro-RO"/>
              </w:rPr>
              <w:t xml:space="preserve">Nu </w:t>
            </w:r>
            <w:proofErr w:type="spellStart"/>
            <w:r w:rsidRPr="002F0842">
              <w:rPr>
                <w:lang w:val="ro-RO"/>
              </w:rPr>
              <w:t>sînt</w:t>
            </w:r>
            <w:proofErr w:type="spellEnd"/>
            <w:r w:rsidRPr="002F0842">
              <w:rPr>
                <w:lang w:val="ro-RO"/>
              </w:rPr>
              <w:t xml:space="preserve"> identificate norme de trimitere, de blanchetă şi norme în alb, capabile să genereze</w:t>
            </w:r>
            <w:r>
              <w:rPr>
                <w:lang w:val="ro-RO"/>
              </w:rPr>
              <w:t xml:space="preserve"> </w:t>
            </w:r>
            <w:r w:rsidRPr="002F0842">
              <w:rPr>
                <w:lang w:val="ro-RO"/>
              </w:rPr>
              <w:t>coruptibilitate.</w:t>
            </w:r>
          </w:p>
          <w:p w:rsidR="00F2072B" w:rsidRPr="002F0842" w:rsidRDefault="00F2072B" w:rsidP="0075610B">
            <w:pPr>
              <w:ind w:firstLine="612"/>
              <w:jc w:val="center"/>
              <w:rPr>
                <w:b/>
                <w:lang w:val="ro-RO"/>
              </w:rPr>
            </w:pPr>
            <w:r w:rsidRPr="002F0842">
              <w:rPr>
                <w:b/>
                <w:lang w:val="ro-RO"/>
              </w:rPr>
              <w:t>4. Discreţii excesive ale autorităţilor publice</w:t>
            </w:r>
          </w:p>
          <w:p w:rsidR="00F2072B" w:rsidRPr="002F0842" w:rsidRDefault="00F2072B" w:rsidP="0075610B">
            <w:pPr>
              <w:jc w:val="both"/>
              <w:rPr>
                <w:lang w:val="ro-RO"/>
              </w:rPr>
            </w:pPr>
            <w:r w:rsidRPr="002F0842">
              <w:rPr>
                <w:lang w:val="ro-RO"/>
              </w:rPr>
              <w:t xml:space="preserve">Nu </w:t>
            </w:r>
            <w:proofErr w:type="spellStart"/>
            <w:r w:rsidRPr="002F0842">
              <w:rPr>
                <w:lang w:val="ro-RO"/>
              </w:rPr>
              <w:t>sînt</w:t>
            </w:r>
            <w:proofErr w:type="spellEnd"/>
            <w:r w:rsidRPr="002F0842">
              <w:rPr>
                <w:lang w:val="ro-RO"/>
              </w:rPr>
              <w:t xml:space="preserve"> identificate discreţii excesive ale autorităţilor publice,</w:t>
            </w:r>
            <w:r>
              <w:rPr>
                <w:lang w:val="ro-RO"/>
              </w:rPr>
              <w:t xml:space="preserve"> capabile să genereze </w:t>
            </w:r>
            <w:r w:rsidRPr="002F0842">
              <w:rPr>
                <w:lang w:val="ro-RO"/>
              </w:rPr>
              <w:t>coruptibilitate.</w:t>
            </w:r>
          </w:p>
          <w:p w:rsidR="00F2072B" w:rsidRPr="002F0842" w:rsidRDefault="00F2072B" w:rsidP="0075610B">
            <w:pPr>
              <w:ind w:firstLine="612"/>
              <w:jc w:val="center"/>
              <w:rPr>
                <w:b/>
                <w:lang w:val="ro-RO"/>
              </w:rPr>
            </w:pPr>
            <w:r w:rsidRPr="002F0842">
              <w:rPr>
                <w:b/>
                <w:lang w:val="ro-RO"/>
              </w:rPr>
              <w:t>5. Cerinţe excesive pentru exercitarea drepturilor persoanelor</w:t>
            </w:r>
          </w:p>
          <w:p w:rsidR="00F2072B" w:rsidRPr="002F0842" w:rsidRDefault="00F2072B" w:rsidP="0075610B">
            <w:pPr>
              <w:jc w:val="both"/>
              <w:rPr>
                <w:lang w:val="ro-RO"/>
              </w:rPr>
            </w:pPr>
            <w:r w:rsidRPr="002F0842">
              <w:rPr>
                <w:lang w:val="ro-RO"/>
              </w:rPr>
              <w:t xml:space="preserve">Nu </w:t>
            </w:r>
            <w:proofErr w:type="spellStart"/>
            <w:r w:rsidRPr="002F0842">
              <w:rPr>
                <w:lang w:val="ro-RO"/>
              </w:rPr>
              <w:t>sînt</w:t>
            </w:r>
            <w:proofErr w:type="spellEnd"/>
            <w:r w:rsidRPr="002F0842">
              <w:rPr>
                <w:lang w:val="ro-RO"/>
              </w:rPr>
              <w:t xml:space="preserve"> identificate cerinţe excesive, care să depăşească cadrul rezonabil pentru realizarea</w:t>
            </w:r>
            <w:r>
              <w:rPr>
                <w:lang w:val="ro-RO"/>
              </w:rPr>
              <w:t xml:space="preserve"> </w:t>
            </w:r>
            <w:r w:rsidRPr="002F0842">
              <w:rPr>
                <w:lang w:val="ro-RO"/>
              </w:rPr>
              <w:t>drepturilor sau obligaţiilor subiecţilor vizaţi.</w:t>
            </w:r>
          </w:p>
          <w:p w:rsidR="00F2072B" w:rsidRPr="002F0842" w:rsidRDefault="00F2072B" w:rsidP="0075610B">
            <w:pPr>
              <w:ind w:firstLine="612"/>
              <w:jc w:val="center"/>
              <w:rPr>
                <w:b/>
                <w:lang w:val="ro-RO"/>
              </w:rPr>
            </w:pPr>
            <w:r w:rsidRPr="002F0842">
              <w:rPr>
                <w:b/>
                <w:lang w:val="ro-RO"/>
              </w:rPr>
              <w:t>6. Accesul limitat la informaţie, lipsa transparenţei</w:t>
            </w:r>
          </w:p>
          <w:p w:rsidR="00F2072B" w:rsidRPr="002F0842" w:rsidRDefault="00F2072B" w:rsidP="0075610B">
            <w:pPr>
              <w:jc w:val="both"/>
              <w:rPr>
                <w:lang w:val="ro-RO"/>
              </w:rPr>
            </w:pPr>
            <w:r w:rsidRPr="002F0842">
              <w:rPr>
                <w:lang w:val="ro-RO"/>
              </w:rPr>
              <w:t>Textul proiectului nu necesită a fi evaluat prin prisma accesului la informaţie sau asigurării</w:t>
            </w:r>
            <w:r>
              <w:rPr>
                <w:lang w:val="ro-RO"/>
              </w:rPr>
              <w:t xml:space="preserve"> </w:t>
            </w:r>
            <w:r w:rsidRPr="002F0842">
              <w:rPr>
                <w:lang w:val="ro-RO"/>
              </w:rPr>
              <w:t>transparenţei.</w:t>
            </w:r>
          </w:p>
          <w:p w:rsidR="00F2072B" w:rsidRPr="002F0842" w:rsidRDefault="00F2072B" w:rsidP="0075610B">
            <w:pPr>
              <w:ind w:firstLine="612"/>
              <w:jc w:val="center"/>
              <w:rPr>
                <w:b/>
                <w:lang w:val="ro-RO"/>
              </w:rPr>
            </w:pPr>
            <w:r w:rsidRPr="002F0842">
              <w:rPr>
                <w:b/>
                <w:lang w:val="ro-RO"/>
              </w:rPr>
              <w:t>7. Lipsa sau insuficienţa mecanismelor de control</w:t>
            </w:r>
          </w:p>
          <w:p w:rsidR="00F2072B" w:rsidRPr="002F0842" w:rsidRDefault="00F2072B" w:rsidP="0075610B">
            <w:pPr>
              <w:jc w:val="both"/>
              <w:rPr>
                <w:lang w:val="ro-RO"/>
              </w:rPr>
            </w:pPr>
            <w:r w:rsidRPr="002F0842">
              <w:rPr>
                <w:lang w:val="ro-RO"/>
              </w:rPr>
              <w:lastRenderedPageBreak/>
              <w:t>Implementarea prevederilor proiectului nu presupune ap</w:t>
            </w:r>
            <w:r>
              <w:rPr>
                <w:lang w:val="ro-RO"/>
              </w:rPr>
              <w:t xml:space="preserve">licarea </w:t>
            </w:r>
            <w:proofErr w:type="spellStart"/>
            <w:r>
              <w:rPr>
                <w:lang w:val="ro-RO"/>
              </w:rPr>
              <w:t>cărorva</w:t>
            </w:r>
            <w:proofErr w:type="spellEnd"/>
            <w:r>
              <w:rPr>
                <w:lang w:val="ro-RO"/>
              </w:rPr>
              <w:t xml:space="preserve"> mecanisme </w:t>
            </w:r>
            <w:r w:rsidRPr="002F0842">
              <w:rPr>
                <w:lang w:val="ro-RO"/>
              </w:rPr>
              <w:t>suplimentare de control.</w:t>
            </w:r>
          </w:p>
          <w:p w:rsidR="00F2072B" w:rsidRPr="002F0842" w:rsidRDefault="00F2072B" w:rsidP="0075610B">
            <w:pPr>
              <w:ind w:firstLine="612"/>
              <w:jc w:val="center"/>
              <w:rPr>
                <w:b/>
                <w:lang w:val="ro-RO"/>
              </w:rPr>
            </w:pPr>
            <w:r w:rsidRPr="002F0842">
              <w:rPr>
                <w:b/>
                <w:lang w:val="ro-RO"/>
              </w:rPr>
              <w:t>8. Responsabilitate şi sancţiuni necorespunzătoare</w:t>
            </w:r>
          </w:p>
          <w:p w:rsidR="00F2072B" w:rsidRPr="002F0842" w:rsidRDefault="00F2072B" w:rsidP="0075610B">
            <w:pPr>
              <w:jc w:val="both"/>
              <w:rPr>
                <w:lang w:val="ro-RO"/>
              </w:rPr>
            </w:pPr>
            <w:r w:rsidRPr="002F0842">
              <w:rPr>
                <w:lang w:val="ro-RO"/>
              </w:rPr>
              <w:t>Proiectul nu implică careva responsabilităţi şi n</w:t>
            </w:r>
            <w:r>
              <w:rPr>
                <w:lang w:val="ro-RO"/>
              </w:rPr>
              <w:t xml:space="preserve">u necesită referinţe exprese la </w:t>
            </w:r>
            <w:r w:rsidRPr="002F0842">
              <w:rPr>
                <w:lang w:val="ro-RO"/>
              </w:rPr>
              <w:t>responsabilitate şi sancţiunile aplicate pentru încălcarea prevederilor sale.</w:t>
            </w:r>
          </w:p>
          <w:p w:rsidR="00F2072B" w:rsidRDefault="00F2072B" w:rsidP="0075610B">
            <w:pPr>
              <w:jc w:val="both"/>
              <w:rPr>
                <w:lang w:val="ro-RO"/>
              </w:rPr>
            </w:pPr>
          </w:p>
          <w:p w:rsidR="00F2072B" w:rsidRPr="002F0842" w:rsidRDefault="00F2072B" w:rsidP="0075610B">
            <w:pPr>
              <w:jc w:val="both"/>
              <w:rPr>
                <w:lang w:val="ro-RO"/>
              </w:rPr>
            </w:pPr>
            <w:r w:rsidRPr="002F0842">
              <w:rPr>
                <w:lang w:val="ro-RO"/>
              </w:rPr>
              <w:t>Expertiza a fost efectuată în temeiul Regulamentului cu privire la organizarea procesului de</w:t>
            </w:r>
            <w:r>
              <w:rPr>
                <w:lang w:val="ro-RO"/>
              </w:rPr>
              <w:t xml:space="preserve"> </w:t>
            </w:r>
            <w:r w:rsidRPr="002F0842">
              <w:rPr>
                <w:lang w:val="ro-RO"/>
              </w:rPr>
              <w:t>efectuare a expertizei anticorupţie a proiectelor de acte legislative şi normative, adoptat prin</w:t>
            </w:r>
            <w:r>
              <w:rPr>
                <w:lang w:val="ro-RO"/>
              </w:rPr>
              <w:t xml:space="preserve"> </w:t>
            </w:r>
            <w:proofErr w:type="spellStart"/>
            <w:r w:rsidRPr="002F0842">
              <w:rPr>
                <w:lang w:val="ro-RO"/>
              </w:rPr>
              <w:t>Hotărîrea</w:t>
            </w:r>
            <w:proofErr w:type="spellEnd"/>
            <w:r w:rsidRPr="002F0842">
              <w:rPr>
                <w:lang w:val="ro-RO"/>
              </w:rPr>
              <w:t xml:space="preserve"> Guvernului nr. 977 din 23.08.2006, în condiţiile Me</w:t>
            </w:r>
            <w:r>
              <w:rPr>
                <w:lang w:val="ro-RO"/>
              </w:rPr>
              <w:t xml:space="preserve">todologiei de efectuare a </w:t>
            </w:r>
            <w:r w:rsidRPr="002F0842">
              <w:rPr>
                <w:lang w:val="ro-RO"/>
              </w:rPr>
              <w:t>expertizei anticorupţie a proiectelor de acte legislative şi normative, aprobată prin ordinul</w:t>
            </w:r>
            <w:r>
              <w:rPr>
                <w:lang w:val="ro-RO"/>
              </w:rPr>
              <w:t xml:space="preserve"> </w:t>
            </w:r>
            <w:r w:rsidRPr="002F0842">
              <w:rPr>
                <w:lang w:val="ro-RO"/>
              </w:rPr>
              <w:t>directorului Centrului Naţional Anticorupţie nr. 62 din 19.04.2013, de către</w:t>
            </w:r>
          </w:p>
          <w:p w:rsidR="00F2072B" w:rsidRPr="002F0842" w:rsidRDefault="00F2072B" w:rsidP="0075610B">
            <w:pPr>
              <w:ind w:firstLine="612"/>
              <w:jc w:val="right"/>
              <w:rPr>
                <w:lang w:val="ro-RO"/>
              </w:rPr>
            </w:pPr>
            <w:r w:rsidRPr="002F0842">
              <w:rPr>
                <w:lang w:val="ro-RO"/>
              </w:rPr>
              <w:t>Galamaga Dorina</w:t>
            </w:r>
          </w:p>
          <w:p w:rsidR="00F2072B" w:rsidRPr="002F0842" w:rsidRDefault="00F2072B" w:rsidP="0075610B">
            <w:pPr>
              <w:ind w:firstLine="612"/>
              <w:jc w:val="right"/>
              <w:rPr>
                <w:lang w:val="ro-RO"/>
              </w:rPr>
            </w:pPr>
            <w:r w:rsidRPr="002F0842">
              <w:rPr>
                <w:lang w:val="ro-RO"/>
              </w:rPr>
              <w:t>inspector al Direcţiei legislaţie şi expertiză anticorupţie</w:t>
            </w:r>
          </w:p>
          <w:p w:rsidR="00F2072B" w:rsidRPr="002F0842" w:rsidRDefault="00F2072B" w:rsidP="0075610B">
            <w:pPr>
              <w:ind w:firstLine="612"/>
              <w:jc w:val="right"/>
              <w:rPr>
                <w:lang w:val="ro-RO"/>
              </w:rPr>
            </w:pPr>
            <w:r w:rsidRPr="002F0842">
              <w:rPr>
                <w:lang w:val="ro-RO"/>
              </w:rPr>
              <w:t>09 Decembrie 2016</w:t>
            </w:r>
          </w:p>
          <w:p w:rsidR="00F2072B" w:rsidRPr="002F0842" w:rsidRDefault="00F2072B" w:rsidP="0075610B">
            <w:pPr>
              <w:ind w:firstLine="612"/>
              <w:jc w:val="right"/>
              <w:rPr>
                <w:i/>
                <w:lang w:val="ro-RO"/>
              </w:rPr>
            </w:pPr>
            <w:r w:rsidRPr="002F0842">
              <w:rPr>
                <w:i/>
                <w:lang w:val="ro-RO"/>
              </w:rPr>
              <w:t>Prezentul raport este publicat pe pagina oficială a</w:t>
            </w:r>
          </w:p>
          <w:p w:rsidR="00F2072B" w:rsidRPr="00883E40" w:rsidRDefault="00F2072B" w:rsidP="0075610B">
            <w:pPr>
              <w:ind w:firstLine="612"/>
              <w:jc w:val="right"/>
              <w:rPr>
                <w:lang w:val="ro-RO"/>
              </w:rPr>
            </w:pPr>
            <w:r w:rsidRPr="002F0842">
              <w:rPr>
                <w:i/>
                <w:lang w:val="ro-RO"/>
              </w:rPr>
              <w:t xml:space="preserve">Centrului Naţional Anticorupţie - </w:t>
            </w:r>
            <w:proofErr w:type="spellStart"/>
            <w:r w:rsidRPr="002F0842">
              <w:rPr>
                <w:i/>
                <w:lang w:val="ro-RO"/>
              </w:rPr>
              <w:t>www.cna.md</w:t>
            </w:r>
            <w:proofErr w:type="spellEnd"/>
          </w:p>
        </w:tc>
        <w:tc>
          <w:tcPr>
            <w:tcW w:w="4217" w:type="dxa"/>
          </w:tcPr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53612F" w:rsidP="0075610B">
            <w:pPr>
              <w:rPr>
                <w:lang w:val="ro-RO"/>
              </w:rPr>
            </w:pPr>
            <w:r w:rsidRPr="0053612F">
              <w:rPr>
                <w:lang w:val="ro-RO"/>
              </w:rPr>
              <w:t xml:space="preserve">Nu se acceptă. În conformitate cu </w:t>
            </w:r>
            <w:proofErr w:type="spellStart"/>
            <w:r w:rsidRPr="0053612F">
              <w:rPr>
                <w:lang w:val="ro-RO"/>
              </w:rPr>
              <w:t>Hotărîrea</w:t>
            </w:r>
            <w:proofErr w:type="spellEnd"/>
            <w:r w:rsidRPr="0053612F">
              <w:rPr>
                <w:lang w:val="ro-RO"/>
              </w:rPr>
              <w:t xml:space="preserve"> Guvernului nr. 690 din 13.11.2009 pentru aprobarea Regulamentului privind organizarea şi funcţionarea Ministerului Economiei, structurii şi efectivului-limită ale aparatului central al acestuia, în atribuțiile ministerului intră asigurarea securității energetice a statului. </w:t>
            </w:r>
            <w:r w:rsidRPr="0053612F">
              <w:rPr>
                <w:lang w:val="ro-RO"/>
              </w:rPr>
              <w:lastRenderedPageBreak/>
              <w:t xml:space="preserve">Respectiv, acțiunile întreprinse de către Ministerul Economiei prin elaborarea </w:t>
            </w:r>
            <w:proofErr w:type="spellStart"/>
            <w:r w:rsidRPr="0053612F">
              <w:rPr>
                <w:lang w:val="ro-RO"/>
              </w:rPr>
              <w:t>Hotărîrii</w:t>
            </w:r>
            <w:proofErr w:type="spellEnd"/>
            <w:r w:rsidRPr="0053612F">
              <w:rPr>
                <w:lang w:val="ro-RO"/>
              </w:rPr>
              <w:t xml:space="preserve"> Guvernului cu privire la modificarea </w:t>
            </w:r>
            <w:proofErr w:type="spellStart"/>
            <w:r w:rsidRPr="0053612F">
              <w:rPr>
                <w:lang w:val="ro-RO"/>
              </w:rPr>
              <w:t>Hotărîrii</w:t>
            </w:r>
            <w:proofErr w:type="spellEnd"/>
            <w:r w:rsidRPr="0053612F">
              <w:rPr>
                <w:lang w:val="ro-RO"/>
              </w:rPr>
              <w:t xml:space="preserve"> Guvernului nr.20 din 20 ianuarie 2009 au drept scop asigurarea securității energetice.</w:t>
            </w: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53612F" w:rsidP="0075610B">
            <w:pPr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="00F2072B">
              <w:rPr>
                <w:lang w:val="ro-RO"/>
              </w:rPr>
              <w:t>e acceptă</w:t>
            </w:r>
            <w:r>
              <w:rPr>
                <w:lang w:val="ro-RO"/>
              </w:rPr>
              <w:t xml:space="preserve"> parțial</w:t>
            </w:r>
            <w:r w:rsidR="00F2072B" w:rsidRPr="00883E40">
              <w:rPr>
                <w:lang w:val="ro-RO"/>
              </w:rPr>
              <w:t>.</w:t>
            </w:r>
            <w:r w:rsidR="00F2072B" w:rsidRPr="009D444C">
              <w:rPr>
                <w:lang w:val="en-US"/>
              </w:rPr>
              <w:t xml:space="preserve"> </w:t>
            </w:r>
            <w:proofErr w:type="spellStart"/>
            <w:r w:rsidR="00F2072B">
              <w:rPr>
                <w:lang w:val="en-US"/>
              </w:rPr>
              <w:t>Datorită</w:t>
            </w:r>
            <w:proofErr w:type="spellEnd"/>
            <w:r w:rsidR="00F2072B">
              <w:rPr>
                <w:lang w:val="en-US"/>
              </w:rPr>
              <w:t xml:space="preserve"> </w:t>
            </w:r>
            <w:proofErr w:type="spellStart"/>
            <w:r w:rsidR="00F2072B">
              <w:rPr>
                <w:lang w:val="en-US"/>
              </w:rPr>
              <w:t>faptului</w:t>
            </w:r>
            <w:proofErr w:type="spellEnd"/>
            <w:r w:rsidR="00F2072B">
              <w:rPr>
                <w:lang w:val="en-US"/>
              </w:rPr>
              <w:t xml:space="preserve"> </w:t>
            </w:r>
            <w:proofErr w:type="spellStart"/>
            <w:r w:rsidR="00F2072B">
              <w:rPr>
                <w:lang w:val="en-US"/>
              </w:rPr>
              <w:t>că</w:t>
            </w:r>
            <w:proofErr w:type="spellEnd"/>
            <w:r w:rsidR="00F2072B">
              <w:rPr>
                <w:lang w:val="en-US"/>
              </w:rPr>
              <w:t xml:space="preserve"> </w:t>
            </w:r>
            <w:r w:rsidR="00F2072B" w:rsidRPr="009D444C">
              <w:rPr>
                <w:lang w:val="ro-RO"/>
              </w:rPr>
              <w:t>conturile întreprinderilor S.A. „</w:t>
            </w:r>
            <w:proofErr w:type="spellStart"/>
            <w:r w:rsidR="00F2072B" w:rsidRPr="009D444C">
              <w:rPr>
                <w:lang w:val="ro-RO"/>
              </w:rPr>
              <w:t>CET-Nord</w:t>
            </w:r>
            <w:proofErr w:type="spellEnd"/>
            <w:r w:rsidR="00F2072B" w:rsidRPr="009D444C">
              <w:rPr>
                <w:lang w:val="ro-RO"/>
              </w:rPr>
              <w:t>” și S.A. „Termoelectrica”sunt sechestrate de către S.A. „</w:t>
            </w:r>
            <w:proofErr w:type="spellStart"/>
            <w:r w:rsidR="00F2072B" w:rsidRPr="009D444C">
              <w:rPr>
                <w:lang w:val="ro-RO"/>
              </w:rPr>
              <w:t>Moldovagaz</w:t>
            </w:r>
            <w:proofErr w:type="spellEnd"/>
            <w:r w:rsidR="00F2072B" w:rsidRPr="009D444C">
              <w:rPr>
                <w:lang w:val="ro-RO"/>
              </w:rPr>
              <w:t>”</w:t>
            </w:r>
            <w:r w:rsidR="00F2072B">
              <w:rPr>
                <w:lang w:val="ro-RO"/>
              </w:rPr>
              <w:t>, acestea</w:t>
            </w:r>
            <w:r w:rsidR="00F2072B" w:rsidRPr="009D444C">
              <w:rPr>
                <w:lang w:val="ro-RO"/>
              </w:rPr>
              <w:t xml:space="preserve"> nu au posibilitatea de</w:t>
            </w:r>
            <w:r w:rsidR="00F2072B" w:rsidRPr="00AD7D22">
              <w:rPr>
                <w:lang w:val="en-US"/>
              </w:rPr>
              <w:t xml:space="preserve"> </w:t>
            </w:r>
            <w:r w:rsidR="00F2072B" w:rsidRPr="00AD7D22">
              <w:rPr>
                <w:lang w:val="ro-RO"/>
              </w:rPr>
              <w:t xml:space="preserve">a procura cantitatea necesară de păcură pentru </w:t>
            </w:r>
            <w:r w:rsidR="00F2072B">
              <w:rPr>
                <w:lang w:val="ro-RO"/>
              </w:rPr>
              <w:t>restituirea</w:t>
            </w:r>
            <w:r w:rsidR="00F2072B" w:rsidRPr="00AD7D22">
              <w:rPr>
                <w:lang w:val="ro-RO"/>
              </w:rPr>
              <w:t xml:space="preserve"> rezervelor corespunzătoare</w:t>
            </w:r>
            <w:r w:rsidR="00F2072B">
              <w:rPr>
                <w:lang w:val="ro-RO"/>
              </w:rPr>
              <w:t xml:space="preserve"> </w:t>
            </w:r>
            <w:r w:rsidR="00F2072B" w:rsidRPr="00AD7D22">
              <w:rPr>
                <w:lang w:val="ro-RO"/>
              </w:rPr>
              <w:t>de combustibil de rezervă.</w:t>
            </w:r>
            <w:r>
              <w:rPr>
                <w:lang w:val="ro-RO"/>
              </w:rPr>
              <w:t xml:space="preserve"> Totodată, este necesar de menționat că achiziționarea cantității de păcură necesară a fi restituită va fi posibilă doar după </w:t>
            </w:r>
            <w:r w:rsidR="008E3501">
              <w:rPr>
                <w:lang w:val="ro-RO"/>
              </w:rPr>
              <w:t>ajustare</w:t>
            </w:r>
            <w:r>
              <w:rPr>
                <w:lang w:val="ro-RO"/>
              </w:rPr>
              <w:t xml:space="preserve">a tarifelor care vor </w:t>
            </w:r>
            <w:r w:rsidRPr="0053612F">
              <w:rPr>
                <w:lang w:val="ro-RO"/>
              </w:rPr>
              <w:t>acoper</w:t>
            </w:r>
            <w:r>
              <w:rPr>
                <w:lang w:val="ro-RO"/>
              </w:rPr>
              <w:t>i</w:t>
            </w:r>
            <w:r w:rsidRPr="0053612F">
              <w:rPr>
                <w:lang w:val="ro-RO"/>
              </w:rPr>
              <w:t xml:space="preserve"> cheltuielile justificate ale întreprinderilor energetice</w:t>
            </w:r>
            <w:r>
              <w:rPr>
                <w:lang w:val="ro-RO"/>
              </w:rPr>
              <w:t>.</w:t>
            </w: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53612F" w:rsidRDefault="0053612F" w:rsidP="0053612F">
            <w:pPr>
              <w:rPr>
                <w:lang w:val="ro-RO"/>
              </w:rPr>
            </w:pPr>
            <w:r w:rsidRPr="00883E40">
              <w:rPr>
                <w:lang w:val="ro-RO"/>
              </w:rPr>
              <w:t>Se acceptă.</w:t>
            </w: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53612F" w:rsidRDefault="0053612F" w:rsidP="0053612F">
            <w:pPr>
              <w:rPr>
                <w:lang w:val="ro-RO"/>
              </w:rPr>
            </w:pPr>
            <w:r w:rsidRPr="0053612F">
              <w:rPr>
                <w:lang w:val="ro-RO"/>
              </w:rPr>
              <w:t xml:space="preserve">Nu se acceptă. În conformitate cu </w:t>
            </w:r>
            <w:proofErr w:type="spellStart"/>
            <w:r w:rsidRPr="0053612F">
              <w:rPr>
                <w:lang w:val="ro-RO"/>
              </w:rPr>
              <w:t>Hotărîrea</w:t>
            </w:r>
            <w:proofErr w:type="spellEnd"/>
            <w:r w:rsidRPr="0053612F">
              <w:rPr>
                <w:lang w:val="ro-RO"/>
              </w:rPr>
              <w:t xml:space="preserve"> Guvernului nr. 690 din 13.11.2009 pentru aprobarea Regulamentului privind organizarea şi funcţionarea Ministerului Economiei, structurii şi efectivului-limită ale aparatului central al acestuia, în atribuțiile ministerului intră asigurarea securității energetice a statului. Respectiv, acțiunile întreprinse de către </w:t>
            </w:r>
            <w:r w:rsidRPr="0053612F">
              <w:rPr>
                <w:lang w:val="ro-RO"/>
              </w:rPr>
              <w:lastRenderedPageBreak/>
              <w:t xml:space="preserve">Ministerul Economiei prin elaborarea </w:t>
            </w:r>
            <w:proofErr w:type="spellStart"/>
            <w:r w:rsidRPr="0053612F">
              <w:rPr>
                <w:lang w:val="ro-RO"/>
              </w:rPr>
              <w:t>Hotărîrii</w:t>
            </w:r>
            <w:proofErr w:type="spellEnd"/>
            <w:r w:rsidRPr="0053612F">
              <w:rPr>
                <w:lang w:val="ro-RO"/>
              </w:rPr>
              <w:t xml:space="preserve"> Guvernului cu privire la modificarea </w:t>
            </w:r>
            <w:proofErr w:type="spellStart"/>
            <w:r w:rsidRPr="0053612F">
              <w:rPr>
                <w:lang w:val="ro-RO"/>
              </w:rPr>
              <w:t>Hotărîrii</w:t>
            </w:r>
            <w:proofErr w:type="spellEnd"/>
            <w:r w:rsidRPr="0053612F">
              <w:rPr>
                <w:lang w:val="ro-RO"/>
              </w:rPr>
              <w:t xml:space="preserve"> Guvernului nr.20 din 20 ianuarie 2009 au drept scop asigurarea securității energetice.</w:t>
            </w:r>
          </w:p>
          <w:p w:rsidR="0053612F" w:rsidRDefault="0053612F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  <w:r w:rsidRPr="00883E40">
              <w:rPr>
                <w:lang w:val="ro-RO"/>
              </w:rPr>
              <w:t>Se acceptă.</w:t>
            </w: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  <w:r w:rsidRPr="00883E40">
              <w:rPr>
                <w:lang w:val="ro-RO"/>
              </w:rPr>
              <w:t>Se acceptă.</w:t>
            </w: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53612F" w:rsidRDefault="0053612F" w:rsidP="0075610B">
            <w:pPr>
              <w:rPr>
                <w:lang w:val="ro-RO"/>
              </w:rPr>
            </w:pPr>
          </w:p>
          <w:p w:rsidR="0053612F" w:rsidRDefault="0053612F" w:rsidP="0075610B">
            <w:pPr>
              <w:rPr>
                <w:lang w:val="ro-RO"/>
              </w:rPr>
            </w:pPr>
          </w:p>
          <w:p w:rsidR="0053612F" w:rsidRDefault="0053612F" w:rsidP="0075610B">
            <w:pPr>
              <w:rPr>
                <w:lang w:val="ro-RO"/>
              </w:rPr>
            </w:pPr>
          </w:p>
          <w:p w:rsidR="0053612F" w:rsidRDefault="0053612F" w:rsidP="0075610B">
            <w:pPr>
              <w:rPr>
                <w:lang w:val="ro-RO"/>
              </w:rPr>
            </w:pPr>
          </w:p>
          <w:p w:rsidR="0053612F" w:rsidRDefault="0053612F" w:rsidP="0075610B">
            <w:pPr>
              <w:rPr>
                <w:lang w:val="ro-RO"/>
              </w:rPr>
            </w:pPr>
          </w:p>
          <w:p w:rsidR="0053612F" w:rsidRDefault="0053612F" w:rsidP="0075610B">
            <w:pPr>
              <w:rPr>
                <w:lang w:val="ro-RO"/>
              </w:rPr>
            </w:pPr>
          </w:p>
          <w:p w:rsidR="0053612F" w:rsidRDefault="0053612F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  <w:r w:rsidRPr="00883E40">
              <w:rPr>
                <w:lang w:val="ro-RO"/>
              </w:rPr>
              <w:t>Se acceptă.</w:t>
            </w: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  <w:r w:rsidRPr="00883E40">
              <w:rPr>
                <w:lang w:val="ro-RO"/>
              </w:rPr>
              <w:t>Se acceptă.</w:t>
            </w: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  <w:r w:rsidRPr="00883E40">
              <w:rPr>
                <w:lang w:val="ro-RO"/>
              </w:rPr>
              <w:t>Se acceptă.</w:t>
            </w:r>
          </w:p>
          <w:p w:rsidR="00F2072B" w:rsidRDefault="00F2072B" w:rsidP="0075610B">
            <w:pPr>
              <w:rPr>
                <w:lang w:val="ro-RO"/>
              </w:rPr>
            </w:pPr>
          </w:p>
          <w:p w:rsidR="0053612F" w:rsidRDefault="0053612F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  <w:r w:rsidRPr="00883E40">
              <w:rPr>
                <w:lang w:val="ro-RO"/>
              </w:rPr>
              <w:t>Se acceptă.</w:t>
            </w: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  <w:r w:rsidRPr="00883E40">
              <w:rPr>
                <w:lang w:val="ro-RO"/>
              </w:rPr>
              <w:t>Se acceptă.</w:t>
            </w: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  <w:r w:rsidRPr="00883E40">
              <w:rPr>
                <w:lang w:val="ro-RO"/>
              </w:rPr>
              <w:t>Se acceptă.</w:t>
            </w: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  <w:r w:rsidRPr="00883E40">
              <w:rPr>
                <w:lang w:val="ro-RO"/>
              </w:rPr>
              <w:lastRenderedPageBreak/>
              <w:t>Se acceptă.</w:t>
            </w: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  <w:r w:rsidRPr="00883E40">
              <w:rPr>
                <w:lang w:val="ro-RO"/>
              </w:rPr>
              <w:t>Se acceptă.</w:t>
            </w: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  <w:r w:rsidRPr="00883E40">
              <w:rPr>
                <w:lang w:val="ro-RO"/>
              </w:rPr>
              <w:t>Se acceptă.</w:t>
            </w: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Default="00F2072B" w:rsidP="0075610B">
            <w:pPr>
              <w:rPr>
                <w:lang w:val="ro-RO"/>
              </w:rPr>
            </w:pPr>
          </w:p>
          <w:p w:rsidR="00F2072B" w:rsidRPr="00883E40" w:rsidRDefault="00F2072B" w:rsidP="0075610B">
            <w:pPr>
              <w:rPr>
                <w:lang w:val="ro-RO"/>
              </w:rPr>
            </w:pPr>
          </w:p>
        </w:tc>
      </w:tr>
      <w:tr w:rsidR="00086288" w:rsidRPr="00C82423" w:rsidTr="00CC0827">
        <w:trPr>
          <w:trHeight w:val="488"/>
        </w:trPr>
        <w:tc>
          <w:tcPr>
            <w:tcW w:w="14282" w:type="dxa"/>
            <w:gridSpan w:val="3"/>
            <w:vAlign w:val="center"/>
          </w:tcPr>
          <w:p w:rsidR="00086288" w:rsidRPr="00883E40" w:rsidRDefault="006D72CA" w:rsidP="008477EB">
            <w:pPr>
              <w:ind w:firstLine="720"/>
              <w:jc w:val="center"/>
              <w:rPr>
                <w:lang w:val="ro-RO"/>
              </w:rPr>
            </w:pPr>
            <w:r w:rsidRPr="00883E40">
              <w:rPr>
                <w:b/>
                <w:lang w:val="ro-RO"/>
              </w:rPr>
              <w:lastRenderedPageBreak/>
              <w:t xml:space="preserve">SA “Termoelectrica” a prezentat avizul prin scrisoarea nr. </w:t>
            </w:r>
            <w:r w:rsidR="008477EB" w:rsidRPr="008477EB">
              <w:rPr>
                <w:b/>
                <w:lang w:val="ro-RO"/>
              </w:rPr>
              <w:t>79/5504 din 2</w:t>
            </w:r>
            <w:r w:rsidRPr="008477EB">
              <w:rPr>
                <w:b/>
                <w:lang w:val="ro-RO"/>
              </w:rPr>
              <w:t>1.11.2016</w:t>
            </w:r>
          </w:p>
        </w:tc>
      </w:tr>
      <w:tr w:rsidR="006D72CA" w:rsidRPr="00DA5A39" w:rsidTr="00DA5A39">
        <w:tc>
          <w:tcPr>
            <w:tcW w:w="840" w:type="dxa"/>
          </w:tcPr>
          <w:p w:rsidR="006D72CA" w:rsidRPr="00883E40" w:rsidRDefault="001A526D" w:rsidP="00E750F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9225" w:type="dxa"/>
            <w:vAlign w:val="center"/>
          </w:tcPr>
          <w:p w:rsidR="00DA5A39" w:rsidRPr="00883E40" w:rsidRDefault="00DA5A39" w:rsidP="00DA5A39">
            <w:pPr>
              <w:ind w:firstLine="612"/>
              <w:jc w:val="both"/>
              <w:rPr>
                <w:lang w:val="ro-RO"/>
              </w:rPr>
            </w:pPr>
            <w:r w:rsidRPr="00883E40">
              <w:rPr>
                <w:lang w:val="ro-RO"/>
              </w:rPr>
              <w:t>Prin prezenta</w:t>
            </w:r>
            <w:r>
              <w:rPr>
                <w:lang w:val="ro-RO"/>
              </w:rPr>
              <w:t>, la nr. 06/1-6453 din 07.11.16, ,,TERMOELECTRICA</w:t>
            </w:r>
            <w:r w:rsidRPr="00883E40">
              <w:rPr>
                <w:lang w:val="ro-RO"/>
              </w:rPr>
              <w:t xml:space="preserve">” </w:t>
            </w:r>
            <w:r>
              <w:rPr>
                <w:lang w:val="ro-RO"/>
              </w:rPr>
              <w:t>S.A. Vă informează</w:t>
            </w:r>
            <w:r w:rsidRPr="00883E40">
              <w:rPr>
                <w:lang w:val="ro-RO"/>
              </w:rPr>
              <w:t xml:space="preserve"> că</w:t>
            </w:r>
            <w:r w:rsidRPr="00883E40">
              <w:rPr>
                <w:b/>
                <w:lang w:val="ro-RO"/>
              </w:rPr>
              <w:t xml:space="preserve"> </w:t>
            </w:r>
            <w:r w:rsidRPr="00883E40">
              <w:rPr>
                <w:lang w:val="ro-RO"/>
              </w:rPr>
              <w:t xml:space="preserve">a examinat proiectul Hotărârii </w:t>
            </w:r>
            <w:r>
              <w:rPr>
                <w:lang w:val="ro-RO"/>
              </w:rPr>
              <w:t>Guvernului c</w:t>
            </w:r>
            <w:r w:rsidRPr="00883E40">
              <w:rPr>
                <w:lang w:val="ro-RO"/>
              </w:rPr>
              <w:t>u privire la modific</w:t>
            </w:r>
            <w:r>
              <w:rPr>
                <w:lang w:val="ro-RO"/>
              </w:rPr>
              <w:t>area Hotărâ</w:t>
            </w:r>
            <w:r w:rsidRPr="00883E40">
              <w:rPr>
                <w:lang w:val="ro-RO"/>
              </w:rPr>
              <w:t>r</w:t>
            </w:r>
            <w:r>
              <w:rPr>
                <w:lang w:val="ro-RO"/>
              </w:rPr>
              <w:t>ii</w:t>
            </w:r>
            <w:r w:rsidRPr="00883E40">
              <w:rPr>
                <w:lang w:val="ro-RO"/>
              </w:rPr>
              <w:t xml:space="preserve"> Guvernului nr. 20 din 20.01.2009.</w:t>
            </w:r>
          </w:p>
          <w:p w:rsidR="006D72CA" w:rsidRPr="00883E40" w:rsidRDefault="00DA5A39" w:rsidP="00DA5A39">
            <w:pPr>
              <w:ind w:firstLine="612"/>
              <w:jc w:val="both"/>
              <w:rPr>
                <w:lang w:val="ro-RO"/>
              </w:rPr>
            </w:pPr>
            <w:r>
              <w:rPr>
                <w:lang w:val="ro-RO"/>
              </w:rPr>
              <w:t>O</w:t>
            </w:r>
            <w:r w:rsidRPr="00883E40">
              <w:rPr>
                <w:lang w:val="ro-RO"/>
              </w:rPr>
              <w:t xml:space="preserve">biecții </w:t>
            </w:r>
            <w:r>
              <w:rPr>
                <w:lang w:val="ro-RO"/>
              </w:rPr>
              <w:t xml:space="preserve">la proiectul de Hotărâre de Guvern nu avem, </w:t>
            </w:r>
            <w:proofErr w:type="spellStart"/>
            <w:r>
              <w:rPr>
                <w:lang w:val="ro-RO"/>
              </w:rPr>
              <w:t>avizîndu-l</w:t>
            </w:r>
            <w:proofErr w:type="spellEnd"/>
            <w:r>
              <w:rPr>
                <w:lang w:val="ro-RO"/>
              </w:rPr>
              <w:t xml:space="preserve"> pozitiv</w:t>
            </w:r>
            <w:r w:rsidRPr="00883E40">
              <w:rPr>
                <w:lang w:val="ro-RO"/>
              </w:rPr>
              <w:t>.</w:t>
            </w:r>
          </w:p>
        </w:tc>
        <w:tc>
          <w:tcPr>
            <w:tcW w:w="4217" w:type="dxa"/>
          </w:tcPr>
          <w:p w:rsidR="006D72CA" w:rsidRPr="00883E40" w:rsidRDefault="00DA5A39" w:rsidP="00DA5A39">
            <w:pPr>
              <w:rPr>
                <w:lang w:val="ro-RO"/>
              </w:rPr>
            </w:pPr>
            <w:r w:rsidRPr="00883E40">
              <w:rPr>
                <w:lang w:val="ro-RO"/>
              </w:rPr>
              <w:t>Se acceptă.</w:t>
            </w:r>
          </w:p>
        </w:tc>
      </w:tr>
      <w:tr w:rsidR="001A526D" w:rsidRPr="00C82423" w:rsidTr="008E74B6">
        <w:tc>
          <w:tcPr>
            <w:tcW w:w="14282" w:type="dxa"/>
            <w:gridSpan w:val="3"/>
          </w:tcPr>
          <w:p w:rsidR="001A526D" w:rsidRPr="00883E40" w:rsidRDefault="001A526D" w:rsidP="008E74B6">
            <w:pPr>
              <w:spacing w:before="120" w:after="120"/>
              <w:jc w:val="center"/>
              <w:rPr>
                <w:lang w:val="ro-RO"/>
              </w:rPr>
            </w:pPr>
            <w:r w:rsidRPr="00883E40">
              <w:rPr>
                <w:b/>
                <w:lang w:val="ro-RO"/>
              </w:rPr>
              <w:t>SA “</w:t>
            </w:r>
            <w:proofErr w:type="spellStart"/>
            <w:r w:rsidRPr="00883E40">
              <w:rPr>
                <w:b/>
                <w:lang w:val="ro-RO"/>
              </w:rPr>
              <w:t>CET-Nord</w:t>
            </w:r>
            <w:proofErr w:type="spellEnd"/>
            <w:r w:rsidRPr="00883E40">
              <w:rPr>
                <w:b/>
                <w:lang w:val="ro-RO"/>
              </w:rPr>
              <w:t>” a prezentat avizul prin scrisoarea nr. 06-8/677 din 11.11.2016</w:t>
            </w:r>
          </w:p>
        </w:tc>
      </w:tr>
      <w:tr w:rsidR="001A526D" w:rsidRPr="000E4F7D" w:rsidTr="008E74B6">
        <w:trPr>
          <w:trHeight w:val="912"/>
        </w:trPr>
        <w:tc>
          <w:tcPr>
            <w:tcW w:w="840" w:type="dxa"/>
          </w:tcPr>
          <w:p w:rsidR="001A526D" w:rsidRPr="00883E40" w:rsidRDefault="001A526D" w:rsidP="008E74B6">
            <w:pPr>
              <w:jc w:val="center"/>
              <w:rPr>
                <w:lang w:val="ro-RO"/>
              </w:rPr>
            </w:pPr>
            <w:r w:rsidRPr="00883E40">
              <w:rPr>
                <w:lang w:val="ro-RO"/>
              </w:rPr>
              <w:t>1.</w:t>
            </w:r>
          </w:p>
          <w:p w:rsidR="001A526D" w:rsidRPr="00883E40" w:rsidRDefault="001A526D" w:rsidP="008E74B6">
            <w:pPr>
              <w:jc w:val="center"/>
              <w:rPr>
                <w:lang w:val="ro-RO"/>
              </w:rPr>
            </w:pPr>
          </w:p>
        </w:tc>
        <w:tc>
          <w:tcPr>
            <w:tcW w:w="9225" w:type="dxa"/>
            <w:vAlign w:val="center"/>
          </w:tcPr>
          <w:p w:rsidR="001A526D" w:rsidRPr="00883E40" w:rsidRDefault="001A526D" w:rsidP="008E74B6">
            <w:pPr>
              <w:ind w:firstLine="612"/>
              <w:jc w:val="both"/>
              <w:rPr>
                <w:lang w:val="ro-RO"/>
              </w:rPr>
            </w:pPr>
            <w:r w:rsidRPr="00883E40">
              <w:rPr>
                <w:lang w:val="ro-RO"/>
              </w:rPr>
              <w:t>Prin prezenta SA “CET-NORD” comunică că</w:t>
            </w:r>
            <w:r w:rsidRPr="00883E40">
              <w:rPr>
                <w:b/>
                <w:lang w:val="ro-RO"/>
              </w:rPr>
              <w:t xml:space="preserve"> </w:t>
            </w:r>
            <w:r w:rsidRPr="00883E40">
              <w:rPr>
                <w:lang w:val="ro-RO"/>
              </w:rPr>
              <w:t xml:space="preserve">a examinat proiectul </w:t>
            </w:r>
            <w:proofErr w:type="spellStart"/>
            <w:r w:rsidRPr="00883E40">
              <w:rPr>
                <w:lang w:val="ro-RO"/>
              </w:rPr>
              <w:t>Hotărîrii</w:t>
            </w:r>
            <w:proofErr w:type="spellEnd"/>
            <w:r w:rsidRPr="00883E40">
              <w:rPr>
                <w:lang w:val="ro-RO"/>
              </w:rPr>
              <w:t xml:space="preserve"> “Cu privire la aprobarea modificărilor ce se operează în </w:t>
            </w:r>
            <w:proofErr w:type="spellStart"/>
            <w:r w:rsidRPr="00883E40">
              <w:rPr>
                <w:lang w:val="ro-RO"/>
              </w:rPr>
              <w:t>Hotărîrea</w:t>
            </w:r>
            <w:proofErr w:type="spellEnd"/>
            <w:r w:rsidRPr="00883E40">
              <w:rPr>
                <w:lang w:val="ro-RO"/>
              </w:rPr>
              <w:t xml:space="preserve"> Guvernului nr. 20 din 20.01.2009”.</w:t>
            </w:r>
          </w:p>
          <w:p w:rsidR="001A526D" w:rsidRPr="00883E40" w:rsidRDefault="001A526D" w:rsidP="008E74B6">
            <w:pPr>
              <w:ind w:firstLine="612"/>
              <w:jc w:val="both"/>
              <w:rPr>
                <w:lang w:val="ro-RO"/>
              </w:rPr>
            </w:pPr>
            <w:r w:rsidRPr="00883E40">
              <w:rPr>
                <w:lang w:val="ro-RO"/>
              </w:rPr>
              <w:t>Entitatea nu are obiecții și susține proiectul menționat.</w:t>
            </w:r>
          </w:p>
        </w:tc>
        <w:tc>
          <w:tcPr>
            <w:tcW w:w="4217" w:type="dxa"/>
          </w:tcPr>
          <w:p w:rsidR="001A526D" w:rsidRPr="00883E40" w:rsidRDefault="001A526D" w:rsidP="008E74B6">
            <w:pPr>
              <w:rPr>
                <w:lang w:val="ro-RO"/>
              </w:rPr>
            </w:pPr>
            <w:r w:rsidRPr="00883E40">
              <w:rPr>
                <w:lang w:val="ro-RO"/>
              </w:rPr>
              <w:t xml:space="preserve">Se acceptă. </w:t>
            </w:r>
          </w:p>
        </w:tc>
      </w:tr>
    </w:tbl>
    <w:p w:rsidR="009B560E" w:rsidRPr="00883E40" w:rsidRDefault="009B560E">
      <w:pPr>
        <w:rPr>
          <w:lang w:val="ro-RO"/>
        </w:rPr>
      </w:pPr>
    </w:p>
    <w:sectPr w:rsidR="009B560E" w:rsidRPr="00883E40" w:rsidSect="004F2A9D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/>
      </w:rPr>
    </w:lvl>
  </w:abstractNum>
  <w:abstractNum w:abstractNumId="1">
    <w:nsid w:val="01C92F39"/>
    <w:multiLevelType w:val="hybridMultilevel"/>
    <w:tmpl w:val="898C2300"/>
    <w:lvl w:ilvl="0" w:tplc="FA8E9A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711E80"/>
    <w:multiLevelType w:val="hybridMultilevel"/>
    <w:tmpl w:val="AE20A5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E23A0"/>
    <w:multiLevelType w:val="hybridMultilevel"/>
    <w:tmpl w:val="CC08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D93D1C"/>
    <w:multiLevelType w:val="hybridMultilevel"/>
    <w:tmpl w:val="64EAFC9A"/>
    <w:lvl w:ilvl="0" w:tplc="960A8CE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3A3F96"/>
    <w:multiLevelType w:val="hybridMultilevel"/>
    <w:tmpl w:val="C6DED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8630FB"/>
    <w:multiLevelType w:val="hybridMultilevel"/>
    <w:tmpl w:val="91525F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440FC"/>
    <w:multiLevelType w:val="hybridMultilevel"/>
    <w:tmpl w:val="1E18D3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F025066"/>
    <w:multiLevelType w:val="hybridMultilevel"/>
    <w:tmpl w:val="12D6105C"/>
    <w:lvl w:ilvl="0" w:tplc="8BEED19E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A966FB"/>
    <w:multiLevelType w:val="hybridMultilevel"/>
    <w:tmpl w:val="58B8F1F0"/>
    <w:lvl w:ilvl="0" w:tplc="9334D8DE">
      <w:start w:val="1"/>
      <w:numFmt w:val="bullet"/>
      <w:lvlText w:val="-"/>
      <w:lvlJc w:val="left"/>
      <w:pPr>
        <w:ind w:left="97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>
    <w:nsid w:val="24D40F6A"/>
    <w:multiLevelType w:val="hybridMultilevel"/>
    <w:tmpl w:val="CD7A7846"/>
    <w:lvl w:ilvl="0" w:tplc="E0A80E8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">
    <w:nsid w:val="28661495"/>
    <w:multiLevelType w:val="hybridMultilevel"/>
    <w:tmpl w:val="7382C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310812"/>
    <w:multiLevelType w:val="hybridMultilevel"/>
    <w:tmpl w:val="71646EF6"/>
    <w:lvl w:ilvl="0" w:tplc="904C4678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61D3A24"/>
    <w:multiLevelType w:val="hybridMultilevel"/>
    <w:tmpl w:val="9A8C8226"/>
    <w:lvl w:ilvl="0" w:tplc="8B00EC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8542EEB"/>
    <w:multiLevelType w:val="hybridMultilevel"/>
    <w:tmpl w:val="B73E4910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40A6697"/>
    <w:multiLevelType w:val="hybridMultilevel"/>
    <w:tmpl w:val="0D0005C2"/>
    <w:lvl w:ilvl="0" w:tplc="904C467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56C77A0"/>
    <w:multiLevelType w:val="hybridMultilevel"/>
    <w:tmpl w:val="88B04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1E80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77052BB"/>
    <w:multiLevelType w:val="hybridMultilevel"/>
    <w:tmpl w:val="542CA38C"/>
    <w:lvl w:ilvl="0" w:tplc="B074C99E">
      <w:start w:val="1"/>
      <w:numFmt w:val="decimal"/>
      <w:lvlText w:val="%1)"/>
      <w:lvlJc w:val="left"/>
      <w:pPr>
        <w:ind w:left="9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6" w:hanging="180"/>
      </w:pPr>
      <w:rPr>
        <w:rFonts w:cs="Times New Roman"/>
      </w:rPr>
    </w:lvl>
  </w:abstractNum>
  <w:abstractNum w:abstractNumId="18">
    <w:nsid w:val="59BB1F95"/>
    <w:multiLevelType w:val="multilevel"/>
    <w:tmpl w:val="9F96A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D67026"/>
    <w:multiLevelType w:val="hybridMultilevel"/>
    <w:tmpl w:val="68BA31F4"/>
    <w:lvl w:ilvl="0" w:tplc="C96CBEF6">
      <w:start w:val="1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64444B2F"/>
    <w:multiLevelType w:val="hybridMultilevel"/>
    <w:tmpl w:val="A3DC99A6"/>
    <w:lvl w:ilvl="0" w:tplc="AFEECE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60639E3"/>
    <w:multiLevelType w:val="hybridMultilevel"/>
    <w:tmpl w:val="18DC2F42"/>
    <w:lvl w:ilvl="0" w:tplc="CEC27E3A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BE7B62"/>
    <w:multiLevelType w:val="multilevel"/>
    <w:tmpl w:val="7BC47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3">
    <w:nsid w:val="7603302B"/>
    <w:multiLevelType w:val="hybridMultilevel"/>
    <w:tmpl w:val="112657D4"/>
    <w:lvl w:ilvl="0" w:tplc="C674C222">
      <w:start w:val="3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76FE4856"/>
    <w:multiLevelType w:val="multilevel"/>
    <w:tmpl w:val="AD9A7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7FF3CD1"/>
    <w:multiLevelType w:val="hybridMultilevel"/>
    <w:tmpl w:val="8F2E64AE"/>
    <w:lvl w:ilvl="0" w:tplc="14C049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710AD"/>
    <w:multiLevelType w:val="hybridMultilevel"/>
    <w:tmpl w:val="C8921C16"/>
    <w:lvl w:ilvl="0" w:tplc="CA360F3C">
      <w:start w:val="1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23"/>
  </w:num>
  <w:num w:numId="12">
    <w:abstractNumId w:val="4"/>
  </w:num>
  <w:num w:numId="13">
    <w:abstractNumId w:val="6"/>
  </w:num>
  <w:num w:numId="14">
    <w:abstractNumId w:val="0"/>
  </w:num>
  <w:num w:numId="15">
    <w:abstractNumId w:val="20"/>
  </w:num>
  <w:num w:numId="16">
    <w:abstractNumId w:val="2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"/>
  </w:num>
  <w:num w:numId="21">
    <w:abstractNumId w:val="10"/>
  </w:num>
  <w:num w:numId="22">
    <w:abstractNumId w:val="5"/>
  </w:num>
  <w:num w:numId="23">
    <w:abstractNumId w:val="1"/>
  </w:num>
  <w:num w:numId="24">
    <w:abstractNumId w:val="18"/>
  </w:num>
  <w:num w:numId="25">
    <w:abstractNumId w:val="19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39"/>
    <w:rsid w:val="000016FA"/>
    <w:rsid w:val="00012B7F"/>
    <w:rsid w:val="000141E1"/>
    <w:rsid w:val="00017B9A"/>
    <w:rsid w:val="00021378"/>
    <w:rsid w:val="00024C36"/>
    <w:rsid w:val="000453B1"/>
    <w:rsid w:val="00046C0E"/>
    <w:rsid w:val="000577F8"/>
    <w:rsid w:val="000665EC"/>
    <w:rsid w:val="00071F84"/>
    <w:rsid w:val="0007429E"/>
    <w:rsid w:val="00084139"/>
    <w:rsid w:val="00086288"/>
    <w:rsid w:val="000977F9"/>
    <w:rsid w:val="000B6EB1"/>
    <w:rsid w:val="000D2639"/>
    <w:rsid w:val="000E4F7D"/>
    <w:rsid w:val="00101C33"/>
    <w:rsid w:val="00106419"/>
    <w:rsid w:val="00125E08"/>
    <w:rsid w:val="001269FD"/>
    <w:rsid w:val="00134C9B"/>
    <w:rsid w:val="00135851"/>
    <w:rsid w:val="00137FD2"/>
    <w:rsid w:val="00145E75"/>
    <w:rsid w:val="001540DA"/>
    <w:rsid w:val="00155C15"/>
    <w:rsid w:val="001A2B74"/>
    <w:rsid w:val="001A526D"/>
    <w:rsid w:val="001C01CD"/>
    <w:rsid w:val="001E1147"/>
    <w:rsid w:val="001E40EE"/>
    <w:rsid w:val="0020271F"/>
    <w:rsid w:val="00204DBA"/>
    <w:rsid w:val="0021061B"/>
    <w:rsid w:val="002275AE"/>
    <w:rsid w:val="00227F31"/>
    <w:rsid w:val="00235D36"/>
    <w:rsid w:val="00236E6F"/>
    <w:rsid w:val="0025262C"/>
    <w:rsid w:val="002567DC"/>
    <w:rsid w:val="00257F11"/>
    <w:rsid w:val="00264432"/>
    <w:rsid w:val="00265143"/>
    <w:rsid w:val="00274F19"/>
    <w:rsid w:val="002A06EC"/>
    <w:rsid w:val="002B3021"/>
    <w:rsid w:val="002B48F3"/>
    <w:rsid w:val="002E7BBD"/>
    <w:rsid w:val="002F0842"/>
    <w:rsid w:val="00300B59"/>
    <w:rsid w:val="00306E0B"/>
    <w:rsid w:val="00311218"/>
    <w:rsid w:val="00314211"/>
    <w:rsid w:val="00315925"/>
    <w:rsid w:val="00322FB6"/>
    <w:rsid w:val="0034476A"/>
    <w:rsid w:val="003715BF"/>
    <w:rsid w:val="003B1152"/>
    <w:rsid w:val="003B4F5C"/>
    <w:rsid w:val="003D4BAA"/>
    <w:rsid w:val="003F4CA0"/>
    <w:rsid w:val="003F5B03"/>
    <w:rsid w:val="00402733"/>
    <w:rsid w:val="004059F2"/>
    <w:rsid w:val="0041272A"/>
    <w:rsid w:val="00442B61"/>
    <w:rsid w:val="00476141"/>
    <w:rsid w:val="00484B3D"/>
    <w:rsid w:val="004A1661"/>
    <w:rsid w:val="004A20A3"/>
    <w:rsid w:val="004A3974"/>
    <w:rsid w:val="004D202D"/>
    <w:rsid w:val="004E276E"/>
    <w:rsid w:val="004E4829"/>
    <w:rsid w:val="004E6B0E"/>
    <w:rsid w:val="004F2A9D"/>
    <w:rsid w:val="005010A4"/>
    <w:rsid w:val="00511046"/>
    <w:rsid w:val="00514606"/>
    <w:rsid w:val="005179A9"/>
    <w:rsid w:val="005213AB"/>
    <w:rsid w:val="00532F6F"/>
    <w:rsid w:val="00535352"/>
    <w:rsid w:val="0053612F"/>
    <w:rsid w:val="00542B3A"/>
    <w:rsid w:val="00544872"/>
    <w:rsid w:val="0054647B"/>
    <w:rsid w:val="0056062D"/>
    <w:rsid w:val="00565971"/>
    <w:rsid w:val="005C70EF"/>
    <w:rsid w:val="005D3331"/>
    <w:rsid w:val="005E12DD"/>
    <w:rsid w:val="005F4EA7"/>
    <w:rsid w:val="00613C80"/>
    <w:rsid w:val="006235A7"/>
    <w:rsid w:val="00623E11"/>
    <w:rsid w:val="00637631"/>
    <w:rsid w:val="00651BAD"/>
    <w:rsid w:val="006527E9"/>
    <w:rsid w:val="00653DEF"/>
    <w:rsid w:val="00662EEE"/>
    <w:rsid w:val="00665D64"/>
    <w:rsid w:val="006774C5"/>
    <w:rsid w:val="006823DF"/>
    <w:rsid w:val="00684C78"/>
    <w:rsid w:val="00687253"/>
    <w:rsid w:val="00687B8D"/>
    <w:rsid w:val="006C5229"/>
    <w:rsid w:val="006C6996"/>
    <w:rsid w:val="006D09E2"/>
    <w:rsid w:val="006D72CA"/>
    <w:rsid w:val="006E141A"/>
    <w:rsid w:val="006E23BE"/>
    <w:rsid w:val="006E5663"/>
    <w:rsid w:val="00703543"/>
    <w:rsid w:val="007115EC"/>
    <w:rsid w:val="00712E79"/>
    <w:rsid w:val="00713A99"/>
    <w:rsid w:val="00716CFA"/>
    <w:rsid w:val="00716D2A"/>
    <w:rsid w:val="00722691"/>
    <w:rsid w:val="00724456"/>
    <w:rsid w:val="00727C9B"/>
    <w:rsid w:val="00732642"/>
    <w:rsid w:val="0073642B"/>
    <w:rsid w:val="007441C8"/>
    <w:rsid w:val="00755401"/>
    <w:rsid w:val="007616BB"/>
    <w:rsid w:val="00775ACE"/>
    <w:rsid w:val="00793475"/>
    <w:rsid w:val="007959BD"/>
    <w:rsid w:val="00797C59"/>
    <w:rsid w:val="007A2EF1"/>
    <w:rsid w:val="007B1C5D"/>
    <w:rsid w:val="007B4406"/>
    <w:rsid w:val="007B6BD1"/>
    <w:rsid w:val="007C0736"/>
    <w:rsid w:val="007C2660"/>
    <w:rsid w:val="007C736D"/>
    <w:rsid w:val="008000EC"/>
    <w:rsid w:val="00811072"/>
    <w:rsid w:val="00811EB6"/>
    <w:rsid w:val="008161BC"/>
    <w:rsid w:val="008300CB"/>
    <w:rsid w:val="00833B79"/>
    <w:rsid w:val="0084228B"/>
    <w:rsid w:val="00844E56"/>
    <w:rsid w:val="008477EB"/>
    <w:rsid w:val="00850491"/>
    <w:rsid w:val="00852A36"/>
    <w:rsid w:val="00856BD4"/>
    <w:rsid w:val="0086197E"/>
    <w:rsid w:val="00862983"/>
    <w:rsid w:val="00865760"/>
    <w:rsid w:val="00870A3F"/>
    <w:rsid w:val="00874FDC"/>
    <w:rsid w:val="0087520A"/>
    <w:rsid w:val="00883E40"/>
    <w:rsid w:val="008973EA"/>
    <w:rsid w:val="008B0B68"/>
    <w:rsid w:val="008B18A9"/>
    <w:rsid w:val="008B4F6B"/>
    <w:rsid w:val="008B7A75"/>
    <w:rsid w:val="008C25FD"/>
    <w:rsid w:val="008E3501"/>
    <w:rsid w:val="008F4CC9"/>
    <w:rsid w:val="008F6D5C"/>
    <w:rsid w:val="00903273"/>
    <w:rsid w:val="00910479"/>
    <w:rsid w:val="00915FFF"/>
    <w:rsid w:val="00933E3C"/>
    <w:rsid w:val="00934B2C"/>
    <w:rsid w:val="009419F5"/>
    <w:rsid w:val="0097126C"/>
    <w:rsid w:val="0097386B"/>
    <w:rsid w:val="009742DE"/>
    <w:rsid w:val="0097711F"/>
    <w:rsid w:val="00981122"/>
    <w:rsid w:val="00982B73"/>
    <w:rsid w:val="00985169"/>
    <w:rsid w:val="009A539B"/>
    <w:rsid w:val="009A53A5"/>
    <w:rsid w:val="009B560E"/>
    <w:rsid w:val="009D444C"/>
    <w:rsid w:val="009E575A"/>
    <w:rsid w:val="009E5D39"/>
    <w:rsid w:val="009F025B"/>
    <w:rsid w:val="00A11AF6"/>
    <w:rsid w:val="00A15FE4"/>
    <w:rsid w:val="00A222AD"/>
    <w:rsid w:val="00A23AE3"/>
    <w:rsid w:val="00A43819"/>
    <w:rsid w:val="00A6683D"/>
    <w:rsid w:val="00A75C52"/>
    <w:rsid w:val="00A77F80"/>
    <w:rsid w:val="00A81AC1"/>
    <w:rsid w:val="00A90CF9"/>
    <w:rsid w:val="00AB0FD6"/>
    <w:rsid w:val="00AB21D9"/>
    <w:rsid w:val="00AC369D"/>
    <w:rsid w:val="00AD7D22"/>
    <w:rsid w:val="00AF47A9"/>
    <w:rsid w:val="00AF5800"/>
    <w:rsid w:val="00B23787"/>
    <w:rsid w:val="00B2402B"/>
    <w:rsid w:val="00B37587"/>
    <w:rsid w:val="00B4441C"/>
    <w:rsid w:val="00B4677A"/>
    <w:rsid w:val="00B4757F"/>
    <w:rsid w:val="00B53977"/>
    <w:rsid w:val="00B64AC7"/>
    <w:rsid w:val="00B6506A"/>
    <w:rsid w:val="00B75025"/>
    <w:rsid w:val="00B85D38"/>
    <w:rsid w:val="00B8739D"/>
    <w:rsid w:val="00B9147A"/>
    <w:rsid w:val="00BB1313"/>
    <w:rsid w:val="00BD4D18"/>
    <w:rsid w:val="00BD7D6D"/>
    <w:rsid w:val="00BE7FDD"/>
    <w:rsid w:val="00BF5C8A"/>
    <w:rsid w:val="00C03CCB"/>
    <w:rsid w:val="00C12359"/>
    <w:rsid w:val="00C13E3C"/>
    <w:rsid w:val="00C200AA"/>
    <w:rsid w:val="00C21437"/>
    <w:rsid w:val="00C241DA"/>
    <w:rsid w:val="00C25BB4"/>
    <w:rsid w:val="00C33CDA"/>
    <w:rsid w:val="00C516AB"/>
    <w:rsid w:val="00C60815"/>
    <w:rsid w:val="00C61017"/>
    <w:rsid w:val="00C705E0"/>
    <w:rsid w:val="00C70C8A"/>
    <w:rsid w:val="00C76163"/>
    <w:rsid w:val="00C82423"/>
    <w:rsid w:val="00C83C9F"/>
    <w:rsid w:val="00C97DD5"/>
    <w:rsid w:val="00CB20FD"/>
    <w:rsid w:val="00CC0827"/>
    <w:rsid w:val="00CD547B"/>
    <w:rsid w:val="00CD6A34"/>
    <w:rsid w:val="00CE6495"/>
    <w:rsid w:val="00CE64E8"/>
    <w:rsid w:val="00CF4050"/>
    <w:rsid w:val="00D0240C"/>
    <w:rsid w:val="00D02D1A"/>
    <w:rsid w:val="00D154C4"/>
    <w:rsid w:val="00D3015B"/>
    <w:rsid w:val="00D451BE"/>
    <w:rsid w:val="00D457F2"/>
    <w:rsid w:val="00D53936"/>
    <w:rsid w:val="00D553A4"/>
    <w:rsid w:val="00D6035F"/>
    <w:rsid w:val="00D66664"/>
    <w:rsid w:val="00D735F3"/>
    <w:rsid w:val="00D73F49"/>
    <w:rsid w:val="00D80EBE"/>
    <w:rsid w:val="00D815AC"/>
    <w:rsid w:val="00D873FE"/>
    <w:rsid w:val="00D94F81"/>
    <w:rsid w:val="00D95523"/>
    <w:rsid w:val="00DA5A39"/>
    <w:rsid w:val="00DA7CA1"/>
    <w:rsid w:val="00DE2A46"/>
    <w:rsid w:val="00DE4175"/>
    <w:rsid w:val="00DF27ED"/>
    <w:rsid w:val="00DF38BD"/>
    <w:rsid w:val="00DF5346"/>
    <w:rsid w:val="00E051DC"/>
    <w:rsid w:val="00E22899"/>
    <w:rsid w:val="00E24CBD"/>
    <w:rsid w:val="00E357B2"/>
    <w:rsid w:val="00E35DE1"/>
    <w:rsid w:val="00E4239E"/>
    <w:rsid w:val="00E45F95"/>
    <w:rsid w:val="00E50037"/>
    <w:rsid w:val="00E53E11"/>
    <w:rsid w:val="00E6318E"/>
    <w:rsid w:val="00E65E7C"/>
    <w:rsid w:val="00E76656"/>
    <w:rsid w:val="00E836EB"/>
    <w:rsid w:val="00E85E13"/>
    <w:rsid w:val="00E90657"/>
    <w:rsid w:val="00E92247"/>
    <w:rsid w:val="00E92708"/>
    <w:rsid w:val="00EE021D"/>
    <w:rsid w:val="00EE052F"/>
    <w:rsid w:val="00EF587C"/>
    <w:rsid w:val="00EF6366"/>
    <w:rsid w:val="00F101D5"/>
    <w:rsid w:val="00F2030D"/>
    <w:rsid w:val="00F2072B"/>
    <w:rsid w:val="00F27D95"/>
    <w:rsid w:val="00FA03C9"/>
    <w:rsid w:val="00FA26F8"/>
    <w:rsid w:val="00FB66EF"/>
    <w:rsid w:val="00FB7EC4"/>
    <w:rsid w:val="00FC40BA"/>
    <w:rsid w:val="00FD6659"/>
    <w:rsid w:val="00F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3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D2639"/>
    <w:pPr>
      <w:ind w:firstLine="567"/>
      <w:jc w:val="both"/>
    </w:pPr>
  </w:style>
  <w:style w:type="paragraph" w:customStyle="1" w:styleId="Default">
    <w:name w:val="Default"/>
    <w:uiPriority w:val="99"/>
    <w:rsid w:val="000D26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CM3">
    <w:name w:val="CM3"/>
    <w:basedOn w:val="Default"/>
    <w:next w:val="Default"/>
    <w:uiPriority w:val="99"/>
    <w:rsid w:val="000D2639"/>
    <w:pPr>
      <w:spacing w:line="37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0D2639"/>
    <w:rPr>
      <w:color w:val="auto"/>
    </w:rPr>
  </w:style>
  <w:style w:type="paragraph" w:customStyle="1" w:styleId="CM4">
    <w:name w:val="CM4"/>
    <w:basedOn w:val="Default"/>
    <w:next w:val="Default"/>
    <w:uiPriority w:val="99"/>
    <w:rsid w:val="000D2639"/>
    <w:pPr>
      <w:spacing w:line="37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0D2639"/>
    <w:rPr>
      <w:color w:val="auto"/>
    </w:rPr>
  </w:style>
  <w:style w:type="character" w:customStyle="1" w:styleId="docheader">
    <w:name w:val="doc_header"/>
    <w:basedOn w:val="a0"/>
    <w:uiPriority w:val="99"/>
    <w:rsid w:val="000D2639"/>
    <w:rPr>
      <w:rFonts w:cs="Times New Roman"/>
    </w:rPr>
  </w:style>
  <w:style w:type="character" w:styleId="a4">
    <w:name w:val="Strong"/>
    <w:basedOn w:val="a0"/>
    <w:uiPriority w:val="22"/>
    <w:qFormat/>
    <w:rsid w:val="000D2639"/>
    <w:rPr>
      <w:rFonts w:cs="Times New Roman"/>
      <w:b/>
      <w:bCs/>
    </w:rPr>
  </w:style>
  <w:style w:type="character" w:customStyle="1" w:styleId="hps">
    <w:name w:val="hps"/>
    <w:basedOn w:val="a0"/>
    <w:uiPriority w:val="99"/>
    <w:rsid w:val="000D2639"/>
    <w:rPr>
      <w:rFonts w:cs="Times New Roman"/>
    </w:rPr>
  </w:style>
  <w:style w:type="paragraph" w:styleId="a5">
    <w:name w:val="caption"/>
    <w:basedOn w:val="a"/>
    <w:uiPriority w:val="99"/>
    <w:qFormat/>
    <w:rsid w:val="000D2639"/>
    <w:pPr>
      <w:jc w:val="center"/>
    </w:pPr>
    <w:rPr>
      <w:b/>
      <w:sz w:val="28"/>
      <w:szCs w:val="20"/>
      <w:lang w:val="ro-RO"/>
    </w:rPr>
  </w:style>
  <w:style w:type="paragraph" w:styleId="a6">
    <w:name w:val="Body Text"/>
    <w:basedOn w:val="a"/>
    <w:link w:val="a7"/>
    <w:uiPriority w:val="99"/>
    <w:rsid w:val="000D2639"/>
    <w:rPr>
      <w:szCs w:val="20"/>
      <w:lang w:val="ro-RO"/>
    </w:rPr>
  </w:style>
  <w:style w:type="character" w:customStyle="1" w:styleId="a7">
    <w:name w:val="Основной текст Знак"/>
    <w:basedOn w:val="a0"/>
    <w:link w:val="a6"/>
    <w:uiPriority w:val="99"/>
    <w:locked/>
    <w:rsid w:val="000D2639"/>
    <w:rPr>
      <w:rFonts w:ascii="Times New Roman" w:hAnsi="Times New Roman" w:cs="Times New Roman"/>
      <w:sz w:val="20"/>
      <w:szCs w:val="20"/>
      <w:lang w:val="ro-RO" w:eastAsia="ru-RU"/>
    </w:rPr>
  </w:style>
  <w:style w:type="character" w:customStyle="1" w:styleId="longtext">
    <w:name w:val="long_text"/>
    <w:basedOn w:val="a0"/>
    <w:uiPriority w:val="99"/>
    <w:rsid w:val="000D2639"/>
    <w:rPr>
      <w:rFonts w:cs="Times New Roman"/>
    </w:rPr>
  </w:style>
  <w:style w:type="paragraph" w:styleId="a8">
    <w:name w:val="Body Text Indent"/>
    <w:basedOn w:val="a"/>
    <w:link w:val="a9"/>
    <w:uiPriority w:val="99"/>
    <w:rsid w:val="000D263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0D2639"/>
    <w:rPr>
      <w:rFonts w:ascii="Calibri" w:eastAsia="Times New Roman" w:hAnsi="Calibri" w:cs="Times New Roman"/>
    </w:rPr>
  </w:style>
  <w:style w:type="paragraph" w:styleId="aa">
    <w:name w:val="List Paragraph"/>
    <w:basedOn w:val="a"/>
    <w:qFormat/>
    <w:rsid w:val="000D2639"/>
    <w:pPr>
      <w:spacing w:after="200" w:line="276" w:lineRule="auto"/>
      <w:ind w:left="720"/>
      <w:contextualSpacing/>
    </w:pPr>
    <w:rPr>
      <w:rFonts w:eastAsia="Calibri"/>
      <w:lang w:val="ro-RO" w:eastAsia="en-US"/>
    </w:rPr>
  </w:style>
  <w:style w:type="paragraph" w:customStyle="1" w:styleId="1">
    <w:name w:val="Абзац списка1"/>
    <w:basedOn w:val="a"/>
    <w:uiPriority w:val="99"/>
    <w:rsid w:val="000D2639"/>
    <w:pPr>
      <w:spacing w:after="200" w:line="276" w:lineRule="auto"/>
      <w:ind w:left="720"/>
      <w:contextualSpacing/>
    </w:pPr>
    <w:rPr>
      <w:rFonts w:eastAsia="Calibri"/>
      <w:lang w:val="ro-RO" w:eastAsia="en-US"/>
    </w:rPr>
  </w:style>
  <w:style w:type="paragraph" w:styleId="3">
    <w:name w:val="Body Text Indent 3"/>
    <w:basedOn w:val="a"/>
    <w:link w:val="30"/>
    <w:uiPriority w:val="99"/>
    <w:semiHidden/>
    <w:rsid w:val="000D26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0D2639"/>
    <w:rPr>
      <w:rFonts w:ascii="Times New Roman" w:hAnsi="Times New Roman" w:cs="Times New Roman"/>
      <w:sz w:val="16"/>
      <w:szCs w:val="16"/>
      <w:lang w:eastAsia="ru-RU"/>
    </w:rPr>
  </w:style>
  <w:style w:type="paragraph" w:styleId="ab">
    <w:name w:val="No Spacing"/>
    <w:uiPriority w:val="99"/>
    <w:qFormat/>
    <w:rsid w:val="000D2639"/>
    <w:rPr>
      <w:lang w:val="ru-RU"/>
    </w:rPr>
  </w:style>
  <w:style w:type="paragraph" w:customStyle="1" w:styleId="Normal">
    <w:name w:val="[Normal]"/>
    <w:uiPriority w:val="99"/>
    <w:rsid w:val="000D2639"/>
    <w:pPr>
      <w:suppressAutoHyphens/>
      <w:autoSpaceDE w:val="0"/>
    </w:pPr>
    <w:rPr>
      <w:rFonts w:ascii="Arial" w:hAnsi="Arial" w:cs="Arial"/>
      <w:sz w:val="24"/>
      <w:szCs w:val="24"/>
      <w:lang w:val="ru-RU" w:eastAsia="ar-SA"/>
    </w:rPr>
  </w:style>
  <w:style w:type="character" w:customStyle="1" w:styleId="apple-converted-space">
    <w:name w:val="apple-converted-space"/>
    <w:basedOn w:val="a0"/>
    <w:uiPriority w:val="99"/>
    <w:rsid w:val="000D2639"/>
    <w:rPr>
      <w:rFonts w:cs="Times New Roman"/>
    </w:rPr>
  </w:style>
  <w:style w:type="paragraph" w:customStyle="1" w:styleId="cn">
    <w:name w:val="cn"/>
    <w:basedOn w:val="a"/>
    <w:uiPriority w:val="99"/>
    <w:rsid w:val="000D2639"/>
    <w:pPr>
      <w:jc w:val="center"/>
    </w:pPr>
  </w:style>
  <w:style w:type="character" w:customStyle="1" w:styleId="docheader1">
    <w:name w:val="doc_header1"/>
    <w:basedOn w:val="a0"/>
    <w:uiPriority w:val="99"/>
    <w:rsid w:val="0086298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027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271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e">
    <w:name w:val="Основной текст_"/>
    <w:basedOn w:val="a0"/>
    <w:link w:val="10"/>
    <w:rsid w:val="000665EC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e"/>
    <w:rsid w:val="000665EC"/>
    <w:rPr>
      <w:rFonts w:ascii="Times New Roman" w:eastAsia="Times New Roman" w:hAnsi="Times New Roman"/>
      <w:b/>
      <w:bCs/>
      <w:spacing w:val="10"/>
      <w:sz w:val="21"/>
      <w:szCs w:val="21"/>
      <w:shd w:val="clear" w:color="auto" w:fill="FFFFFF"/>
    </w:rPr>
  </w:style>
  <w:style w:type="character" w:customStyle="1" w:styleId="af">
    <w:name w:val="Основной текст + Полужирный"/>
    <w:basedOn w:val="ae"/>
    <w:rsid w:val="000665EC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13pt">
    <w:name w:val="Основной текст + 13 pt;Полужирный;Курсив"/>
    <w:basedOn w:val="ae"/>
    <w:rsid w:val="000665EC"/>
    <w:rPr>
      <w:rFonts w:ascii="Times New Roman" w:eastAsia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115pt">
    <w:name w:val="Основной текст + 11;5 pt;Полужирный"/>
    <w:basedOn w:val="ae"/>
    <w:rsid w:val="000665E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e"/>
    <w:rsid w:val="000665EC"/>
    <w:pPr>
      <w:shd w:val="clear" w:color="auto" w:fill="FFFFFF"/>
      <w:spacing w:before="300" w:line="307" w:lineRule="exact"/>
      <w:jc w:val="both"/>
    </w:pPr>
    <w:rPr>
      <w:sz w:val="25"/>
      <w:szCs w:val="25"/>
      <w:lang w:val="en-US" w:eastAsia="en-US"/>
    </w:rPr>
  </w:style>
  <w:style w:type="character" w:customStyle="1" w:styleId="12">
    <w:name w:val="Заголовок №1 (2)_"/>
    <w:basedOn w:val="a0"/>
    <w:rsid w:val="00012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0">
    <w:name w:val="Основной текст + Курсив"/>
    <w:basedOn w:val="ae"/>
    <w:rsid w:val="00012B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12B7F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20">
    <w:name w:val="Заголовок №1 (2)"/>
    <w:basedOn w:val="12"/>
    <w:rsid w:val="00012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60">
    <w:name w:val="Основной текст (6)"/>
    <w:basedOn w:val="a"/>
    <w:link w:val="6"/>
    <w:rsid w:val="00012B7F"/>
    <w:pPr>
      <w:shd w:val="clear" w:color="auto" w:fill="FFFFFF"/>
      <w:spacing w:line="350" w:lineRule="exact"/>
      <w:jc w:val="both"/>
    </w:pPr>
    <w:rPr>
      <w:sz w:val="27"/>
      <w:szCs w:val="27"/>
      <w:lang w:val="en-US" w:eastAsia="en-US"/>
    </w:rPr>
  </w:style>
  <w:style w:type="paragraph" w:customStyle="1" w:styleId="tt">
    <w:name w:val="tt"/>
    <w:basedOn w:val="a"/>
    <w:rsid w:val="00E92247"/>
    <w:pPr>
      <w:jc w:val="center"/>
    </w:pPr>
    <w:rPr>
      <w:b/>
      <w:bCs/>
      <w:lang w:val="en-US" w:eastAsia="en-US"/>
    </w:rPr>
  </w:style>
  <w:style w:type="paragraph" w:customStyle="1" w:styleId="af1">
    <w:name w:val="Знак Знак Знак Знак Знак"/>
    <w:basedOn w:val="a"/>
    <w:next w:val="a"/>
    <w:rsid w:val="00E92247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FR2">
    <w:name w:val="FR2"/>
    <w:rsid w:val="00E92247"/>
    <w:pPr>
      <w:widowControl w:val="0"/>
      <w:snapToGrid w:val="0"/>
      <w:spacing w:before="100" w:line="360" w:lineRule="auto"/>
      <w:ind w:left="120"/>
    </w:pPr>
    <w:rPr>
      <w:rFonts w:ascii="Arial" w:eastAsia="Times New Roman" w:hAnsi="Arial"/>
      <w:sz w:val="24"/>
      <w:szCs w:val="20"/>
      <w:lang w:val="ro-RO" w:eastAsia="ru-RU"/>
    </w:rPr>
  </w:style>
  <w:style w:type="character" w:styleId="af2">
    <w:name w:val="annotation reference"/>
    <w:basedOn w:val="a0"/>
    <w:uiPriority w:val="99"/>
    <w:semiHidden/>
    <w:unhideWhenUsed/>
    <w:rsid w:val="008B4F6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B4F6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B4F6B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B4F6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B4F6B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styleId="af7">
    <w:name w:val="Hyperlink"/>
    <w:basedOn w:val="a0"/>
    <w:uiPriority w:val="99"/>
    <w:unhideWhenUsed/>
    <w:rsid w:val="00B4441C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B4441C"/>
    <w:rPr>
      <w:color w:val="800080" w:themeColor="followedHyperlink"/>
      <w:u w:val="single"/>
    </w:rPr>
  </w:style>
  <w:style w:type="paragraph" w:customStyle="1" w:styleId="CharCharCharCharCharCharCharChar">
    <w:name w:val="Char Char Знак Char Char Знак Char Char Знак Знак Знак Знак Char Char Знак Знак Знак"/>
    <w:basedOn w:val="a"/>
    <w:next w:val="a"/>
    <w:rsid w:val="0053612F"/>
    <w:pPr>
      <w:spacing w:after="160" w:line="240" w:lineRule="exact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3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D2639"/>
    <w:pPr>
      <w:ind w:firstLine="567"/>
      <w:jc w:val="both"/>
    </w:pPr>
  </w:style>
  <w:style w:type="paragraph" w:customStyle="1" w:styleId="Default">
    <w:name w:val="Default"/>
    <w:uiPriority w:val="99"/>
    <w:rsid w:val="000D26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CM3">
    <w:name w:val="CM3"/>
    <w:basedOn w:val="Default"/>
    <w:next w:val="Default"/>
    <w:uiPriority w:val="99"/>
    <w:rsid w:val="000D2639"/>
    <w:pPr>
      <w:spacing w:line="37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0D2639"/>
    <w:rPr>
      <w:color w:val="auto"/>
    </w:rPr>
  </w:style>
  <w:style w:type="paragraph" w:customStyle="1" w:styleId="CM4">
    <w:name w:val="CM4"/>
    <w:basedOn w:val="Default"/>
    <w:next w:val="Default"/>
    <w:uiPriority w:val="99"/>
    <w:rsid w:val="000D2639"/>
    <w:pPr>
      <w:spacing w:line="37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0D2639"/>
    <w:rPr>
      <w:color w:val="auto"/>
    </w:rPr>
  </w:style>
  <w:style w:type="character" w:customStyle="1" w:styleId="docheader">
    <w:name w:val="doc_header"/>
    <w:basedOn w:val="a0"/>
    <w:uiPriority w:val="99"/>
    <w:rsid w:val="000D2639"/>
    <w:rPr>
      <w:rFonts w:cs="Times New Roman"/>
    </w:rPr>
  </w:style>
  <w:style w:type="character" w:styleId="a4">
    <w:name w:val="Strong"/>
    <w:basedOn w:val="a0"/>
    <w:uiPriority w:val="22"/>
    <w:qFormat/>
    <w:rsid w:val="000D2639"/>
    <w:rPr>
      <w:rFonts w:cs="Times New Roman"/>
      <w:b/>
      <w:bCs/>
    </w:rPr>
  </w:style>
  <w:style w:type="character" w:customStyle="1" w:styleId="hps">
    <w:name w:val="hps"/>
    <w:basedOn w:val="a0"/>
    <w:uiPriority w:val="99"/>
    <w:rsid w:val="000D2639"/>
    <w:rPr>
      <w:rFonts w:cs="Times New Roman"/>
    </w:rPr>
  </w:style>
  <w:style w:type="paragraph" w:styleId="a5">
    <w:name w:val="caption"/>
    <w:basedOn w:val="a"/>
    <w:uiPriority w:val="99"/>
    <w:qFormat/>
    <w:rsid w:val="000D2639"/>
    <w:pPr>
      <w:jc w:val="center"/>
    </w:pPr>
    <w:rPr>
      <w:b/>
      <w:sz w:val="28"/>
      <w:szCs w:val="20"/>
      <w:lang w:val="ro-RO"/>
    </w:rPr>
  </w:style>
  <w:style w:type="paragraph" w:styleId="a6">
    <w:name w:val="Body Text"/>
    <w:basedOn w:val="a"/>
    <w:link w:val="a7"/>
    <w:uiPriority w:val="99"/>
    <w:rsid w:val="000D2639"/>
    <w:rPr>
      <w:szCs w:val="20"/>
      <w:lang w:val="ro-RO"/>
    </w:rPr>
  </w:style>
  <w:style w:type="character" w:customStyle="1" w:styleId="a7">
    <w:name w:val="Основной текст Знак"/>
    <w:basedOn w:val="a0"/>
    <w:link w:val="a6"/>
    <w:uiPriority w:val="99"/>
    <w:locked/>
    <w:rsid w:val="000D2639"/>
    <w:rPr>
      <w:rFonts w:ascii="Times New Roman" w:hAnsi="Times New Roman" w:cs="Times New Roman"/>
      <w:sz w:val="20"/>
      <w:szCs w:val="20"/>
      <w:lang w:val="ro-RO" w:eastAsia="ru-RU"/>
    </w:rPr>
  </w:style>
  <w:style w:type="character" w:customStyle="1" w:styleId="longtext">
    <w:name w:val="long_text"/>
    <w:basedOn w:val="a0"/>
    <w:uiPriority w:val="99"/>
    <w:rsid w:val="000D2639"/>
    <w:rPr>
      <w:rFonts w:cs="Times New Roman"/>
    </w:rPr>
  </w:style>
  <w:style w:type="paragraph" w:styleId="a8">
    <w:name w:val="Body Text Indent"/>
    <w:basedOn w:val="a"/>
    <w:link w:val="a9"/>
    <w:uiPriority w:val="99"/>
    <w:rsid w:val="000D263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0D2639"/>
    <w:rPr>
      <w:rFonts w:ascii="Calibri" w:eastAsia="Times New Roman" w:hAnsi="Calibri" w:cs="Times New Roman"/>
    </w:rPr>
  </w:style>
  <w:style w:type="paragraph" w:styleId="aa">
    <w:name w:val="List Paragraph"/>
    <w:basedOn w:val="a"/>
    <w:qFormat/>
    <w:rsid w:val="000D2639"/>
    <w:pPr>
      <w:spacing w:after="200" w:line="276" w:lineRule="auto"/>
      <w:ind w:left="720"/>
      <w:contextualSpacing/>
    </w:pPr>
    <w:rPr>
      <w:rFonts w:eastAsia="Calibri"/>
      <w:lang w:val="ro-RO" w:eastAsia="en-US"/>
    </w:rPr>
  </w:style>
  <w:style w:type="paragraph" w:customStyle="1" w:styleId="1">
    <w:name w:val="Абзац списка1"/>
    <w:basedOn w:val="a"/>
    <w:uiPriority w:val="99"/>
    <w:rsid w:val="000D2639"/>
    <w:pPr>
      <w:spacing w:after="200" w:line="276" w:lineRule="auto"/>
      <w:ind w:left="720"/>
      <w:contextualSpacing/>
    </w:pPr>
    <w:rPr>
      <w:rFonts w:eastAsia="Calibri"/>
      <w:lang w:val="ro-RO" w:eastAsia="en-US"/>
    </w:rPr>
  </w:style>
  <w:style w:type="paragraph" w:styleId="3">
    <w:name w:val="Body Text Indent 3"/>
    <w:basedOn w:val="a"/>
    <w:link w:val="30"/>
    <w:uiPriority w:val="99"/>
    <w:semiHidden/>
    <w:rsid w:val="000D26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0D2639"/>
    <w:rPr>
      <w:rFonts w:ascii="Times New Roman" w:hAnsi="Times New Roman" w:cs="Times New Roman"/>
      <w:sz w:val="16"/>
      <w:szCs w:val="16"/>
      <w:lang w:eastAsia="ru-RU"/>
    </w:rPr>
  </w:style>
  <w:style w:type="paragraph" w:styleId="ab">
    <w:name w:val="No Spacing"/>
    <w:uiPriority w:val="99"/>
    <w:qFormat/>
    <w:rsid w:val="000D2639"/>
    <w:rPr>
      <w:lang w:val="ru-RU"/>
    </w:rPr>
  </w:style>
  <w:style w:type="paragraph" w:customStyle="1" w:styleId="Normal">
    <w:name w:val="[Normal]"/>
    <w:uiPriority w:val="99"/>
    <w:rsid w:val="000D2639"/>
    <w:pPr>
      <w:suppressAutoHyphens/>
      <w:autoSpaceDE w:val="0"/>
    </w:pPr>
    <w:rPr>
      <w:rFonts w:ascii="Arial" w:hAnsi="Arial" w:cs="Arial"/>
      <w:sz w:val="24"/>
      <w:szCs w:val="24"/>
      <w:lang w:val="ru-RU" w:eastAsia="ar-SA"/>
    </w:rPr>
  </w:style>
  <w:style w:type="character" w:customStyle="1" w:styleId="apple-converted-space">
    <w:name w:val="apple-converted-space"/>
    <w:basedOn w:val="a0"/>
    <w:uiPriority w:val="99"/>
    <w:rsid w:val="000D2639"/>
    <w:rPr>
      <w:rFonts w:cs="Times New Roman"/>
    </w:rPr>
  </w:style>
  <w:style w:type="paragraph" w:customStyle="1" w:styleId="cn">
    <w:name w:val="cn"/>
    <w:basedOn w:val="a"/>
    <w:uiPriority w:val="99"/>
    <w:rsid w:val="000D2639"/>
    <w:pPr>
      <w:jc w:val="center"/>
    </w:pPr>
  </w:style>
  <w:style w:type="character" w:customStyle="1" w:styleId="docheader1">
    <w:name w:val="doc_header1"/>
    <w:basedOn w:val="a0"/>
    <w:uiPriority w:val="99"/>
    <w:rsid w:val="0086298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027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271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e">
    <w:name w:val="Основной текст_"/>
    <w:basedOn w:val="a0"/>
    <w:link w:val="10"/>
    <w:rsid w:val="000665EC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e"/>
    <w:rsid w:val="000665EC"/>
    <w:rPr>
      <w:rFonts w:ascii="Times New Roman" w:eastAsia="Times New Roman" w:hAnsi="Times New Roman"/>
      <w:b/>
      <w:bCs/>
      <w:spacing w:val="10"/>
      <w:sz w:val="21"/>
      <w:szCs w:val="21"/>
      <w:shd w:val="clear" w:color="auto" w:fill="FFFFFF"/>
    </w:rPr>
  </w:style>
  <w:style w:type="character" w:customStyle="1" w:styleId="af">
    <w:name w:val="Основной текст + Полужирный"/>
    <w:basedOn w:val="ae"/>
    <w:rsid w:val="000665EC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13pt">
    <w:name w:val="Основной текст + 13 pt;Полужирный;Курсив"/>
    <w:basedOn w:val="ae"/>
    <w:rsid w:val="000665EC"/>
    <w:rPr>
      <w:rFonts w:ascii="Times New Roman" w:eastAsia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115pt">
    <w:name w:val="Основной текст + 11;5 pt;Полужирный"/>
    <w:basedOn w:val="ae"/>
    <w:rsid w:val="000665E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e"/>
    <w:rsid w:val="000665EC"/>
    <w:pPr>
      <w:shd w:val="clear" w:color="auto" w:fill="FFFFFF"/>
      <w:spacing w:before="300" w:line="307" w:lineRule="exact"/>
      <w:jc w:val="both"/>
    </w:pPr>
    <w:rPr>
      <w:sz w:val="25"/>
      <w:szCs w:val="25"/>
      <w:lang w:val="en-US" w:eastAsia="en-US"/>
    </w:rPr>
  </w:style>
  <w:style w:type="character" w:customStyle="1" w:styleId="12">
    <w:name w:val="Заголовок №1 (2)_"/>
    <w:basedOn w:val="a0"/>
    <w:rsid w:val="00012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0">
    <w:name w:val="Основной текст + Курсив"/>
    <w:basedOn w:val="ae"/>
    <w:rsid w:val="00012B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12B7F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20">
    <w:name w:val="Заголовок №1 (2)"/>
    <w:basedOn w:val="12"/>
    <w:rsid w:val="00012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60">
    <w:name w:val="Основной текст (6)"/>
    <w:basedOn w:val="a"/>
    <w:link w:val="6"/>
    <w:rsid w:val="00012B7F"/>
    <w:pPr>
      <w:shd w:val="clear" w:color="auto" w:fill="FFFFFF"/>
      <w:spacing w:line="350" w:lineRule="exact"/>
      <w:jc w:val="both"/>
    </w:pPr>
    <w:rPr>
      <w:sz w:val="27"/>
      <w:szCs w:val="27"/>
      <w:lang w:val="en-US" w:eastAsia="en-US"/>
    </w:rPr>
  </w:style>
  <w:style w:type="paragraph" w:customStyle="1" w:styleId="tt">
    <w:name w:val="tt"/>
    <w:basedOn w:val="a"/>
    <w:rsid w:val="00E92247"/>
    <w:pPr>
      <w:jc w:val="center"/>
    </w:pPr>
    <w:rPr>
      <w:b/>
      <w:bCs/>
      <w:lang w:val="en-US" w:eastAsia="en-US"/>
    </w:rPr>
  </w:style>
  <w:style w:type="paragraph" w:customStyle="1" w:styleId="af1">
    <w:name w:val="Знак Знак Знак Знак Знак"/>
    <w:basedOn w:val="a"/>
    <w:next w:val="a"/>
    <w:rsid w:val="00E92247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FR2">
    <w:name w:val="FR2"/>
    <w:rsid w:val="00E92247"/>
    <w:pPr>
      <w:widowControl w:val="0"/>
      <w:snapToGrid w:val="0"/>
      <w:spacing w:before="100" w:line="360" w:lineRule="auto"/>
      <w:ind w:left="120"/>
    </w:pPr>
    <w:rPr>
      <w:rFonts w:ascii="Arial" w:eastAsia="Times New Roman" w:hAnsi="Arial"/>
      <w:sz w:val="24"/>
      <w:szCs w:val="20"/>
      <w:lang w:val="ro-RO" w:eastAsia="ru-RU"/>
    </w:rPr>
  </w:style>
  <w:style w:type="character" w:styleId="af2">
    <w:name w:val="annotation reference"/>
    <w:basedOn w:val="a0"/>
    <w:uiPriority w:val="99"/>
    <w:semiHidden/>
    <w:unhideWhenUsed/>
    <w:rsid w:val="008B4F6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B4F6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B4F6B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B4F6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B4F6B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styleId="af7">
    <w:name w:val="Hyperlink"/>
    <w:basedOn w:val="a0"/>
    <w:uiPriority w:val="99"/>
    <w:unhideWhenUsed/>
    <w:rsid w:val="00B4441C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B4441C"/>
    <w:rPr>
      <w:color w:val="800080" w:themeColor="followedHyperlink"/>
      <w:u w:val="single"/>
    </w:rPr>
  </w:style>
  <w:style w:type="paragraph" w:customStyle="1" w:styleId="CharCharCharCharCharCharCharChar">
    <w:name w:val="Char Char Знак Char Char Знак Char Char Знак Знак Знак Знак Char Char Знак Знак Знак"/>
    <w:basedOn w:val="a"/>
    <w:next w:val="a"/>
    <w:rsid w:val="0053612F"/>
    <w:pPr>
      <w:spacing w:after="160" w:line="240" w:lineRule="exact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F4260-8B74-481D-86AB-FCB4A9F8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4</Pages>
  <Words>1554</Words>
  <Characters>8862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Analiza avizelor la proiectul Hotărîri de Guvern cu privire la reorganizarea prin fuziune (contopire) a</vt:lpstr>
      <vt:lpstr>Analiza avizelor la proiectul Hotărîri de Guvern cu privire la reorganizarea prin fuziune (contopire) a</vt:lpstr>
    </vt:vector>
  </TitlesOfParts>
  <Company>SPecialiST RePack</Company>
  <LinksUpToDate>false</LinksUpToDate>
  <CharactersWithSpaces>10396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avizelor la proiectul Hotărîri de Guvern cu privire la reorganizarea prin fuziune (contopire) a</dc:title>
  <dc:creator>PIU01</dc:creator>
  <cp:lastModifiedBy>Alisa</cp:lastModifiedBy>
  <cp:revision>144</cp:revision>
  <cp:lastPrinted>2016-12-16T08:20:00Z</cp:lastPrinted>
  <dcterms:created xsi:type="dcterms:W3CDTF">2016-07-21T10:20:00Z</dcterms:created>
  <dcterms:modified xsi:type="dcterms:W3CDTF">2016-12-16T08:32:00Z</dcterms:modified>
</cp:coreProperties>
</file>