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FB" w:rsidRPr="00054EF7" w:rsidRDefault="00FC7DFB" w:rsidP="0011558E">
      <w:pPr>
        <w:rPr>
          <w:sz w:val="28"/>
          <w:szCs w:val="28"/>
        </w:rPr>
      </w:pPr>
    </w:p>
    <w:p w:rsidR="00FC7DFB" w:rsidRPr="00054EF7" w:rsidRDefault="00FC7DFB" w:rsidP="0011558E">
      <w:pPr>
        <w:jc w:val="center"/>
        <w:rPr>
          <w:b/>
          <w:sz w:val="28"/>
          <w:szCs w:val="28"/>
        </w:rPr>
      </w:pPr>
      <w:r w:rsidRPr="00054EF7">
        <w:rPr>
          <w:b/>
          <w:sz w:val="28"/>
          <w:szCs w:val="28"/>
        </w:rPr>
        <w:t>NOTĂ INFORMATIVĂ</w:t>
      </w:r>
    </w:p>
    <w:p w:rsidR="00FC7DFB" w:rsidRPr="00054EF7" w:rsidRDefault="00FC7DFB" w:rsidP="002D2384">
      <w:pPr>
        <w:jc w:val="center"/>
        <w:rPr>
          <w:bCs/>
          <w:i/>
          <w:sz w:val="28"/>
          <w:szCs w:val="28"/>
          <w:lang w:eastAsia="ro-RO"/>
        </w:rPr>
      </w:pPr>
      <w:r w:rsidRPr="00054EF7">
        <w:rPr>
          <w:bCs/>
          <w:i/>
          <w:sz w:val="28"/>
          <w:szCs w:val="28"/>
          <w:lang w:eastAsia="ro-RO"/>
        </w:rPr>
        <w:t xml:space="preserve">la proiectul hotărîrii Guvernului privind aprobarea modificărilor </w:t>
      </w:r>
    </w:p>
    <w:p w:rsidR="00FC7DFB" w:rsidRPr="00054EF7" w:rsidRDefault="00FC7DFB" w:rsidP="002D2384">
      <w:pPr>
        <w:jc w:val="center"/>
        <w:rPr>
          <w:bCs/>
          <w:i/>
          <w:sz w:val="28"/>
          <w:szCs w:val="28"/>
          <w:lang w:eastAsia="ro-RO"/>
        </w:rPr>
      </w:pPr>
      <w:r w:rsidRPr="00054EF7">
        <w:rPr>
          <w:bCs/>
          <w:i/>
          <w:sz w:val="28"/>
          <w:szCs w:val="28"/>
          <w:lang w:eastAsia="ro-RO"/>
        </w:rPr>
        <w:t xml:space="preserve">ce se operează în unele Hotărîri ale Guvernului </w:t>
      </w:r>
    </w:p>
    <w:p w:rsidR="00FC7DFB" w:rsidRPr="00054EF7" w:rsidRDefault="00FC7DFB" w:rsidP="002D2384">
      <w:pPr>
        <w:tabs>
          <w:tab w:val="left" w:pos="993"/>
        </w:tabs>
        <w:ind w:left="720"/>
        <w:rPr>
          <w:sz w:val="26"/>
          <w:szCs w:val="26"/>
          <w:highlight w:val="yellow"/>
        </w:rPr>
      </w:pPr>
    </w:p>
    <w:p w:rsidR="00FC7DFB" w:rsidRPr="00054EF7" w:rsidRDefault="00FC7DFB" w:rsidP="00191D4E">
      <w:pPr>
        <w:ind w:firstLine="708"/>
        <w:jc w:val="both"/>
        <w:rPr>
          <w:sz w:val="28"/>
          <w:szCs w:val="28"/>
        </w:rPr>
      </w:pPr>
      <w:r w:rsidRPr="00054EF7">
        <w:rPr>
          <w:sz w:val="28"/>
          <w:szCs w:val="28"/>
        </w:rPr>
        <w:t xml:space="preserve">Securitatea traficului rutier prezintă un interes public major, fapt pentru care asigurarea securităţii în aspectul dat este o obligaţie pozitivă a statului. </w:t>
      </w:r>
    </w:p>
    <w:p w:rsidR="00FC7DFB" w:rsidRPr="00054EF7" w:rsidRDefault="00FC7DFB" w:rsidP="00191D4E">
      <w:pPr>
        <w:ind w:firstLine="708"/>
        <w:jc w:val="both"/>
        <w:rPr>
          <w:sz w:val="28"/>
          <w:szCs w:val="28"/>
        </w:rPr>
      </w:pPr>
      <w:r w:rsidRPr="00054EF7">
        <w:rPr>
          <w:sz w:val="28"/>
          <w:szCs w:val="28"/>
        </w:rPr>
        <w:t xml:space="preserve">Unitatea de transport ca participant la trafic, reprezintă o sursă de pericol sporit, conducătorul auto având obligaţia de a respecta anumite reglementări impuse de autorităţi în evitarea riscurilor rezultate din utilizarea autovehiculelor. </w:t>
      </w:r>
    </w:p>
    <w:p w:rsidR="00FC7DFB" w:rsidRPr="00054EF7" w:rsidRDefault="00FC7DFB" w:rsidP="002D2384">
      <w:pPr>
        <w:pStyle w:val="NormalWeb"/>
        <w:ind w:firstLine="708"/>
        <w:rPr>
          <w:sz w:val="28"/>
          <w:szCs w:val="28"/>
        </w:rPr>
      </w:pPr>
      <w:r w:rsidRPr="00054EF7">
        <w:rPr>
          <w:sz w:val="28"/>
          <w:szCs w:val="28"/>
        </w:rPr>
        <w:t xml:space="preserve">În contextul dezideratului Republicii Moldova privind aderarea la Uniunea Europeană, un rol important revine modernizării sectorului transporturilor, în special sub aspectul sporirii securităţii traficului rutier. </w:t>
      </w:r>
    </w:p>
    <w:p w:rsidR="00FC7DFB" w:rsidRPr="00054EF7" w:rsidRDefault="00FC7DFB" w:rsidP="00E2743A">
      <w:pPr>
        <w:pStyle w:val="NormalWeb"/>
        <w:ind w:firstLine="708"/>
        <w:rPr>
          <w:sz w:val="28"/>
          <w:szCs w:val="28"/>
        </w:rPr>
      </w:pPr>
      <w:r w:rsidRPr="00054EF7">
        <w:rPr>
          <w:sz w:val="28"/>
          <w:szCs w:val="28"/>
        </w:rPr>
        <w:t>În luna martie a</w:t>
      </w:r>
      <w:r>
        <w:rPr>
          <w:sz w:val="28"/>
          <w:szCs w:val="28"/>
        </w:rPr>
        <w:t xml:space="preserve"> anului 2010, Republica Moldova, semnînd</w:t>
      </w:r>
      <w:r w:rsidRPr="00054EF7">
        <w:rPr>
          <w:sz w:val="28"/>
          <w:szCs w:val="28"/>
        </w:rPr>
        <w:t xml:space="preserve"> rezoluţia ONU privind declararea anilor 2011-2020 ,,Decada acţiunilor </w:t>
      </w:r>
      <w:r>
        <w:rPr>
          <w:sz w:val="28"/>
          <w:szCs w:val="28"/>
        </w:rPr>
        <w:t xml:space="preserve">în domeniul siguranţei rutiere”, </w:t>
      </w:r>
      <w:r w:rsidRPr="00054EF7">
        <w:rPr>
          <w:sz w:val="28"/>
          <w:szCs w:val="28"/>
        </w:rPr>
        <w:t>şi-a asumat responsabilităţile ce decurg din aceasta, printre care şi obiectivul de a reduce cu 50% numărul deceselor ca urmare a accidentelor pînă în anul 2020.</w:t>
      </w:r>
    </w:p>
    <w:p w:rsidR="00FC7DFB" w:rsidRPr="00054EF7" w:rsidRDefault="00FC7DFB" w:rsidP="002D2384">
      <w:pPr>
        <w:pStyle w:val="BodyText"/>
        <w:spacing w:after="0"/>
        <w:ind w:firstLine="708"/>
        <w:jc w:val="both"/>
        <w:rPr>
          <w:sz w:val="28"/>
          <w:szCs w:val="28"/>
        </w:rPr>
      </w:pPr>
      <w:r w:rsidRPr="00054EF7">
        <w:rPr>
          <w:sz w:val="28"/>
          <w:szCs w:val="28"/>
        </w:rPr>
        <w:t>Reieşind din seriozitatea problemelor cu care se confruntă St</w:t>
      </w:r>
      <w:r>
        <w:rPr>
          <w:sz w:val="28"/>
          <w:szCs w:val="28"/>
        </w:rPr>
        <w:t xml:space="preserve">atul la acest capitol, Guvernul, </w:t>
      </w:r>
      <w:r w:rsidRPr="00054EF7">
        <w:rPr>
          <w:sz w:val="28"/>
          <w:szCs w:val="28"/>
        </w:rPr>
        <w:t xml:space="preserve">prin Hotărîrea nr.1214 din 27 decembrie </w:t>
      </w:r>
      <w:smartTag w:uri="urn:schemas-microsoft-com:office:smarttags" w:element="metricconverter">
        <w:smartTagPr>
          <w:attr w:name="ProductID" w:val="2014, a"/>
        </w:smartTagPr>
        <w:r w:rsidRPr="00054EF7">
          <w:rPr>
            <w:sz w:val="28"/>
            <w:szCs w:val="28"/>
          </w:rPr>
          <w:t>2010, a</w:t>
        </w:r>
      </w:smartTag>
      <w:r w:rsidRPr="00054EF7">
        <w:rPr>
          <w:sz w:val="28"/>
          <w:szCs w:val="28"/>
        </w:rPr>
        <w:t xml:space="preserve"> aprobat Strategia naţională pentru siguranţă rutier, care stabileşte drept obiectiv prioritar constituirea unei baze pentru o politică de siguranţă rutieră eficientă şi durabilă, ce include organizarea domeniului siguranţei rutiere din punct de vedere strategic şi instituţional, crearea unui sistem eficient de management în domeniul siguranţei traficului rutieră, </w:t>
      </w:r>
      <w:r w:rsidRPr="00054EF7">
        <w:rPr>
          <w:iCs/>
          <w:sz w:val="28"/>
          <w:szCs w:val="28"/>
        </w:rPr>
        <w:t>implementarea sistemelor automatizate de supraveghere şi aplicare a amenzilor în traficul rutier</w:t>
      </w:r>
      <w:r w:rsidRPr="00054EF7">
        <w:rPr>
          <w:sz w:val="28"/>
          <w:szCs w:val="28"/>
        </w:rPr>
        <w:t xml:space="preserve">, precum şi creşterea gradului de conştientizare a siguranţei rutiere la nivel naţional. </w:t>
      </w:r>
    </w:p>
    <w:p w:rsidR="00FC7DFB" w:rsidRPr="00054EF7" w:rsidRDefault="00FC7DFB" w:rsidP="00191D4E">
      <w:pPr>
        <w:ind w:firstLine="708"/>
        <w:jc w:val="both"/>
        <w:rPr>
          <w:sz w:val="28"/>
          <w:szCs w:val="28"/>
        </w:rPr>
      </w:pPr>
      <w:r w:rsidRPr="00054EF7">
        <w:rPr>
          <w:bCs/>
          <w:sz w:val="28"/>
          <w:szCs w:val="28"/>
          <w:lang w:eastAsia="ro-RO"/>
        </w:rPr>
        <w:t xml:space="preserve">Totodată, notăm că </w:t>
      </w:r>
      <w:r w:rsidRPr="00054EF7">
        <w:rPr>
          <w:sz w:val="28"/>
          <w:szCs w:val="28"/>
        </w:rPr>
        <w:t xml:space="preserve">prin Hotărîrea Guvernului nr. 493 din 14 august </w:t>
      </w:r>
      <w:smartTag w:uri="urn:schemas-microsoft-com:office:smarttags" w:element="metricconverter">
        <w:smartTagPr>
          <w:attr w:name="ProductID" w:val="2014, a"/>
        </w:smartTagPr>
        <w:r w:rsidRPr="00054EF7">
          <w:rPr>
            <w:sz w:val="28"/>
            <w:szCs w:val="28"/>
          </w:rPr>
          <w:t>2009, a</w:t>
        </w:r>
      </w:smartTag>
      <w:r w:rsidRPr="00054EF7">
        <w:rPr>
          <w:sz w:val="28"/>
          <w:szCs w:val="28"/>
        </w:rPr>
        <w:t xml:space="preserve"> fost aprobat Regulamentul privind evidenţa contravenţiilor în domeniul circulaţiei rutiere şi asigurarea accesului titularului permisului de conducere la informaţia despre punctele de penalizare, act normativ ce reglementează modalitatea de evidenţa </w:t>
      </w:r>
      <w:r>
        <w:rPr>
          <w:sz w:val="28"/>
          <w:szCs w:val="28"/>
        </w:rPr>
        <w:t xml:space="preserve">a </w:t>
      </w:r>
      <w:r w:rsidRPr="00054EF7">
        <w:rPr>
          <w:sz w:val="28"/>
          <w:szCs w:val="28"/>
        </w:rPr>
        <w:t xml:space="preserve">contravenţiilor constatate cu ajutorul mijloacelor tehnice certificate sau al mijloacelor tehnice omologate şi verificate metrologic în cadrul conturului evidenţei automatizate a contravenţiilor al Sistemului informaţional automatizat „Registrul informaţiei </w:t>
      </w:r>
      <w:r>
        <w:rPr>
          <w:sz w:val="28"/>
          <w:szCs w:val="28"/>
        </w:rPr>
        <w:t>criminalistice şi criminologice</w:t>
      </w:r>
      <w:r w:rsidRPr="00054EF7">
        <w:rPr>
          <w:sz w:val="28"/>
          <w:szCs w:val="28"/>
        </w:rPr>
        <w:t xml:space="preserve">”. </w:t>
      </w:r>
    </w:p>
    <w:p w:rsidR="00FC7DFB" w:rsidRPr="00054EF7" w:rsidRDefault="00FC7DFB" w:rsidP="00191D4E">
      <w:pPr>
        <w:tabs>
          <w:tab w:val="left" w:pos="0"/>
        </w:tabs>
        <w:jc w:val="both"/>
        <w:rPr>
          <w:sz w:val="28"/>
          <w:szCs w:val="28"/>
        </w:rPr>
      </w:pPr>
      <w:r w:rsidRPr="00054EF7">
        <w:rPr>
          <w:sz w:val="28"/>
          <w:szCs w:val="28"/>
        </w:rPr>
        <w:tab/>
        <w:t xml:space="preserve">Prin Hotărîrea Guvernului nr. 965 din 17 noiembrie </w:t>
      </w:r>
      <w:smartTag w:uri="urn:schemas-microsoft-com:office:smarttags" w:element="metricconverter">
        <w:smartTagPr>
          <w:attr w:name="ProductID" w:val="2014 a"/>
        </w:smartTagPr>
        <w:r>
          <w:rPr>
            <w:sz w:val="28"/>
            <w:szCs w:val="28"/>
          </w:rPr>
          <w:t>2014</w:t>
        </w:r>
        <w:r w:rsidRPr="00054EF7">
          <w:rPr>
            <w:sz w:val="28"/>
            <w:szCs w:val="28"/>
          </w:rPr>
          <w:t xml:space="preserve"> a</w:t>
        </w:r>
      </w:smartTag>
      <w:r w:rsidRPr="00054EF7">
        <w:rPr>
          <w:sz w:val="28"/>
          <w:szCs w:val="28"/>
        </w:rPr>
        <w:t xml:space="preserve"> fost aprobat Regulamentul privind organizarea și funcționarea Sistemului automatizat de supraveghere a circulației rutiere ”Controlul traficului” și Concepției sistemului automatizat de supraveghere a circulației rutiere  „Controlul traficului”. </w:t>
      </w:r>
    </w:p>
    <w:p w:rsidR="00FC7DFB" w:rsidRPr="00054EF7" w:rsidRDefault="00FC7DFB" w:rsidP="00191D4E">
      <w:pPr>
        <w:ind w:firstLine="708"/>
        <w:jc w:val="both"/>
        <w:rPr>
          <w:sz w:val="28"/>
          <w:szCs w:val="28"/>
        </w:rPr>
      </w:pPr>
      <w:r w:rsidRPr="00054EF7">
        <w:rPr>
          <w:sz w:val="28"/>
          <w:szCs w:val="28"/>
        </w:rPr>
        <w:t>Respectiv, tendința organelor de drept de combatere a numărului accidentelor rutiere și contravențiilor în domeniul siguranț</w:t>
      </w:r>
      <w:r>
        <w:rPr>
          <w:sz w:val="28"/>
          <w:szCs w:val="28"/>
        </w:rPr>
        <w:t>ei rutiere</w:t>
      </w:r>
      <w:r w:rsidRPr="00054EF7">
        <w:rPr>
          <w:sz w:val="28"/>
          <w:szCs w:val="28"/>
        </w:rPr>
        <w:t xml:space="preserve"> este în continuă perfecționare.</w:t>
      </w:r>
    </w:p>
    <w:p w:rsidR="00FC7DFB" w:rsidRPr="00054EF7" w:rsidRDefault="00FC7DFB" w:rsidP="00191D4E">
      <w:pPr>
        <w:ind w:firstLine="708"/>
        <w:jc w:val="both"/>
        <w:rPr>
          <w:sz w:val="28"/>
          <w:szCs w:val="28"/>
        </w:rPr>
      </w:pPr>
      <w:r w:rsidRPr="00054EF7">
        <w:rPr>
          <w:sz w:val="28"/>
          <w:szCs w:val="28"/>
        </w:rPr>
        <w:t>Însă, între constatarea/examinarea contravențiilor și rata de achitare a sancțiunilor aplicate conform normelor Codului contravenț</w:t>
      </w:r>
      <w:r>
        <w:rPr>
          <w:sz w:val="28"/>
          <w:szCs w:val="28"/>
        </w:rPr>
        <w:t>ional</w:t>
      </w:r>
      <w:r w:rsidRPr="00054EF7">
        <w:rPr>
          <w:sz w:val="28"/>
          <w:szCs w:val="28"/>
        </w:rPr>
        <w:t xml:space="preserve"> există o disproporț</w:t>
      </w:r>
      <w:r>
        <w:rPr>
          <w:sz w:val="28"/>
          <w:szCs w:val="28"/>
        </w:rPr>
        <w:t>ionalitate impunătoare</w:t>
      </w:r>
      <w:r w:rsidRPr="00054EF7">
        <w:rPr>
          <w:sz w:val="28"/>
          <w:szCs w:val="28"/>
        </w:rPr>
        <w:t xml:space="preserve"> care se datorează inaplicabilității normelor juridice, precum și lipsa unui mecanism eficient de determinare a conducătorilor auto la achitarea amenzilor rutiere, eschivîndu-se de la achitarea acestora.</w:t>
      </w:r>
    </w:p>
    <w:p w:rsidR="00FC7DFB" w:rsidRPr="00054EF7" w:rsidRDefault="00FC7DFB" w:rsidP="00191D4E">
      <w:pPr>
        <w:ind w:firstLine="708"/>
        <w:jc w:val="both"/>
        <w:rPr>
          <w:bCs/>
          <w:sz w:val="28"/>
          <w:szCs w:val="28"/>
        </w:rPr>
      </w:pPr>
      <w:r w:rsidRPr="00054EF7">
        <w:rPr>
          <w:sz w:val="28"/>
          <w:szCs w:val="28"/>
        </w:rPr>
        <w:t>Este de remarcat faptul că, în cazul contravențiilor constatate cu ajutorul mijloacelor tehnice certificate sau mijloacelor tehnice omologate şi verificate metrologic ce funcţionează în regim automatizat, conducătorul este obligat să comunice d</w:t>
      </w:r>
      <w:r w:rsidRPr="00054EF7">
        <w:rPr>
          <w:bCs/>
          <w:sz w:val="28"/>
          <w:szCs w:val="28"/>
        </w:rPr>
        <w:t xml:space="preserve">atele privind identitatea persoanei căreia i-a încredinţat autovehiculul, corespunzător prevederilor art. 234 Cod contravențional. </w:t>
      </w:r>
    </w:p>
    <w:p w:rsidR="00FC7DFB" w:rsidRPr="00054EF7" w:rsidRDefault="00FC7DFB" w:rsidP="00191D4E">
      <w:pPr>
        <w:ind w:firstLine="708"/>
        <w:jc w:val="both"/>
        <w:rPr>
          <w:bCs/>
          <w:sz w:val="28"/>
          <w:szCs w:val="28"/>
        </w:rPr>
      </w:pPr>
      <w:r w:rsidRPr="00054EF7">
        <w:rPr>
          <w:bCs/>
          <w:sz w:val="28"/>
          <w:szCs w:val="28"/>
        </w:rPr>
        <w:t>În acest aspect, ținînd cont de faptul că legislația națională permite conducerea vehiculului și de către alte persoane care nu sunt nemijlocit proprietarii acestuia, stabilirea identității persoanei care a condus mijlocul de transport la data cînd a fost fixată încălcarea prin intermediul s</w:t>
      </w:r>
      <w:r>
        <w:rPr>
          <w:bCs/>
          <w:sz w:val="28"/>
          <w:szCs w:val="28"/>
        </w:rPr>
        <w:t>istemelor de monitorizare video</w:t>
      </w:r>
      <w:r w:rsidRPr="00054EF7">
        <w:rPr>
          <w:bCs/>
          <w:sz w:val="28"/>
          <w:szCs w:val="28"/>
        </w:rPr>
        <w:t xml:space="preserve"> denotă anumite dificultăți, implicit proprietarul/posesorul nu locuiește pe adresa indicată conform vizei de reședință sau refuză întemeiat de a se prezenta la Poliție pentru comunicarea informațiilor în partea ce ține de constatarea contravențiilor, fapt pentru care legea contravențională nu își atinge scopul. </w:t>
      </w:r>
    </w:p>
    <w:p w:rsidR="00FC7DFB" w:rsidRPr="00054EF7" w:rsidRDefault="00FC7DFB" w:rsidP="004578B3">
      <w:pPr>
        <w:ind w:firstLine="708"/>
        <w:jc w:val="both"/>
        <w:rPr>
          <w:sz w:val="28"/>
          <w:szCs w:val="28"/>
        </w:rPr>
      </w:pPr>
      <w:r w:rsidRPr="00054EF7">
        <w:rPr>
          <w:bCs/>
          <w:sz w:val="28"/>
          <w:szCs w:val="28"/>
        </w:rPr>
        <w:t xml:space="preserve">Respectiv, în vederea evitării aplicării neuniforme a legislației în aspectul prenotat, se consideră oportună identificarea unui mecanism care va reflecta situația existentă privind comiterea contravențiilor din domeniul circulației rutiere și nivelul de achitare a sancțiunilor aplicate, implicit </w:t>
      </w:r>
      <w:r>
        <w:rPr>
          <w:bCs/>
          <w:sz w:val="28"/>
          <w:szCs w:val="28"/>
        </w:rPr>
        <w:t xml:space="preserve">introducerea și </w:t>
      </w:r>
      <w:r w:rsidRPr="00054EF7">
        <w:rPr>
          <w:bCs/>
          <w:sz w:val="28"/>
          <w:szCs w:val="28"/>
        </w:rPr>
        <w:t>reglementarea unei instituț</w:t>
      </w:r>
      <w:r>
        <w:rPr>
          <w:bCs/>
          <w:sz w:val="28"/>
          <w:szCs w:val="28"/>
        </w:rPr>
        <w:t xml:space="preserve">ii noi, </w:t>
      </w:r>
      <w:r w:rsidRPr="00054EF7">
        <w:rPr>
          <w:bCs/>
          <w:sz w:val="28"/>
          <w:szCs w:val="28"/>
        </w:rPr>
        <w:t xml:space="preserve">cum ar fi ,,cazierul contravențional pentru autovehicule”. Or, </w:t>
      </w:r>
      <w:r w:rsidRPr="00054EF7">
        <w:rPr>
          <w:sz w:val="28"/>
          <w:szCs w:val="28"/>
        </w:rPr>
        <w:t>conducătorii auto urmează a fi responsabilizați prin a-și exercita cu bună credință drepturile și obligațiile instituite în virtutea legii, fapt pentru care înainte de efectuar</w:t>
      </w:r>
      <w:r>
        <w:rPr>
          <w:sz w:val="28"/>
          <w:szCs w:val="28"/>
        </w:rPr>
        <w:t>ea testării tehnice obligatorii</w:t>
      </w:r>
      <w:r w:rsidRPr="00054EF7">
        <w:rPr>
          <w:sz w:val="28"/>
          <w:szCs w:val="28"/>
        </w:rPr>
        <w:t xml:space="preserve"> posesorii de vehicule vor fi obligaţi să prezinte expertului de inspecţie tehnică periodică</w:t>
      </w:r>
      <w:r>
        <w:rPr>
          <w:sz w:val="28"/>
          <w:szCs w:val="28"/>
        </w:rPr>
        <w:t xml:space="preserve"> și</w:t>
      </w:r>
      <w:r>
        <w:rPr>
          <w:b/>
          <w:i/>
          <w:sz w:val="28"/>
          <w:szCs w:val="28"/>
        </w:rPr>
        <w:t xml:space="preserve"> </w:t>
      </w:r>
      <w:r w:rsidRPr="00054EF7">
        <w:rPr>
          <w:sz w:val="28"/>
          <w:szCs w:val="28"/>
        </w:rPr>
        <w:t xml:space="preserve">cazierul contravențional pentru autovehicule. </w:t>
      </w:r>
    </w:p>
    <w:p w:rsidR="00FC7DFB" w:rsidRPr="00054EF7" w:rsidRDefault="00FC7DFB" w:rsidP="004578B3">
      <w:pPr>
        <w:ind w:firstLine="708"/>
        <w:jc w:val="both"/>
        <w:rPr>
          <w:bCs/>
          <w:sz w:val="28"/>
          <w:szCs w:val="28"/>
          <w:lang w:eastAsia="ro-RO"/>
        </w:rPr>
      </w:pPr>
      <w:r w:rsidRPr="00054EF7">
        <w:rPr>
          <w:sz w:val="28"/>
          <w:szCs w:val="28"/>
        </w:rPr>
        <w:t>Cazierul contravenț</w:t>
      </w:r>
      <w:r>
        <w:rPr>
          <w:sz w:val="28"/>
          <w:szCs w:val="28"/>
        </w:rPr>
        <w:t>ional pentru autovehicule</w:t>
      </w:r>
      <w:r w:rsidRPr="00054EF7">
        <w:rPr>
          <w:sz w:val="28"/>
          <w:szCs w:val="28"/>
        </w:rPr>
        <w:t xml:space="preserve"> se propune a fi actul eliberat de subdiviziunea specializată a Ministerului Afacerilor Interne, c</w:t>
      </w:r>
      <w:r>
        <w:rPr>
          <w:sz w:val="28"/>
          <w:szCs w:val="28"/>
        </w:rPr>
        <w:t>e</w:t>
      </w:r>
      <w:r w:rsidRPr="00054EF7">
        <w:rPr>
          <w:sz w:val="28"/>
          <w:szCs w:val="28"/>
        </w:rPr>
        <w:t xml:space="preserve"> va conține informaţia deţinută de organele Poliţiei despre procesele contravenționale inițiate în privința mijlocului de transport, fapt reglementat de prevederile Hotărîrii Guvernului nr.493 din 14 august 2009 </w:t>
      </w:r>
      <w:r w:rsidRPr="00054EF7">
        <w:rPr>
          <w:bCs/>
          <w:sz w:val="28"/>
          <w:szCs w:val="28"/>
          <w:lang w:eastAsia="ro-RO"/>
        </w:rPr>
        <w:t>,,Pentru aprobarea</w:t>
      </w:r>
      <w:r w:rsidRPr="00054EF7">
        <w:rPr>
          <w:b/>
          <w:bCs/>
          <w:sz w:val="28"/>
          <w:szCs w:val="28"/>
          <w:lang w:eastAsia="ro-RO"/>
        </w:rPr>
        <w:t xml:space="preserve"> </w:t>
      </w:r>
      <w:r w:rsidRPr="00054EF7">
        <w:rPr>
          <w:bCs/>
          <w:sz w:val="28"/>
          <w:szCs w:val="28"/>
          <w:lang w:eastAsia="ro-RO"/>
        </w:rPr>
        <w:t>Regulamentului privind evidenţa contravenţiilor în domeniul circulaţiei rutiere şi asigurarea accesului titularului permisului de conducere la informaţia despre punctele de penalizare”.</w:t>
      </w:r>
    </w:p>
    <w:p w:rsidR="00FC7DFB" w:rsidRPr="00054EF7" w:rsidRDefault="00FC7DFB" w:rsidP="00E2743A">
      <w:pPr>
        <w:pStyle w:val="NormalWeb"/>
        <w:tabs>
          <w:tab w:val="left" w:pos="851"/>
        </w:tabs>
        <w:ind w:firstLine="0"/>
        <w:rPr>
          <w:sz w:val="28"/>
          <w:szCs w:val="28"/>
        </w:rPr>
      </w:pPr>
      <w:r w:rsidRPr="00054EF7">
        <w:rPr>
          <w:sz w:val="28"/>
          <w:szCs w:val="28"/>
        </w:rPr>
        <w:tab/>
        <w:t>În acest aspect, relevăm că potrivit pct.17 al Hotărîrii Guvernului nr.1047 din 08 noiembrie 1999</w:t>
      </w:r>
      <w:r w:rsidRPr="00054EF7">
        <w:rPr>
          <w:b/>
          <w:bCs/>
          <w:sz w:val="28"/>
          <w:szCs w:val="28"/>
          <w:lang w:eastAsia="ro-RO"/>
        </w:rPr>
        <w:t xml:space="preserve"> </w:t>
      </w:r>
      <w:r w:rsidRPr="00054EF7">
        <w:rPr>
          <w:bCs/>
          <w:sz w:val="28"/>
          <w:szCs w:val="28"/>
          <w:lang w:eastAsia="ro-RO"/>
        </w:rPr>
        <w:t>,,Cu privire la reorganizarea Sistemului informaţional automatizat de căutare "Automobilul" în Registrul de stat al transporturilor şi introducerea testării a autovehiculelor şi remorcilor acestora”, î</w:t>
      </w:r>
      <w:r w:rsidRPr="00054EF7">
        <w:rPr>
          <w:sz w:val="28"/>
          <w:szCs w:val="28"/>
        </w:rPr>
        <w:t>nainte de efectuarea testării tehnice obligatorii, posesorii de vehicule sînt obligaţi să prezinte expertului de inspecţie tehnică periodică următoarele acte:</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buletinul de identitate;</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certificatul de înmatriculare a vehiculului;</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permisul de conducere;</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procura sau alt document care confirmă împuternicirile acordate;</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certificatul de asigurare obligatorie a răspunderii civile;</w:t>
      </w:r>
    </w:p>
    <w:p w:rsidR="00FC7DFB" w:rsidRPr="00054EF7" w:rsidRDefault="00FC7DFB" w:rsidP="00E2743A">
      <w:pPr>
        <w:pStyle w:val="NormalWeb"/>
        <w:numPr>
          <w:ilvl w:val="0"/>
          <w:numId w:val="2"/>
        </w:numPr>
        <w:tabs>
          <w:tab w:val="left" w:pos="851"/>
        </w:tabs>
        <w:ind w:left="0" w:firstLine="567"/>
        <w:rPr>
          <w:sz w:val="28"/>
          <w:szCs w:val="28"/>
        </w:rPr>
      </w:pPr>
      <w:r w:rsidRPr="00054EF7">
        <w:rPr>
          <w:sz w:val="28"/>
          <w:szCs w:val="28"/>
        </w:rPr>
        <w:t>chitanţele de plată a taxelor de testare şi de folosire a drumurilor.</w:t>
      </w:r>
    </w:p>
    <w:p w:rsidR="00FC7DFB" w:rsidRPr="00054EF7" w:rsidRDefault="00FC7DFB" w:rsidP="00E2743A">
      <w:pPr>
        <w:pStyle w:val="NormalWeb"/>
        <w:tabs>
          <w:tab w:val="left" w:pos="851"/>
        </w:tabs>
        <w:rPr>
          <w:sz w:val="28"/>
          <w:szCs w:val="28"/>
        </w:rPr>
      </w:pPr>
      <w:r w:rsidRPr="00054EF7">
        <w:rPr>
          <w:sz w:val="28"/>
          <w:szCs w:val="28"/>
        </w:rPr>
        <w:tab/>
        <w:t>Astfel, se consideră oportună amendarea pct. 17 menționat prin completarea listei actelor obligatorii spre prezentare pentru efectuarea testării tehnice cu cazierul contravențional pentru autovehicule</w:t>
      </w:r>
      <w:r w:rsidRPr="00054EF7">
        <w:rPr>
          <w:b/>
          <w:sz w:val="28"/>
          <w:szCs w:val="28"/>
        </w:rPr>
        <w:t xml:space="preserve"> </w:t>
      </w:r>
      <w:r w:rsidRPr="00054EF7">
        <w:rPr>
          <w:sz w:val="28"/>
          <w:szCs w:val="28"/>
        </w:rPr>
        <w:t>care va conține informaţia deţinută de poliţie despre procesele contravenționale în privința mijlocului de transport.</w:t>
      </w:r>
    </w:p>
    <w:p w:rsidR="00FC7DFB" w:rsidRPr="00054EF7" w:rsidRDefault="00FC7DFB" w:rsidP="00E2743A">
      <w:pPr>
        <w:pStyle w:val="NormalWeb"/>
        <w:tabs>
          <w:tab w:val="left" w:pos="851"/>
        </w:tabs>
        <w:rPr>
          <w:sz w:val="28"/>
          <w:szCs w:val="28"/>
        </w:rPr>
      </w:pPr>
      <w:r w:rsidRPr="00054EF7">
        <w:rPr>
          <w:sz w:val="28"/>
          <w:szCs w:val="28"/>
        </w:rPr>
        <w:t xml:space="preserve">  Cocomitent, urmează a fi amendat sub aspectul trasat și art. 41 al Legii nr.131 din 07 iunie 2007 privind siguranța traficului rutier și art. 133 al Codului transporturilor rutiere, prin completarea actelor legislative cu o literă nouă cu următorul cuprins:</w:t>
      </w:r>
    </w:p>
    <w:p w:rsidR="00FC7DFB" w:rsidRPr="00054EF7" w:rsidRDefault="00FC7DFB" w:rsidP="00E2743A">
      <w:pPr>
        <w:pStyle w:val="NormalWeb"/>
        <w:tabs>
          <w:tab w:val="left" w:pos="851"/>
        </w:tabs>
        <w:rPr>
          <w:sz w:val="28"/>
          <w:szCs w:val="28"/>
        </w:rPr>
      </w:pPr>
      <w:r w:rsidRPr="00054EF7">
        <w:rPr>
          <w:sz w:val="28"/>
          <w:szCs w:val="28"/>
        </w:rPr>
        <w:t xml:space="preserve">  ”</w:t>
      </w:r>
      <w:r w:rsidRPr="00054EF7">
        <w:rPr>
          <w:i/>
          <w:sz w:val="28"/>
          <w:szCs w:val="28"/>
        </w:rPr>
        <w:t>a</w:t>
      </w:r>
      <w:r w:rsidRPr="00054EF7">
        <w:rPr>
          <w:i/>
          <w:sz w:val="28"/>
          <w:szCs w:val="28"/>
          <w:vertAlign w:val="superscript"/>
        </w:rPr>
        <w:t>1</w:t>
      </w:r>
      <w:r w:rsidRPr="00054EF7">
        <w:rPr>
          <w:i/>
          <w:sz w:val="28"/>
          <w:szCs w:val="28"/>
        </w:rPr>
        <w:t>) să admită efectuarea inspecţiei tehnice periodice doar la prezentarea, de către proprietarul/posesorul autovehiculului</w:t>
      </w:r>
      <w:r w:rsidRPr="00054EF7">
        <w:rPr>
          <w:sz w:val="28"/>
          <w:szCs w:val="28"/>
        </w:rPr>
        <w:t xml:space="preserve"> a </w:t>
      </w:r>
      <w:r w:rsidRPr="00054EF7">
        <w:rPr>
          <w:i/>
          <w:sz w:val="28"/>
          <w:szCs w:val="28"/>
        </w:rPr>
        <w:t>cazierului contravențional pentru autovehicul</w:t>
      </w:r>
      <w:r>
        <w:rPr>
          <w:i/>
          <w:sz w:val="28"/>
          <w:szCs w:val="28"/>
          <w:lang w:val="en-US"/>
        </w:rPr>
        <w:t>;</w:t>
      </w:r>
      <w:r w:rsidRPr="00054EF7">
        <w:rPr>
          <w:i/>
          <w:sz w:val="28"/>
          <w:szCs w:val="28"/>
        </w:rPr>
        <w:t xml:space="preserve">”. </w:t>
      </w:r>
    </w:p>
    <w:p w:rsidR="00FC7DFB" w:rsidRPr="00054EF7" w:rsidRDefault="00FC7DFB" w:rsidP="00B60609">
      <w:pPr>
        <w:pStyle w:val="NormalWeb"/>
        <w:tabs>
          <w:tab w:val="left" w:pos="851"/>
        </w:tabs>
        <w:rPr>
          <w:sz w:val="28"/>
          <w:szCs w:val="28"/>
        </w:rPr>
      </w:pPr>
      <w:r w:rsidRPr="00054EF7">
        <w:rPr>
          <w:sz w:val="28"/>
          <w:szCs w:val="28"/>
        </w:rPr>
        <w:t>Respectiv, staţia de inspecţie tehnică titulară a autorizaţiei pentru activitatea</w:t>
      </w:r>
      <w:r>
        <w:rPr>
          <w:sz w:val="28"/>
          <w:szCs w:val="28"/>
        </w:rPr>
        <w:t xml:space="preserve"> de inspecţie tehnică periodică</w:t>
      </w:r>
      <w:r w:rsidRPr="00054EF7">
        <w:rPr>
          <w:sz w:val="28"/>
          <w:szCs w:val="28"/>
        </w:rPr>
        <w:t xml:space="preserve"> va fi obligată să admită efectuarea inspecţiei tehnic</w:t>
      </w:r>
      <w:r>
        <w:rPr>
          <w:sz w:val="28"/>
          <w:szCs w:val="28"/>
        </w:rPr>
        <w:t>e periodice doar la prezentarea</w:t>
      </w:r>
      <w:r w:rsidRPr="00054EF7">
        <w:rPr>
          <w:sz w:val="28"/>
          <w:szCs w:val="28"/>
        </w:rPr>
        <w:t xml:space="preserve"> de către proprietarul/posesorul autovehiculului a cazierului contravențional pentru autovehicul. </w:t>
      </w:r>
    </w:p>
    <w:p w:rsidR="00FC7DFB" w:rsidRPr="00054EF7" w:rsidRDefault="00FC7DFB" w:rsidP="005A00E4">
      <w:pPr>
        <w:ind w:firstLine="567"/>
        <w:jc w:val="both"/>
        <w:rPr>
          <w:sz w:val="28"/>
          <w:szCs w:val="28"/>
        </w:rPr>
      </w:pPr>
      <w:r w:rsidRPr="00054EF7">
        <w:rPr>
          <w:sz w:val="28"/>
          <w:szCs w:val="28"/>
        </w:rPr>
        <w:t xml:space="preserve">Cazierul contravențional urmează a fi eliberat în temeiul Hotărîrii Guvernului nr. 896 din 27 octombrie 2014 </w:t>
      </w:r>
      <w:r w:rsidRPr="00054EF7">
        <w:rPr>
          <w:sz w:val="28"/>
          <w:szCs w:val="28"/>
          <w:lang w:eastAsia="ro-RO"/>
        </w:rPr>
        <w:t xml:space="preserve">„Pentru aprobarea Nomenclatorului şi tarifelor la serviciile prestate contra plată, precum şi a Regulamentului cu privire la modul de formare şi utilizare a mijloacelor speciale ale subdiviziunilor Ministerului Afacerilor Interne, autorităţilor administrative şi instituţiilor din subordinea acestuia”, costul fiind de 60 lei în cazul în care se solicită în termen de 1 zi, iar pentru eliberarea acestuia în decurs de 10 zile </w:t>
      </w:r>
      <w:r>
        <w:rPr>
          <w:sz w:val="28"/>
          <w:szCs w:val="28"/>
          <w:lang w:eastAsia="ro-RO"/>
        </w:rPr>
        <w:t xml:space="preserve">costul </w:t>
      </w:r>
      <w:r w:rsidRPr="00054EF7">
        <w:rPr>
          <w:sz w:val="28"/>
          <w:szCs w:val="28"/>
          <w:lang w:eastAsia="ro-RO"/>
        </w:rPr>
        <w:t xml:space="preserve">va constitui 30 lei. </w:t>
      </w:r>
    </w:p>
    <w:p w:rsidR="00FC7DFB" w:rsidRPr="00054EF7" w:rsidRDefault="00FC7DFB" w:rsidP="00741441">
      <w:pPr>
        <w:ind w:firstLine="708"/>
        <w:jc w:val="both"/>
        <w:rPr>
          <w:sz w:val="28"/>
          <w:szCs w:val="28"/>
        </w:rPr>
      </w:pPr>
      <w:r w:rsidRPr="00054EF7">
        <w:rPr>
          <w:sz w:val="28"/>
          <w:szCs w:val="28"/>
        </w:rPr>
        <w:t xml:space="preserve">În altă ordine de idei, menționăm că la nivel internațional există mai multe practici de determinare a contravenienților la achitarea amenzilor rutiere, spre exemplu în SUA anual pentru fiecare automobil urmează a fi actualizată înregistrarea, similar procesului de revizie tehnică, iar în cazul în care pe automobilul ce urmează a fi supus reînoirii îngistrării sunt înscrise amenzi neachitate, acestuia nu-i va putea fi eliberat certificat de reînoire a înregistrării, decît dacă toate amenzile vor fi stinse. </w:t>
      </w:r>
    </w:p>
    <w:p w:rsidR="00FC7DFB" w:rsidRPr="00054EF7" w:rsidRDefault="00FC7DFB" w:rsidP="004578B3">
      <w:pPr>
        <w:ind w:firstLine="708"/>
        <w:jc w:val="both"/>
        <w:rPr>
          <w:sz w:val="28"/>
          <w:szCs w:val="28"/>
        </w:rPr>
      </w:pPr>
      <w:r w:rsidRPr="00054EF7">
        <w:rPr>
          <w:sz w:val="28"/>
          <w:szCs w:val="28"/>
        </w:rPr>
        <w:t>În Noua Zeelandă tranzacțiile de vînzare-cumpărare a aut</w:t>
      </w:r>
      <w:r>
        <w:rPr>
          <w:sz w:val="28"/>
          <w:szCs w:val="28"/>
        </w:rPr>
        <w:t xml:space="preserve">omobilului nu pot fi perfectate, </w:t>
      </w:r>
      <w:r w:rsidRPr="00054EF7">
        <w:rPr>
          <w:sz w:val="28"/>
          <w:szCs w:val="28"/>
        </w:rPr>
        <w:t>dacă cumpărătorului nu i s-a prezentat certificatul de lips</w:t>
      </w:r>
      <w:r>
        <w:rPr>
          <w:sz w:val="28"/>
          <w:szCs w:val="28"/>
        </w:rPr>
        <w:t>ă a amenzilor. Î</w:t>
      </w:r>
      <w:r w:rsidRPr="00054EF7">
        <w:rPr>
          <w:sz w:val="28"/>
          <w:szCs w:val="28"/>
        </w:rPr>
        <w:t xml:space="preserve">n cazul în care </w:t>
      </w:r>
      <w:r>
        <w:rPr>
          <w:sz w:val="28"/>
          <w:szCs w:val="28"/>
        </w:rPr>
        <w:t xml:space="preserve">acestea </w:t>
      </w:r>
      <w:r w:rsidRPr="00054EF7">
        <w:rPr>
          <w:sz w:val="28"/>
          <w:szCs w:val="28"/>
        </w:rPr>
        <w:t xml:space="preserve">există, atunci intervine ,,alegerea cumpărătorului”, implicit dacă acesta va procura sau nu automobilul pe care sunt înregistrate mai multe amenzi, iar prezentarea unui astfel de certificat este obligatorie. </w:t>
      </w:r>
    </w:p>
    <w:p w:rsidR="00FC7DFB" w:rsidRPr="00054EF7" w:rsidRDefault="00FC7DFB" w:rsidP="004578B3">
      <w:pPr>
        <w:ind w:firstLine="708"/>
        <w:jc w:val="both"/>
        <w:rPr>
          <w:sz w:val="28"/>
          <w:szCs w:val="28"/>
        </w:rPr>
      </w:pPr>
      <w:r w:rsidRPr="00054EF7">
        <w:rPr>
          <w:sz w:val="28"/>
          <w:szCs w:val="28"/>
        </w:rPr>
        <w:t>În Scoția, drept circumstanță agravantă poate fi considerată situaț</w:t>
      </w:r>
      <w:r>
        <w:rPr>
          <w:sz w:val="28"/>
          <w:szCs w:val="28"/>
        </w:rPr>
        <w:t xml:space="preserve">ia în care conducătorul auto, </w:t>
      </w:r>
      <w:r w:rsidRPr="00054EF7">
        <w:rPr>
          <w:sz w:val="28"/>
          <w:szCs w:val="28"/>
        </w:rPr>
        <w:t>cunoscînd despre existența amenzilor, a comis alte încălcări din domeniul rutier.</w:t>
      </w:r>
    </w:p>
    <w:p w:rsidR="00FC7DFB" w:rsidRPr="00054EF7" w:rsidRDefault="00FC7DFB" w:rsidP="004578B3">
      <w:pPr>
        <w:ind w:firstLine="708"/>
        <w:jc w:val="both"/>
        <w:rPr>
          <w:sz w:val="28"/>
          <w:szCs w:val="28"/>
        </w:rPr>
      </w:pPr>
      <w:r w:rsidRPr="00054EF7">
        <w:rPr>
          <w:sz w:val="28"/>
          <w:szCs w:val="28"/>
        </w:rPr>
        <w:t xml:space="preserve">În Canada, în cazul în care asupra automobilului sunt înregistrate mai mult de 3 (trei) amenzi, înregistrarea acestuia este suspendată, iar conducerea automobilului cu înregistrarea suspendată contribuie la sechestrarea automobilului pîna la achitarea definitivă a sancțiunilor aplicate. </w:t>
      </w:r>
    </w:p>
    <w:p w:rsidR="00FC7DFB" w:rsidRPr="00054EF7" w:rsidRDefault="00FC7DFB" w:rsidP="004578B3">
      <w:pPr>
        <w:ind w:firstLine="708"/>
        <w:jc w:val="both"/>
        <w:rPr>
          <w:sz w:val="28"/>
          <w:szCs w:val="28"/>
        </w:rPr>
      </w:pPr>
      <w:r w:rsidRPr="00054EF7">
        <w:rPr>
          <w:sz w:val="28"/>
          <w:szCs w:val="28"/>
        </w:rPr>
        <w:t>Un aspect relevant în susținerea acestei inițiative este și invocarea practicii CEDO, potrivit căreia la reglementarea relaţiilor de proprietate asupra vehiculului şi a securităţii circulaţiei rutiere, Statul este în drept să instituie anumite obligaţii  faţă de proprietar, inclusiv responsabilitatea care poate să survină. Or, potrivit articolului 54 alin. (2) din Constituţie, exerciţiul drepturilor şi libertăţilor nu p</w:t>
      </w:r>
      <w:r>
        <w:rPr>
          <w:sz w:val="28"/>
          <w:szCs w:val="28"/>
        </w:rPr>
        <w:t xml:space="preserve">oate fi supus altor restrîngeri, </w:t>
      </w:r>
      <w:r w:rsidRPr="00054EF7">
        <w:rPr>
          <w:sz w:val="28"/>
          <w:szCs w:val="28"/>
        </w:rPr>
        <w:t>decît celor prevăzute de lege, </w:t>
      </w:r>
      <w:r w:rsidRPr="00054EF7">
        <w:rPr>
          <w:bCs/>
          <w:sz w:val="28"/>
          <w:szCs w:val="28"/>
        </w:rPr>
        <w:t>care corespund normelor unanim recunoscute ale dreptului internaţional</w:t>
      </w:r>
      <w:r w:rsidRPr="00054EF7">
        <w:rPr>
          <w:b/>
          <w:bCs/>
          <w:sz w:val="28"/>
          <w:szCs w:val="28"/>
        </w:rPr>
        <w:t> </w:t>
      </w:r>
      <w:r w:rsidRPr="00054EF7">
        <w:rPr>
          <w:sz w:val="28"/>
          <w:szCs w:val="28"/>
        </w:rPr>
        <w:t>şi sunt necesare în interesele securităţii naţionale, integrităţii teritoriale, bunăstării economice a ţării, </w:t>
      </w:r>
      <w:r w:rsidRPr="00054EF7">
        <w:rPr>
          <w:bCs/>
          <w:sz w:val="28"/>
          <w:szCs w:val="28"/>
        </w:rPr>
        <w:t>ordinii publice, în scopul prevenirii </w:t>
      </w:r>
      <w:r w:rsidRPr="00054EF7">
        <w:rPr>
          <w:sz w:val="28"/>
          <w:szCs w:val="28"/>
        </w:rPr>
        <w:t>tulburărilor în masă şi </w:t>
      </w:r>
      <w:r w:rsidRPr="00054EF7">
        <w:rPr>
          <w:bCs/>
          <w:sz w:val="28"/>
          <w:szCs w:val="28"/>
        </w:rPr>
        <w:t>infracţiunilor, protejării drepturilor, libertăţilor</w:t>
      </w:r>
      <w:r w:rsidRPr="00054EF7">
        <w:rPr>
          <w:sz w:val="28"/>
          <w:szCs w:val="28"/>
        </w:rPr>
        <w:t> şi demnităţii altor persoane, împiedicării divulgării informaţiilor confidenţiale sau garantării autorităţii şi imparţialităţii justiţiei.</w:t>
      </w:r>
    </w:p>
    <w:p w:rsidR="00FC7DFB" w:rsidRPr="00054EF7" w:rsidRDefault="00FC7DFB" w:rsidP="00E2743A">
      <w:pPr>
        <w:ind w:firstLine="708"/>
        <w:jc w:val="both"/>
        <w:rPr>
          <w:sz w:val="28"/>
          <w:szCs w:val="28"/>
        </w:rPr>
      </w:pPr>
      <w:r w:rsidRPr="00054EF7">
        <w:rPr>
          <w:sz w:val="28"/>
          <w:szCs w:val="28"/>
        </w:rPr>
        <w:t xml:space="preserve">Cu titlu informativ invocăm </w:t>
      </w:r>
      <w:r w:rsidRPr="00054EF7">
        <w:rPr>
          <w:i/>
          <w:iCs/>
          <w:sz w:val="28"/>
          <w:szCs w:val="28"/>
        </w:rPr>
        <w:t>cauza Salabiaku vs. Franţa  </w:t>
      </w:r>
      <w:r w:rsidRPr="00054EF7">
        <w:rPr>
          <w:sz w:val="28"/>
          <w:szCs w:val="28"/>
        </w:rPr>
        <w:t>din 7 octombrie 1998, în interiorul căreia Curtea Europeană a reţinut că stabilirea unei  prezumţii de responsabilitate pentru a constata vinovăţia persoanei nu contravine prezumţiei de nevinovăţie a acesteia. Astfel de prezumţii sunt admisibile doar în măsura în care sunt rezonabile, prezumă lucruri dificil sau imposibil de probat şi pot fi răsturnate de către persoana interesată. </w:t>
      </w:r>
    </w:p>
    <w:p w:rsidR="00FC7DFB" w:rsidRPr="00054EF7" w:rsidRDefault="00FC7DFB" w:rsidP="00E2743A">
      <w:pPr>
        <w:ind w:firstLine="708"/>
        <w:jc w:val="both"/>
        <w:rPr>
          <w:bCs/>
          <w:i/>
          <w:sz w:val="28"/>
          <w:szCs w:val="28"/>
          <w:lang w:eastAsia="ro-RO"/>
        </w:rPr>
      </w:pPr>
      <w:r w:rsidRPr="00054EF7">
        <w:rPr>
          <w:sz w:val="28"/>
          <w:szCs w:val="28"/>
        </w:rPr>
        <w:t xml:space="preserve">Reieşind din cele expuse și pentru realizarea priorităţilor menţionate, se impune ajustarea cadrului legislativ în vederea </w:t>
      </w:r>
      <w:r w:rsidRPr="00054EF7">
        <w:rPr>
          <w:iCs/>
          <w:sz w:val="28"/>
          <w:szCs w:val="28"/>
        </w:rPr>
        <w:t xml:space="preserve">eficientizării achitării sancţiunilor şi </w:t>
      </w:r>
      <w:r w:rsidRPr="00054EF7">
        <w:rPr>
          <w:bCs/>
          <w:iCs/>
          <w:sz w:val="28"/>
          <w:szCs w:val="28"/>
        </w:rPr>
        <w:t>modernizarea sistemului de impunere a respectării legii</w:t>
      </w:r>
      <w:r w:rsidRPr="00054EF7">
        <w:rPr>
          <w:sz w:val="28"/>
          <w:szCs w:val="28"/>
        </w:rPr>
        <w:t xml:space="preserve">, drept pentru care se consideră oportună aprobarea proiectului hotărîrii Guvernului </w:t>
      </w:r>
      <w:r w:rsidRPr="00054EF7">
        <w:rPr>
          <w:bCs/>
          <w:sz w:val="28"/>
          <w:szCs w:val="28"/>
          <w:lang w:eastAsia="ro-RO"/>
        </w:rPr>
        <w:t>privind aprobarea modificărilor ce se operează în unele Hotărîri ale Guvernului, implicit proiectul actului normativ</w:t>
      </w:r>
      <w:r w:rsidRPr="00054EF7">
        <w:rPr>
          <w:bCs/>
          <w:i/>
          <w:sz w:val="28"/>
          <w:szCs w:val="28"/>
          <w:lang w:eastAsia="ro-RO"/>
        </w:rPr>
        <w:t xml:space="preserve"> </w:t>
      </w:r>
      <w:r w:rsidRPr="00054EF7">
        <w:rPr>
          <w:sz w:val="28"/>
          <w:szCs w:val="28"/>
        </w:rPr>
        <w:t>va contribui în mod substanţial la eficientizarea respectării legislației, va spori nivelul de disciplină a conducătorilor de vehicule şi va crea condiţiile corespunzătoare de siguranţă pentru participanţii la trafic.</w:t>
      </w:r>
    </w:p>
    <w:p w:rsidR="00FC7DFB" w:rsidRPr="00054EF7" w:rsidRDefault="00FC7DFB" w:rsidP="00191D4E">
      <w:pPr>
        <w:ind w:firstLine="708"/>
        <w:jc w:val="both"/>
        <w:rPr>
          <w:bCs/>
          <w:sz w:val="28"/>
          <w:szCs w:val="28"/>
        </w:rPr>
      </w:pPr>
    </w:p>
    <w:p w:rsidR="00FC7DFB" w:rsidRPr="00054EF7" w:rsidRDefault="00FC7DFB" w:rsidP="004578B3">
      <w:pPr>
        <w:ind w:firstLine="708"/>
        <w:jc w:val="both"/>
        <w:rPr>
          <w:sz w:val="28"/>
          <w:szCs w:val="28"/>
        </w:rPr>
      </w:pPr>
      <w:r w:rsidRPr="00054EF7">
        <w:rPr>
          <w:sz w:val="28"/>
          <w:szCs w:val="28"/>
        </w:rPr>
        <w:t>Implementarea amendamentelor propuse nu implică cheltuieli financiare.</w:t>
      </w:r>
    </w:p>
    <w:p w:rsidR="00FC7DFB" w:rsidRPr="00054EF7" w:rsidRDefault="00FC7DFB" w:rsidP="00191D4E">
      <w:pPr>
        <w:ind w:firstLine="708"/>
        <w:jc w:val="both"/>
        <w:rPr>
          <w:bCs/>
          <w:sz w:val="28"/>
          <w:szCs w:val="28"/>
        </w:rPr>
      </w:pPr>
    </w:p>
    <w:p w:rsidR="00FC7DFB" w:rsidRPr="00054EF7" w:rsidRDefault="00FC7DFB" w:rsidP="0011558E">
      <w:pPr>
        <w:tabs>
          <w:tab w:val="left" w:pos="3630"/>
          <w:tab w:val="center" w:pos="4677"/>
        </w:tabs>
        <w:ind w:firstLine="567"/>
        <w:jc w:val="center"/>
        <w:rPr>
          <w:sz w:val="28"/>
          <w:szCs w:val="28"/>
        </w:rPr>
      </w:pPr>
    </w:p>
    <w:p w:rsidR="00FC7DFB" w:rsidRPr="00054EF7" w:rsidRDefault="00FC7DFB" w:rsidP="0011558E">
      <w:pPr>
        <w:tabs>
          <w:tab w:val="left" w:pos="3630"/>
          <w:tab w:val="center" w:pos="4677"/>
        </w:tabs>
        <w:ind w:firstLine="567"/>
        <w:jc w:val="center"/>
        <w:rPr>
          <w:sz w:val="28"/>
          <w:szCs w:val="28"/>
        </w:rPr>
      </w:pPr>
    </w:p>
    <w:p w:rsidR="00FC7DFB" w:rsidRPr="00054EF7" w:rsidRDefault="00FC7DFB" w:rsidP="00B60609">
      <w:pPr>
        <w:tabs>
          <w:tab w:val="left" w:pos="300"/>
          <w:tab w:val="left" w:pos="4155"/>
        </w:tabs>
        <w:jc w:val="both"/>
        <w:rPr>
          <w:b/>
          <w:sz w:val="28"/>
          <w:szCs w:val="28"/>
        </w:rPr>
      </w:pPr>
      <w:r w:rsidRPr="00054EF7">
        <w:rPr>
          <w:b/>
          <w:sz w:val="28"/>
          <w:szCs w:val="28"/>
        </w:rPr>
        <w:t>Secretar de stat al MAI                                                                 Mihail BEREGOI</w:t>
      </w:r>
    </w:p>
    <w:p w:rsidR="00FC7DFB" w:rsidRPr="00054EF7" w:rsidRDefault="00FC7DFB" w:rsidP="00B60609">
      <w:pPr>
        <w:ind w:firstLine="540"/>
        <w:rPr>
          <w:sz w:val="28"/>
          <w:szCs w:val="28"/>
        </w:rPr>
      </w:pPr>
      <w:r w:rsidRPr="00054EF7">
        <w:rPr>
          <w:sz w:val="28"/>
          <w:szCs w:val="28"/>
        </w:rPr>
        <w:tab/>
      </w:r>
      <w:r w:rsidRPr="00054EF7">
        <w:rPr>
          <w:sz w:val="28"/>
          <w:szCs w:val="28"/>
        </w:rPr>
        <w:tab/>
      </w:r>
    </w:p>
    <w:p w:rsidR="00FC7DFB" w:rsidRPr="00054EF7" w:rsidRDefault="00FC7DFB" w:rsidP="0011558E">
      <w:pPr>
        <w:tabs>
          <w:tab w:val="left" w:pos="3630"/>
          <w:tab w:val="center" w:pos="4677"/>
        </w:tabs>
        <w:jc w:val="center"/>
        <w:rPr>
          <w:sz w:val="28"/>
          <w:szCs w:val="28"/>
        </w:rPr>
      </w:pPr>
    </w:p>
    <w:p w:rsidR="00FC7DFB" w:rsidRPr="00054EF7" w:rsidRDefault="00FC7DFB" w:rsidP="0011558E">
      <w:pPr>
        <w:tabs>
          <w:tab w:val="left" w:pos="3630"/>
          <w:tab w:val="center" w:pos="4677"/>
        </w:tabs>
        <w:jc w:val="center"/>
        <w:rPr>
          <w:sz w:val="28"/>
          <w:szCs w:val="28"/>
        </w:rPr>
      </w:pPr>
    </w:p>
    <w:p w:rsidR="00FC7DFB" w:rsidRPr="00054EF7" w:rsidRDefault="00FC7DFB" w:rsidP="0011558E">
      <w:pPr>
        <w:tabs>
          <w:tab w:val="left" w:pos="3630"/>
          <w:tab w:val="center" w:pos="4677"/>
        </w:tabs>
        <w:jc w:val="center"/>
        <w:rPr>
          <w:sz w:val="28"/>
          <w:szCs w:val="28"/>
        </w:rPr>
      </w:pPr>
    </w:p>
    <w:p w:rsidR="00FC7DFB" w:rsidRPr="00054EF7" w:rsidRDefault="00FC7DFB" w:rsidP="0011558E">
      <w:pPr>
        <w:tabs>
          <w:tab w:val="left" w:pos="3630"/>
          <w:tab w:val="center" w:pos="4677"/>
        </w:tabs>
        <w:jc w:val="center"/>
        <w:rPr>
          <w:sz w:val="28"/>
          <w:szCs w:val="28"/>
        </w:rPr>
      </w:pPr>
    </w:p>
    <w:p w:rsidR="00FC7DFB" w:rsidRPr="00054EF7" w:rsidRDefault="00FC7DFB" w:rsidP="0011558E">
      <w:pPr>
        <w:tabs>
          <w:tab w:val="left" w:pos="3630"/>
          <w:tab w:val="center" w:pos="4677"/>
        </w:tabs>
        <w:jc w:val="center"/>
        <w:rPr>
          <w:sz w:val="28"/>
          <w:szCs w:val="28"/>
        </w:rPr>
      </w:pPr>
    </w:p>
    <w:p w:rsidR="00FC7DFB" w:rsidRPr="00054EF7" w:rsidRDefault="00FC7DFB" w:rsidP="0011558E">
      <w:pPr>
        <w:tabs>
          <w:tab w:val="left" w:pos="3630"/>
          <w:tab w:val="center" w:pos="4677"/>
        </w:tabs>
        <w:jc w:val="center"/>
        <w:rPr>
          <w:sz w:val="28"/>
          <w:szCs w:val="28"/>
        </w:rPr>
      </w:pPr>
    </w:p>
    <w:p w:rsidR="00FC7DFB" w:rsidRPr="00054EF7" w:rsidRDefault="00FC7DFB"/>
    <w:sectPr w:rsidR="00FC7DFB" w:rsidRPr="00054EF7" w:rsidSect="00E2743A">
      <w:headerReference w:type="even" r:id="rId7"/>
      <w:headerReference w:type="default" r:id="rId8"/>
      <w:pgSz w:w="11906" w:h="16838" w:code="9"/>
      <w:pgMar w:top="1142" w:right="566" w:bottom="719" w:left="181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FB" w:rsidRDefault="00FC7DFB" w:rsidP="00EB35FA">
      <w:r>
        <w:separator/>
      </w:r>
    </w:p>
  </w:endnote>
  <w:endnote w:type="continuationSeparator" w:id="0">
    <w:p w:rsidR="00FC7DFB" w:rsidRDefault="00FC7DFB" w:rsidP="00EB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FB" w:rsidRDefault="00FC7DFB" w:rsidP="00EB35FA">
      <w:r>
        <w:separator/>
      </w:r>
    </w:p>
  </w:footnote>
  <w:footnote w:type="continuationSeparator" w:id="0">
    <w:p w:rsidR="00FC7DFB" w:rsidRDefault="00FC7DFB" w:rsidP="00EB3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FB" w:rsidRDefault="00FC7DFB" w:rsidP="009917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7DFB" w:rsidRDefault="00FC7D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FB" w:rsidRDefault="00FC7DFB" w:rsidP="00991752">
    <w:pPr>
      <w:pStyle w:val="Header"/>
      <w:framePr w:wrap="around" w:vAnchor="text" w:hAnchor="margin" w:xAlign="center" w:y="1"/>
      <w:rPr>
        <w:rStyle w:val="PageNumber"/>
      </w:rPr>
    </w:pPr>
  </w:p>
  <w:p w:rsidR="00FC7DFB" w:rsidRDefault="00FC7D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3FE8"/>
    <w:multiLevelType w:val="hybridMultilevel"/>
    <w:tmpl w:val="9C88B9F4"/>
    <w:lvl w:ilvl="0" w:tplc="67709DF0">
      <w:numFmt w:val="bullet"/>
      <w:lvlText w:val="-"/>
      <w:lvlJc w:val="left"/>
      <w:pPr>
        <w:ind w:left="927"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
    <w:nsid w:val="70280445"/>
    <w:multiLevelType w:val="hybridMultilevel"/>
    <w:tmpl w:val="609CBB88"/>
    <w:lvl w:ilvl="0" w:tplc="BAF4A2D0">
      <w:start w:val="1"/>
      <w:numFmt w:val="decimal"/>
      <w:lvlText w:val="%1."/>
      <w:lvlJc w:val="left"/>
      <w:pPr>
        <w:ind w:left="1407" w:hanging="84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8E"/>
    <w:rsid w:val="00044DA0"/>
    <w:rsid w:val="00054EF7"/>
    <w:rsid w:val="00094084"/>
    <w:rsid w:val="000A0D3B"/>
    <w:rsid w:val="000B66D4"/>
    <w:rsid w:val="000D616C"/>
    <w:rsid w:val="001102B4"/>
    <w:rsid w:val="0011558E"/>
    <w:rsid w:val="00120B14"/>
    <w:rsid w:val="001902A1"/>
    <w:rsid w:val="00191D4E"/>
    <w:rsid w:val="001E0413"/>
    <w:rsid w:val="00212E16"/>
    <w:rsid w:val="00276406"/>
    <w:rsid w:val="00285001"/>
    <w:rsid w:val="002D2384"/>
    <w:rsid w:val="00342A23"/>
    <w:rsid w:val="0036064E"/>
    <w:rsid w:val="00365673"/>
    <w:rsid w:val="003E7E05"/>
    <w:rsid w:val="00457667"/>
    <w:rsid w:val="004578B3"/>
    <w:rsid w:val="00480153"/>
    <w:rsid w:val="004845C7"/>
    <w:rsid w:val="004A0E34"/>
    <w:rsid w:val="004C3DB6"/>
    <w:rsid w:val="004D6FFE"/>
    <w:rsid w:val="005317B2"/>
    <w:rsid w:val="005A00E4"/>
    <w:rsid w:val="005A07C1"/>
    <w:rsid w:val="00627C1F"/>
    <w:rsid w:val="00675F22"/>
    <w:rsid w:val="00693FEA"/>
    <w:rsid w:val="006A1E28"/>
    <w:rsid w:val="006D372F"/>
    <w:rsid w:val="006D5B8F"/>
    <w:rsid w:val="007010A8"/>
    <w:rsid w:val="00703461"/>
    <w:rsid w:val="00741441"/>
    <w:rsid w:val="00744C30"/>
    <w:rsid w:val="007A1485"/>
    <w:rsid w:val="007F1278"/>
    <w:rsid w:val="008048DA"/>
    <w:rsid w:val="00804CB4"/>
    <w:rsid w:val="00870304"/>
    <w:rsid w:val="008E63C2"/>
    <w:rsid w:val="008F47B9"/>
    <w:rsid w:val="00980D96"/>
    <w:rsid w:val="00991752"/>
    <w:rsid w:val="009B1F22"/>
    <w:rsid w:val="009B69BC"/>
    <w:rsid w:val="00B325DF"/>
    <w:rsid w:val="00B60609"/>
    <w:rsid w:val="00BE54FE"/>
    <w:rsid w:val="00C239EC"/>
    <w:rsid w:val="00C41EC0"/>
    <w:rsid w:val="00C44B4C"/>
    <w:rsid w:val="00C73A53"/>
    <w:rsid w:val="00CA2F12"/>
    <w:rsid w:val="00CC7A35"/>
    <w:rsid w:val="00D05F87"/>
    <w:rsid w:val="00DC4788"/>
    <w:rsid w:val="00E2743A"/>
    <w:rsid w:val="00E93289"/>
    <w:rsid w:val="00EB35FA"/>
    <w:rsid w:val="00EE218F"/>
    <w:rsid w:val="00F26E6E"/>
    <w:rsid w:val="00F40274"/>
    <w:rsid w:val="00F606D9"/>
    <w:rsid w:val="00F66864"/>
    <w:rsid w:val="00FC7D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8E"/>
    <w:rPr>
      <w:rFonts w:ascii="Times New Roman" w:hAnsi="Times New Roman"/>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58E"/>
    <w:pPr>
      <w:tabs>
        <w:tab w:val="center" w:pos="4677"/>
        <w:tab w:val="right" w:pos="9355"/>
      </w:tabs>
    </w:pPr>
  </w:style>
  <w:style w:type="character" w:customStyle="1" w:styleId="HeaderChar">
    <w:name w:val="Header Char"/>
    <w:basedOn w:val="DefaultParagraphFont"/>
    <w:link w:val="Header"/>
    <w:uiPriority w:val="99"/>
    <w:locked/>
    <w:rsid w:val="0011558E"/>
    <w:rPr>
      <w:rFonts w:ascii="Times New Roman" w:hAnsi="Times New Roman" w:cs="Times New Roman"/>
      <w:sz w:val="24"/>
      <w:szCs w:val="24"/>
      <w:lang w:eastAsia="ru-RU"/>
    </w:rPr>
  </w:style>
  <w:style w:type="character" w:styleId="PageNumber">
    <w:name w:val="page number"/>
    <w:basedOn w:val="DefaultParagraphFont"/>
    <w:uiPriority w:val="99"/>
    <w:rsid w:val="0011558E"/>
    <w:rPr>
      <w:rFonts w:cs="Times New Roman"/>
    </w:rPr>
  </w:style>
  <w:style w:type="paragraph" w:styleId="NormalWeb">
    <w:name w:val="Normal (Web)"/>
    <w:basedOn w:val="Normal"/>
    <w:uiPriority w:val="99"/>
    <w:rsid w:val="0011558E"/>
    <w:pPr>
      <w:ind w:firstLine="567"/>
      <w:jc w:val="both"/>
    </w:pPr>
  </w:style>
  <w:style w:type="paragraph" w:styleId="BodyText">
    <w:name w:val="Body Text"/>
    <w:basedOn w:val="Normal"/>
    <w:link w:val="BodyTextChar"/>
    <w:uiPriority w:val="99"/>
    <w:rsid w:val="0011558E"/>
    <w:pPr>
      <w:spacing w:after="120"/>
    </w:pPr>
    <w:rPr>
      <w:sz w:val="20"/>
      <w:szCs w:val="20"/>
    </w:rPr>
  </w:style>
  <w:style w:type="character" w:customStyle="1" w:styleId="BodyTextChar">
    <w:name w:val="Body Text Char"/>
    <w:basedOn w:val="DefaultParagraphFont"/>
    <w:link w:val="BodyText"/>
    <w:uiPriority w:val="99"/>
    <w:locked/>
    <w:rsid w:val="0011558E"/>
    <w:rPr>
      <w:rFonts w:ascii="Times New Roman" w:hAnsi="Times New Roman" w:cs="Times New Roman"/>
      <w:sz w:val="20"/>
      <w:szCs w:val="20"/>
      <w:lang w:eastAsia="ru-RU"/>
    </w:rPr>
  </w:style>
  <w:style w:type="paragraph" w:styleId="ListParagraph">
    <w:name w:val="List Paragraph"/>
    <w:basedOn w:val="Normal"/>
    <w:uiPriority w:val="99"/>
    <w:qFormat/>
    <w:rsid w:val="0011558E"/>
    <w:pPr>
      <w:ind w:left="720"/>
      <w:contextualSpacing/>
    </w:pPr>
  </w:style>
  <w:style w:type="paragraph" w:customStyle="1" w:styleId="tt">
    <w:name w:val="tt"/>
    <w:basedOn w:val="Normal"/>
    <w:uiPriority w:val="99"/>
    <w:rsid w:val="002D2384"/>
    <w:pPr>
      <w:jc w:val="center"/>
    </w:pPr>
    <w:rPr>
      <w:b/>
      <w:bCs/>
      <w:lang w:val="ru-RU"/>
    </w:rPr>
  </w:style>
  <w:style w:type="character" w:customStyle="1" w:styleId="docbody1">
    <w:name w:val="doc_body1"/>
    <w:uiPriority w:val="99"/>
    <w:rsid w:val="002D2384"/>
    <w:rPr>
      <w:rFonts w:ascii="Times New Roman" w:hAnsi="Times New Roman"/>
      <w:color w:val="000000"/>
      <w:sz w:val="24"/>
    </w:rPr>
  </w:style>
  <w:style w:type="character" w:customStyle="1" w:styleId="docbody">
    <w:name w:val="doc_body"/>
    <w:uiPriority w:val="99"/>
    <w:rsid w:val="002D2384"/>
  </w:style>
  <w:style w:type="paragraph" w:styleId="Footer">
    <w:name w:val="footer"/>
    <w:basedOn w:val="Normal"/>
    <w:link w:val="FooterChar"/>
    <w:uiPriority w:val="99"/>
    <w:rsid w:val="00191D4E"/>
    <w:pPr>
      <w:tabs>
        <w:tab w:val="center" w:pos="4677"/>
        <w:tab w:val="right" w:pos="9355"/>
      </w:tabs>
    </w:pPr>
  </w:style>
  <w:style w:type="character" w:customStyle="1" w:styleId="FooterChar">
    <w:name w:val="Footer Char"/>
    <w:basedOn w:val="DefaultParagraphFont"/>
    <w:link w:val="Footer"/>
    <w:uiPriority w:val="99"/>
    <w:semiHidden/>
    <w:locked/>
    <w:rsid w:val="009B69BC"/>
    <w:rPr>
      <w:rFonts w:ascii="Times New Roman" w:hAnsi="Times New Roman" w:cs="Times New Roman"/>
      <w:sz w:val="24"/>
      <w:szCs w:val="24"/>
      <w:lang w:val="ro-RO"/>
    </w:rPr>
  </w:style>
  <w:style w:type="character" w:customStyle="1" w:styleId="apple-converted-space">
    <w:name w:val="apple-converted-space"/>
    <w:basedOn w:val="DefaultParagraphFont"/>
    <w:uiPriority w:val="99"/>
    <w:rsid w:val="00CC7A35"/>
    <w:rPr>
      <w:rFonts w:cs="Times New Roman"/>
    </w:rPr>
  </w:style>
</w:styles>
</file>

<file path=word/webSettings.xml><?xml version="1.0" encoding="utf-8"?>
<w:webSettings xmlns:r="http://schemas.openxmlformats.org/officeDocument/2006/relationships" xmlns:w="http://schemas.openxmlformats.org/wordprocessingml/2006/main">
  <w:divs>
    <w:div w:id="675619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4</Pages>
  <Words>1718</Words>
  <Characters>9793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Admin</cp:lastModifiedBy>
  <cp:revision>11</cp:revision>
  <cp:lastPrinted>2016-11-09T13:23:00Z</cp:lastPrinted>
  <dcterms:created xsi:type="dcterms:W3CDTF">2016-08-05T05:46:00Z</dcterms:created>
  <dcterms:modified xsi:type="dcterms:W3CDTF">2016-11-09T13:23:00Z</dcterms:modified>
</cp:coreProperties>
</file>