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E3" w:rsidRDefault="007C26E4">
      <w:pPr>
        <w:spacing w:after="0" w:line="240" w:lineRule="auto"/>
        <w:ind w:left="11520"/>
        <w:rPr>
          <w:rFonts w:ascii="Times New Roman" w:eastAsia="Calibri" w:hAnsi="Times New Roman"/>
          <w:color w:val="000000" w:themeColor="text1"/>
          <w:sz w:val="24"/>
          <w:szCs w:val="18"/>
          <w:lang w:val="ro-RO"/>
        </w:rPr>
      </w:pPr>
      <w:bookmarkStart w:id="0" w:name="_GoBack"/>
      <w:bookmarkEnd w:id="0"/>
      <w:r>
        <w:rPr>
          <w:rFonts w:ascii="Times New Roman" w:eastAsia="Calibri" w:hAnsi="Times New Roman"/>
          <w:color w:val="000000" w:themeColor="text1"/>
          <w:sz w:val="24"/>
          <w:szCs w:val="18"/>
          <w:lang w:val="ro-RO"/>
        </w:rPr>
        <w:t xml:space="preserve">                   Anexă</w:t>
      </w:r>
    </w:p>
    <w:p w:rsidR="00BB73E3" w:rsidRDefault="007C26E4">
      <w:pPr>
        <w:spacing w:after="0" w:line="240" w:lineRule="auto"/>
        <w:ind w:left="11520"/>
        <w:rPr>
          <w:rFonts w:ascii="Times New Roman" w:eastAsia="Calibri" w:hAnsi="Times New Roman"/>
          <w:color w:val="000000" w:themeColor="text1"/>
          <w:sz w:val="24"/>
          <w:szCs w:val="18"/>
          <w:lang w:val="ro-RO"/>
        </w:rPr>
      </w:pPr>
      <w:r>
        <w:rPr>
          <w:rFonts w:ascii="Times New Roman" w:eastAsia="Calibri" w:hAnsi="Times New Roman"/>
          <w:color w:val="000000" w:themeColor="text1"/>
          <w:sz w:val="24"/>
          <w:szCs w:val="18"/>
          <w:lang w:val="ro-RO"/>
        </w:rPr>
        <w:t>la Programul naţional de Sănătate Mintală pentru anii 2017 - 2021</w:t>
      </w:r>
    </w:p>
    <w:p w:rsidR="00BB73E3" w:rsidRDefault="00BB73E3">
      <w:pPr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18"/>
          <w:szCs w:val="18"/>
          <w:lang w:val="ro-RO"/>
        </w:rPr>
      </w:pPr>
    </w:p>
    <w:p w:rsidR="00BB73E3" w:rsidRDefault="00BB73E3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10"/>
          <w:szCs w:val="10"/>
          <w:lang w:val="ro-RO"/>
        </w:rPr>
      </w:pPr>
    </w:p>
    <w:p w:rsidR="00BB73E3" w:rsidRDefault="007C26E4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  <w:lang w:val="ro-RO"/>
        </w:rPr>
        <w:t>Costurile estimative ale Programului naţional</w:t>
      </w:r>
    </w:p>
    <w:p w:rsidR="00BB73E3" w:rsidRDefault="007C26E4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  <w:lang w:val="ro-RO"/>
        </w:rPr>
        <w:t>de sănătate mintală pentru anii 2017-2021</w:t>
      </w:r>
    </w:p>
    <w:p w:rsidR="00BB73E3" w:rsidRDefault="00BB73E3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sz w:val="10"/>
          <w:szCs w:val="10"/>
          <w:lang w:val="ro-RO"/>
        </w:rPr>
      </w:pPr>
    </w:p>
    <w:tbl>
      <w:tblPr>
        <w:tblStyle w:val="5"/>
        <w:tblW w:w="5000" w:type="pct"/>
        <w:tblLook w:val="04A0" w:firstRow="1" w:lastRow="0" w:firstColumn="1" w:lastColumn="0" w:noHBand="0" w:noVBand="1"/>
      </w:tblPr>
      <w:tblGrid>
        <w:gridCol w:w="1002"/>
        <w:gridCol w:w="5827"/>
        <w:gridCol w:w="1474"/>
        <w:gridCol w:w="1680"/>
        <w:gridCol w:w="1348"/>
        <w:gridCol w:w="1369"/>
        <w:gridCol w:w="1327"/>
        <w:gridCol w:w="1325"/>
      </w:tblGrid>
      <w:tr w:rsidR="00BB73E3">
        <w:tc>
          <w:tcPr>
            <w:tcW w:w="988" w:type="dxa"/>
            <w:vMerge w:val="restart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44" w:type="dxa"/>
            <w:vMerge w:val="restart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ro-RO"/>
              </w:rPr>
              <w:t>Denumirea acţiunii</w:t>
            </w:r>
          </w:p>
        </w:tc>
        <w:tc>
          <w:tcPr>
            <w:tcW w:w="8402" w:type="dxa"/>
            <w:gridSpan w:val="6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Total 2017-2021</w:t>
            </w:r>
          </w:p>
        </w:tc>
      </w:tr>
      <w:tr w:rsidR="00BB73E3">
        <w:tc>
          <w:tcPr>
            <w:tcW w:w="988" w:type="dxa"/>
            <w:vMerge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color w:val="000000" w:themeColor="text1"/>
                <w:sz w:val="28"/>
              </w:rPr>
            </w:pPr>
          </w:p>
        </w:tc>
        <w:tc>
          <w:tcPr>
            <w:tcW w:w="5744" w:type="dxa"/>
            <w:vMerge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color w:val="000000" w:themeColor="text1"/>
                <w:sz w:val="28"/>
              </w:rPr>
            </w:pP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Total</w:t>
            </w:r>
          </w:p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(mii lei)</w:t>
            </w:r>
          </w:p>
        </w:tc>
        <w:tc>
          <w:tcPr>
            <w:tcW w:w="1656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 xml:space="preserve">Fondurile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asigurării obligatorii de asistenţă medicală urgentă</w:t>
            </w:r>
          </w:p>
        </w:tc>
        <w:tc>
          <w:tcPr>
            <w:tcW w:w="1329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Bugetul de Stat</w:t>
            </w:r>
          </w:p>
        </w:tc>
        <w:tc>
          <w:tcPr>
            <w:tcW w:w="1350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Finanţare din proiecte şi granturi aprobate spre finanțare</w:t>
            </w:r>
          </w:p>
        </w:tc>
        <w:tc>
          <w:tcPr>
            <w:tcW w:w="1308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Finanţare din proiecte şi granturi înaintate spre finanțare</w:t>
            </w:r>
          </w:p>
        </w:tc>
        <w:tc>
          <w:tcPr>
            <w:tcW w:w="1306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Costuri neacoperite</w:t>
            </w:r>
          </w:p>
        </w:tc>
      </w:tr>
    </w:tbl>
    <w:p w:rsidR="00BB73E3" w:rsidRDefault="00BB73E3">
      <w:pPr>
        <w:spacing w:after="0"/>
        <w:rPr>
          <w:sz w:val="2"/>
          <w:szCs w:val="2"/>
        </w:rPr>
      </w:pPr>
    </w:p>
    <w:tbl>
      <w:tblPr>
        <w:tblStyle w:val="5"/>
        <w:tblW w:w="5000" w:type="pct"/>
        <w:tblLook w:val="0620" w:firstRow="1" w:lastRow="0" w:firstColumn="0" w:lastColumn="0" w:noHBand="1" w:noVBand="1"/>
      </w:tblPr>
      <w:tblGrid>
        <w:gridCol w:w="957"/>
        <w:gridCol w:w="42"/>
        <w:gridCol w:w="5811"/>
        <w:gridCol w:w="12"/>
        <w:gridCol w:w="1476"/>
        <w:gridCol w:w="1648"/>
        <w:gridCol w:w="31"/>
        <w:gridCol w:w="1317"/>
        <w:gridCol w:w="31"/>
        <w:gridCol w:w="1176"/>
        <w:gridCol w:w="154"/>
        <w:gridCol w:w="40"/>
        <w:gridCol w:w="1136"/>
        <w:gridCol w:w="126"/>
        <w:gridCol w:w="65"/>
        <w:gridCol w:w="1330"/>
      </w:tblGrid>
      <w:tr w:rsidR="00BB73E3">
        <w:trPr>
          <w:tblHeader/>
        </w:trPr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o-RO"/>
              </w:rPr>
              <w:t>1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ro-RO"/>
              </w:rPr>
              <w:t>2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7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0"/>
                <w:szCs w:val="20"/>
                <w:lang w:val="ro-RO"/>
              </w:rPr>
              <w:t>8</w:t>
            </w:r>
          </w:p>
        </w:tc>
      </w:tr>
      <w:tr w:rsidR="00BB73E3">
        <w:tc>
          <w:tcPr>
            <w:tcW w:w="15134" w:type="dxa"/>
            <w:gridSpan w:val="16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  <w:p w:rsidR="00BB73E3" w:rsidRDefault="007C26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Armonizarea cadrului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legislativ cu asigurarea respectarii drepturilor fundamentale ale omului și oferirea oportunităților echitabile de atingere a celor mai înalte standarde de viață pentru persoanele cu probleme de sănătate mintală</w:t>
            </w:r>
          </w:p>
          <w:p w:rsidR="00BB73E3" w:rsidRDefault="00BB73E3">
            <w:pPr>
              <w:pStyle w:val="ListParagraph"/>
              <w:spacing w:after="0" w:line="240" w:lineRule="auto"/>
              <w:ind w:left="108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1.1.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Revizuirea cadrului legislativ si nor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mativ ce țin de prestarea serviciilor de sănătate mintală,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inclusiv  și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fără liberul consimțământ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220,0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90,0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110,0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1.2.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Crearea și identificarea mecanismelor de participare a persoanelor afectate de maladii mintale în procesul de elaborare,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implementarea, monitorizare și evaluarea politicilor și serviciilor de sănătate mintală.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420,0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125,0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280,0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rPr>
                <w:rFonts w:ascii="Calibri" w:eastAsia="Calibri" w:hAnsi="Calibri"/>
                <w:color w:val="000000" w:themeColor="text1"/>
                <w:sz w:val="24"/>
              </w:rPr>
            </w:pP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</w:p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Total  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640,0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105,0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235,0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280,0</w:t>
            </w:r>
          </w:p>
        </w:tc>
      </w:tr>
      <w:tr w:rsidR="00BB73E3">
        <w:tc>
          <w:tcPr>
            <w:tcW w:w="15134" w:type="dxa"/>
            <w:gridSpan w:val="16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  <w:p w:rsidR="00BB73E3" w:rsidRDefault="007C26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Organizarea rețelei de servicii de sănătate mintală conform necesităților persoanelor cu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tulburări psihice și asigurarea accesibilității la servicii sigure, calitative de sănătate mintală pentru adulți și copii pe tot parcursul vieții la toate nivelurile de asistență medicala</w:t>
            </w:r>
          </w:p>
          <w:p w:rsidR="00BB73E3" w:rsidRDefault="00BB73E3">
            <w:pPr>
              <w:pStyle w:val="ListParagraph"/>
              <w:spacing w:after="0" w:line="240" w:lineRule="auto"/>
              <w:ind w:left="108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2.1.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Integrarea sănătății mintale în asistența medicală primară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80,0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65,0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>2.2.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Fortificarea capacității Centrelor Comunitare de Sănătate Mintală din unitățile administrativ-teritoriale în promovare, profilaxie, tratament și reabilitare psihosocială a persoanelor cu probleme de sănătate mintală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155755,0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143570,0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120,0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12050,0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2.3.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Oferirea statutului special serviciilor de sănătate mintală din 4 raioane pilot în cadrul proiectului Reforma în sănătatea mintală din Republica Moldova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6325,0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1250,0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50,0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5000,0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2.4.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Ajustarea și reorganizarea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serviciilor specializate de nivel secundar (raional) și terțiar (republican) de sănătate mintală la standardele internationale cu distribuirea uniformă a acestora și crearea paturilor de intervenție în criză si de lungă durată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772530,0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746500,0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26000,0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2.5.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Crearea serviciilor specializate pentru persoanele cu probleme de sănătate mintală din diverse grupe de vărsă la nivel de comunitate: copii, adolescenți și bătrîni.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14000,0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5500,0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8500,0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rPr>
                <w:rFonts w:ascii="Calibri" w:eastAsia="Calibri" w:hAnsi="Calibri"/>
                <w:color w:val="000000" w:themeColor="text1"/>
                <w:sz w:val="24"/>
              </w:rPr>
            </w:pP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948690,0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896820,0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55,0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265,0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0,0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51550,0</w:t>
            </w:r>
          </w:p>
        </w:tc>
      </w:tr>
      <w:tr w:rsidR="00BB73E3">
        <w:tc>
          <w:tcPr>
            <w:tcW w:w="15134" w:type="dxa"/>
            <w:gridSpan w:val="16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3. Consolidarea capacităților specialiștilor (în domeniul sănătății și asistenței sociale) care lucrează în serviciile de sănătate mintală</w:t>
            </w:r>
          </w:p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3.1.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Curriculele de instruire pentru toate categoriile de personal dezvoltate și aprobate în conformitate cu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standardele internaționale și înglobând noul model de îngrijiri introdus în cadrul reformei serviciilor de sănătate mintală din Moldova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1650,0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290,0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1360,0</w:t>
            </w:r>
          </w:p>
        </w:tc>
      </w:tr>
      <w:tr w:rsidR="00BB73E3">
        <w:trPr>
          <w:trHeight w:val="740"/>
        </w:trPr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3.2.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Elaborarea protocoalelor clinice și standardelor de tratament bazate pe dovezi în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acordarea tratamentului eficient;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240,0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40,0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200,0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  <w:vAlign w:val="center"/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3.3.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Fortificarea capacităților profesioniștilor din domeniu referitor la sănătatea mintală;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7240,0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390,0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2150,0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4700,0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3.4.</w:t>
            </w: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Elaborarea programelor de suport pentru cupluri și familii în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vederea fortificării sănătății mintale și prevenirii tulburărilor psihice.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385,0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60,0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270,0</w:t>
            </w:r>
          </w:p>
        </w:tc>
      </w:tr>
      <w:tr w:rsidR="00BB73E3">
        <w:tc>
          <w:tcPr>
            <w:tcW w:w="98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rPr>
                <w:rFonts w:ascii="Calibri" w:eastAsia="Calibri" w:hAnsi="Calibri"/>
                <w:color w:val="000000" w:themeColor="text1"/>
                <w:sz w:val="24"/>
              </w:rPr>
            </w:pPr>
          </w:p>
        </w:tc>
        <w:tc>
          <w:tcPr>
            <w:tcW w:w="5741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453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9515,0</w:t>
            </w:r>
          </w:p>
        </w:tc>
        <w:tc>
          <w:tcPr>
            <w:tcW w:w="1656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390,0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55,0</w:t>
            </w:r>
          </w:p>
        </w:tc>
        <w:tc>
          <w:tcPr>
            <w:tcW w:w="1350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2680,0</w:t>
            </w: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60,0</w:t>
            </w:r>
          </w:p>
        </w:tc>
        <w:tc>
          <w:tcPr>
            <w:tcW w:w="1311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6330,0</w:t>
            </w:r>
          </w:p>
        </w:tc>
      </w:tr>
      <w:tr w:rsidR="00BB73E3">
        <w:tc>
          <w:tcPr>
            <w:tcW w:w="15134" w:type="dxa"/>
            <w:gridSpan w:val="16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4.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Colaborarea </w:t>
            </w:r>
            <w:proofErr w:type="gramStart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intersectorială  pentru</w:t>
            </w:r>
            <w:proofErr w:type="gramEnd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un sistem de sănătate mintală eficient cu accente pe grupurile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social-vulnerabile expuse la factori determinanți și evenimente nefavorabile</w:t>
            </w:r>
          </w:p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4.1.</w:t>
            </w: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Elaborarea parteneriateor intersectoriale cu specificarea obligațiunilor fiecărui partener în acordarea serviciilor de sănătate mintală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1170,0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42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160,0</w:t>
            </w:r>
          </w:p>
        </w:tc>
        <w:tc>
          <w:tcPr>
            <w:tcW w:w="1283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73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1010,0</w:t>
            </w: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4.2.</w:t>
            </w: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Elaborarea și implementarea strategiilor de prevenție a suicidului cu activități de abordare a grupurilor supuse riscului și mecanisme de monitorizare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140,0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10,0</w:t>
            </w:r>
          </w:p>
        </w:tc>
        <w:tc>
          <w:tcPr>
            <w:tcW w:w="1342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10,0</w:t>
            </w:r>
          </w:p>
        </w:tc>
        <w:tc>
          <w:tcPr>
            <w:tcW w:w="1283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73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120,0</w:t>
            </w: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4.3.</w:t>
            </w: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Colaborarea intersectorială în vederea facilitării procesului de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dezinstitutionalizare a persoanelor cu probleme de sănătate mintală.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180,0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42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30,0</w:t>
            </w:r>
          </w:p>
        </w:tc>
        <w:tc>
          <w:tcPr>
            <w:tcW w:w="1283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40,0</w:t>
            </w:r>
          </w:p>
        </w:tc>
        <w:tc>
          <w:tcPr>
            <w:tcW w:w="1373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110,0</w:t>
            </w: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1490,0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10,0</w:t>
            </w:r>
          </w:p>
        </w:tc>
        <w:tc>
          <w:tcPr>
            <w:tcW w:w="1342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200,0</w:t>
            </w:r>
          </w:p>
        </w:tc>
        <w:tc>
          <w:tcPr>
            <w:tcW w:w="1283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40,0</w:t>
            </w:r>
          </w:p>
        </w:tc>
        <w:tc>
          <w:tcPr>
            <w:tcW w:w="1373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1240,0</w:t>
            </w:r>
          </w:p>
        </w:tc>
      </w:tr>
      <w:tr w:rsidR="00BB73E3">
        <w:tc>
          <w:tcPr>
            <w:tcW w:w="15134" w:type="dxa"/>
            <w:gridSpan w:val="16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5. Sporirea nivelului de sensibilizare față de problemele de sănătate mintală și mobilizarea comunității pentru o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incluziune socială a persoanelor cu probleme de sănătate mintală.</w:t>
            </w:r>
          </w:p>
          <w:p w:rsidR="00BB73E3" w:rsidRDefault="00BB73E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5.1.</w:t>
            </w: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Promovarea sănătății mintale și diminuarea fenomenului de stigmă în comunitate prin activități de informare și advocacy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1865,0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25,0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480,0</w:t>
            </w:r>
          </w:p>
        </w:tc>
        <w:tc>
          <w:tcPr>
            <w:tcW w:w="1311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1360,0</w:t>
            </w: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5.2.</w:t>
            </w: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Construirea unei atitudini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echitabile și integrarea comunitară a persoanelor cu probleme de sănătate mintală.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820,0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40,0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10,0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110,0</w:t>
            </w:r>
          </w:p>
        </w:tc>
        <w:tc>
          <w:tcPr>
            <w:tcW w:w="1311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60,0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600,0</w:t>
            </w: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5.3.</w:t>
            </w: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Monitorizarea respectării drepturilor persoanelor cu probleme de sănătate mintală de către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mass-media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90,0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90,0</w:t>
            </w:r>
          </w:p>
        </w:tc>
        <w:tc>
          <w:tcPr>
            <w:tcW w:w="1311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o-RO"/>
              </w:rPr>
              <w:t>0</w:t>
            </w: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rPr>
                <w:rFonts w:ascii="Calibri" w:eastAsia="Calibri" w:hAnsi="Calibri"/>
                <w:color w:val="000000" w:themeColor="text1"/>
                <w:sz w:val="24"/>
              </w:rPr>
            </w:pP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2775,0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40,0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35,0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680,0</w:t>
            </w:r>
          </w:p>
        </w:tc>
        <w:tc>
          <w:tcPr>
            <w:tcW w:w="1311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60,0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1960,0</w:t>
            </w: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rPr>
                <w:rFonts w:ascii="Calibri" w:eastAsia="Calibri" w:hAnsi="Calibri"/>
                <w:color w:val="000000" w:themeColor="text1"/>
                <w:sz w:val="24"/>
              </w:rPr>
            </w:pP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both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19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311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497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jc w:val="center"/>
              <w:rPr>
                <w:rFonts w:ascii="Calibri" w:eastAsia="Calibri" w:hAnsi="Calibri"/>
                <w:b/>
                <w:color w:val="000000" w:themeColor="text1"/>
                <w:sz w:val="24"/>
              </w:rPr>
            </w:pPr>
          </w:p>
        </w:tc>
      </w:tr>
      <w:tr w:rsidR="00BB73E3"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BB73E3" w:rsidRDefault="00BB73E3">
            <w:pPr>
              <w:spacing w:after="0" w:line="240" w:lineRule="auto"/>
              <w:rPr>
                <w:rFonts w:ascii="Calibri" w:eastAsia="Calibri" w:hAnsi="Calibri"/>
                <w:color w:val="000000" w:themeColor="text1"/>
                <w:sz w:val="24"/>
              </w:rPr>
            </w:pPr>
          </w:p>
        </w:tc>
        <w:tc>
          <w:tcPr>
            <w:tcW w:w="577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1467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963110,0</w:t>
            </w:r>
          </w:p>
        </w:tc>
        <w:tc>
          <w:tcPr>
            <w:tcW w:w="1625" w:type="dxa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897250,0</w:t>
            </w:r>
          </w:p>
        </w:tc>
        <w:tc>
          <w:tcPr>
            <w:tcW w:w="1329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260,0</w:t>
            </w:r>
          </w:p>
        </w:tc>
        <w:tc>
          <w:tcPr>
            <w:tcW w:w="1190" w:type="dxa"/>
            <w:gridSpan w:val="2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4060,0</w:t>
            </w:r>
          </w:p>
        </w:tc>
        <w:tc>
          <w:tcPr>
            <w:tcW w:w="1311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180,0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8" w:type="dxa"/>
            </w:tcMar>
          </w:tcPr>
          <w:p w:rsidR="00BB73E3" w:rsidRDefault="007C26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o-RO"/>
              </w:rPr>
              <w:t>61360,0</w:t>
            </w:r>
          </w:p>
        </w:tc>
      </w:tr>
    </w:tbl>
    <w:p w:rsidR="00BB73E3" w:rsidRDefault="00BB73E3">
      <w:pPr>
        <w:spacing w:after="0" w:line="240" w:lineRule="auto"/>
        <w:jc w:val="center"/>
      </w:pPr>
    </w:p>
    <w:sectPr w:rsidR="00BB73E3">
      <w:headerReference w:type="default" r:id="rId9"/>
      <w:footerReference w:type="default" r:id="rId10"/>
      <w:pgSz w:w="16838" w:h="11906" w:orient="landscape"/>
      <w:pgMar w:top="851" w:right="851" w:bottom="851" w:left="85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6E4">
      <w:pPr>
        <w:spacing w:after="0" w:line="240" w:lineRule="auto"/>
      </w:pPr>
      <w:r>
        <w:separator/>
      </w:r>
    </w:p>
  </w:endnote>
  <w:endnote w:type="continuationSeparator" w:id="0">
    <w:p w:rsidR="00000000" w:rsidRDefault="007C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HG明朝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E3" w:rsidRDefault="00BB73E3">
    <w:pPr>
      <w:pStyle w:val="Footer"/>
    </w:pPr>
  </w:p>
  <w:p w:rsidR="00BB73E3" w:rsidRDefault="00BB73E3">
    <w:pPr>
      <w:pStyle w:val="Footer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6E4">
      <w:pPr>
        <w:spacing w:after="0" w:line="240" w:lineRule="auto"/>
      </w:pPr>
      <w:r>
        <w:separator/>
      </w:r>
    </w:p>
  </w:footnote>
  <w:footnote w:type="continuationSeparator" w:id="0">
    <w:p w:rsidR="00000000" w:rsidRDefault="007C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344206"/>
      <w:docPartObj>
        <w:docPartGallery w:val="Page Numbers (Top of Page)"/>
        <w:docPartUnique/>
      </w:docPartObj>
    </w:sdtPr>
    <w:sdtEndPr/>
    <w:sdtContent>
      <w:p w:rsidR="00BB73E3" w:rsidRDefault="007C26E4">
        <w:pPr>
          <w:pStyle w:val="Header"/>
          <w:jc w:val="center"/>
        </w:pPr>
        <w:r>
          <w:rPr>
            <w:rFonts w:ascii="Times New Roman" w:hAnsi="Times New Roman"/>
          </w:rP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5274"/>
    <w:multiLevelType w:val="multilevel"/>
    <w:tmpl w:val="0BCA86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41D7E53"/>
    <w:multiLevelType w:val="multilevel"/>
    <w:tmpl w:val="0A28E2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E3"/>
    <w:rsid w:val="007C26E4"/>
    <w:rsid w:val="00BB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1767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A87838"/>
  </w:style>
  <w:style w:type="character" w:styleId="Strong">
    <w:name w:val="Strong"/>
    <w:uiPriority w:val="22"/>
    <w:qFormat/>
    <w:rsid w:val="00A87838"/>
    <w:rPr>
      <w:b/>
      <w:bCs/>
    </w:rPr>
  </w:style>
  <w:style w:type="character" w:styleId="Emphasis">
    <w:name w:val="Emphasis"/>
    <w:uiPriority w:val="20"/>
    <w:qFormat/>
    <w:rsid w:val="00357CB9"/>
    <w:rPr>
      <w:i/>
      <w:iCs/>
    </w:rPr>
  </w:style>
  <w:style w:type="character" w:customStyle="1" w:styleId="TitleChar">
    <w:name w:val="Title Char"/>
    <w:link w:val="Title"/>
    <w:uiPriority w:val="10"/>
    <w:qFormat/>
    <w:rsid w:val="00782D44"/>
    <w:rPr>
      <w:rFonts w:ascii="Cambria" w:eastAsia="Times New Roman" w:hAnsi="Cambria" w:cs="Times New Roman"/>
      <w:b/>
      <w:bCs/>
      <w:sz w:val="32"/>
      <w:szCs w:val="32"/>
      <w:lang w:val="en-US" w:eastAsia="en-US"/>
    </w:rPr>
  </w:style>
  <w:style w:type="character" w:customStyle="1" w:styleId="FontStyle47">
    <w:name w:val="Font Style47"/>
    <w:uiPriority w:val="99"/>
    <w:qFormat/>
    <w:rsid w:val="00522CF0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57">
    <w:name w:val="Font Style57"/>
    <w:uiPriority w:val="99"/>
    <w:qFormat/>
    <w:rsid w:val="001947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7073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37073"/>
    <w:rPr>
      <w:sz w:val="22"/>
      <w:szCs w:val="22"/>
      <w:lang w:val="en-US" w:eastAsia="en-US"/>
    </w:rPr>
  </w:style>
  <w:style w:type="character" w:customStyle="1" w:styleId="ListLabel1">
    <w:name w:val="ListLabel 1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43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767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8783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4C5D29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82D44"/>
    <w:pPr>
      <w:spacing w:before="240" w:after="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707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7073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Heading"/>
    <w:qFormat/>
  </w:style>
  <w:style w:type="numbering" w:customStyle="1" w:styleId="1">
    <w:name w:val="Нет списка1"/>
    <w:uiPriority w:val="99"/>
    <w:semiHidden/>
    <w:unhideWhenUsed/>
    <w:rsid w:val="00AD14E0"/>
  </w:style>
  <w:style w:type="table" w:styleId="TableGrid">
    <w:name w:val="Table Grid"/>
    <w:basedOn w:val="TableNormal"/>
    <w:uiPriority w:val="39"/>
    <w:rsid w:val="00EC597F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uiPriority w:val="39"/>
    <w:rsid w:val="00644B9C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17674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A87838"/>
  </w:style>
  <w:style w:type="character" w:styleId="Strong">
    <w:name w:val="Strong"/>
    <w:uiPriority w:val="22"/>
    <w:qFormat/>
    <w:rsid w:val="00A87838"/>
    <w:rPr>
      <w:b/>
      <w:bCs/>
    </w:rPr>
  </w:style>
  <w:style w:type="character" w:styleId="Emphasis">
    <w:name w:val="Emphasis"/>
    <w:uiPriority w:val="20"/>
    <w:qFormat/>
    <w:rsid w:val="00357CB9"/>
    <w:rPr>
      <w:i/>
      <w:iCs/>
    </w:rPr>
  </w:style>
  <w:style w:type="character" w:customStyle="1" w:styleId="TitleChar">
    <w:name w:val="Title Char"/>
    <w:link w:val="Title"/>
    <w:uiPriority w:val="10"/>
    <w:qFormat/>
    <w:rsid w:val="00782D44"/>
    <w:rPr>
      <w:rFonts w:ascii="Cambria" w:eastAsia="Times New Roman" w:hAnsi="Cambria" w:cs="Times New Roman"/>
      <w:b/>
      <w:bCs/>
      <w:sz w:val="32"/>
      <w:szCs w:val="32"/>
      <w:lang w:val="en-US" w:eastAsia="en-US"/>
    </w:rPr>
  </w:style>
  <w:style w:type="character" w:customStyle="1" w:styleId="FontStyle47">
    <w:name w:val="Font Style47"/>
    <w:uiPriority w:val="99"/>
    <w:qFormat/>
    <w:rsid w:val="00522CF0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57">
    <w:name w:val="Font Style57"/>
    <w:uiPriority w:val="99"/>
    <w:qFormat/>
    <w:rsid w:val="001947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7073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37073"/>
    <w:rPr>
      <w:sz w:val="22"/>
      <w:szCs w:val="22"/>
      <w:lang w:val="en-US" w:eastAsia="en-US"/>
    </w:rPr>
  </w:style>
  <w:style w:type="character" w:customStyle="1" w:styleId="ListLabel1">
    <w:name w:val="ListLabel 1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43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767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8783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4C5D29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82D44"/>
    <w:pPr>
      <w:spacing w:before="240" w:after="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707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7073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Heading"/>
    <w:qFormat/>
  </w:style>
  <w:style w:type="numbering" w:customStyle="1" w:styleId="1">
    <w:name w:val="Нет списка1"/>
    <w:uiPriority w:val="99"/>
    <w:semiHidden/>
    <w:unhideWhenUsed/>
    <w:rsid w:val="00AD14E0"/>
  </w:style>
  <w:style w:type="table" w:styleId="TableGrid">
    <w:name w:val="Table Grid"/>
    <w:basedOn w:val="TableNormal"/>
    <w:uiPriority w:val="39"/>
    <w:rsid w:val="00EC597F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uiPriority w:val="39"/>
    <w:rsid w:val="00AD14E0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uiPriority w:val="39"/>
    <w:rsid w:val="00644B9C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1E59-A522-1C4B-83B3-2792988B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4171</Characters>
  <Application>Microsoft Macintosh Word</Application>
  <DocSecurity>0</DocSecurity>
  <Lines>34</Lines>
  <Paragraphs>9</Paragraphs>
  <ScaleCrop>false</ScaleCrop>
  <Company>MS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Munteanu</dc:creator>
  <cp:lastModifiedBy>Jana</cp:lastModifiedBy>
  <cp:revision>2</cp:revision>
  <cp:lastPrinted>2016-08-10T08:44:00Z</cp:lastPrinted>
  <dcterms:created xsi:type="dcterms:W3CDTF">2016-11-14T22:01:00Z</dcterms:created>
  <dcterms:modified xsi:type="dcterms:W3CDTF">2016-11-14T22:01:00Z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