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B1" w:rsidRPr="00E42638" w:rsidRDefault="00C802B1" w:rsidP="001D6721">
      <w:pPr>
        <w:pStyle w:val="Heading6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ro-RO"/>
        </w:rPr>
      </w:pPr>
      <w:bookmarkStart w:id="0" w:name="_GoBack"/>
      <w:bookmarkEnd w:id="0"/>
    </w:p>
    <w:p w:rsidR="007662DE" w:rsidRPr="00E42638" w:rsidRDefault="008B2809" w:rsidP="007662DE">
      <w:pPr>
        <w:pStyle w:val="Heading6"/>
        <w:spacing w:before="0" w:beforeAutospacing="0" w:after="0" w:afterAutospacing="0"/>
        <w:ind w:firstLine="720"/>
        <w:jc w:val="right"/>
        <w:rPr>
          <w:b w:val="0"/>
          <w:bCs w:val="0"/>
          <w:color w:val="000000"/>
          <w:sz w:val="24"/>
          <w:szCs w:val="24"/>
          <w:lang w:val="ro-RO"/>
        </w:rPr>
      </w:pPr>
      <w:r w:rsidRPr="00E42638">
        <w:rPr>
          <w:b w:val="0"/>
          <w:bCs w:val="0"/>
          <w:color w:val="000000"/>
          <w:sz w:val="24"/>
          <w:szCs w:val="24"/>
          <w:lang w:val="ro-RO"/>
        </w:rPr>
        <w:t xml:space="preserve"> </w:t>
      </w:r>
      <w:r w:rsidR="006D50D3" w:rsidRPr="00E42638">
        <w:rPr>
          <w:b w:val="0"/>
          <w:bCs w:val="0"/>
          <w:color w:val="000000"/>
          <w:sz w:val="24"/>
          <w:szCs w:val="24"/>
          <w:lang w:val="ro-RO"/>
        </w:rPr>
        <w:t xml:space="preserve"> </w:t>
      </w:r>
      <w:r w:rsidR="0083253B" w:rsidRPr="00E42638">
        <w:rPr>
          <w:b w:val="0"/>
          <w:bCs w:val="0"/>
          <w:color w:val="000000"/>
          <w:sz w:val="24"/>
          <w:szCs w:val="24"/>
          <w:lang w:val="ro-RO"/>
        </w:rPr>
        <w:t xml:space="preserve"> </w:t>
      </w:r>
      <w:r w:rsidR="00A14C18" w:rsidRPr="00E42638">
        <w:rPr>
          <w:b w:val="0"/>
          <w:bCs w:val="0"/>
          <w:color w:val="000000"/>
          <w:sz w:val="24"/>
          <w:szCs w:val="24"/>
          <w:lang w:val="ro-RO"/>
        </w:rPr>
        <w:t xml:space="preserve"> </w:t>
      </w:r>
      <w:r w:rsidR="007662DE" w:rsidRPr="00E42638">
        <w:rPr>
          <w:b w:val="0"/>
          <w:bCs w:val="0"/>
          <w:color w:val="000000"/>
          <w:sz w:val="24"/>
          <w:szCs w:val="24"/>
          <w:lang w:val="ro-RO"/>
        </w:rPr>
        <w:t>P</w:t>
      </w:r>
      <w:r w:rsidR="007E50A9" w:rsidRPr="00E42638">
        <w:rPr>
          <w:b w:val="0"/>
          <w:bCs w:val="0"/>
          <w:color w:val="000000"/>
          <w:sz w:val="24"/>
          <w:szCs w:val="24"/>
          <w:lang w:val="ro-RO"/>
        </w:rPr>
        <w:t>roiect</w:t>
      </w:r>
    </w:p>
    <w:p w:rsidR="007E50A9" w:rsidRPr="00E42638" w:rsidRDefault="007E50A9" w:rsidP="007662DE">
      <w:pPr>
        <w:pStyle w:val="Heading6"/>
        <w:spacing w:before="0" w:beforeAutospacing="0" w:after="0" w:afterAutospacing="0"/>
        <w:ind w:firstLine="720"/>
        <w:jc w:val="center"/>
        <w:rPr>
          <w:sz w:val="24"/>
          <w:szCs w:val="24"/>
          <w:lang w:val="ro-RO"/>
        </w:rPr>
      </w:pPr>
      <w:r w:rsidRPr="00E42638">
        <w:rPr>
          <w:color w:val="000000"/>
          <w:sz w:val="24"/>
          <w:szCs w:val="24"/>
          <w:lang w:val="ro-RO"/>
        </w:rPr>
        <w:t>GUVERNUL REPUBLICII MOLDOVA</w:t>
      </w:r>
    </w:p>
    <w:p w:rsidR="007E50A9" w:rsidRPr="00E42638" w:rsidRDefault="0060150A" w:rsidP="007E50A9">
      <w:pPr>
        <w:pStyle w:val="Heading2"/>
        <w:spacing w:before="0" w:beforeAutospacing="0" w:after="0" w:afterAutospacing="0" w:line="276" w:lineRule="auto"/>
        <w:ind w:firstLine="720"/>
        <w:jc w:val="center"/>
        <w:rPr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HOTĂRÂ</w:t>
      </w:r>
      <w:r w:rsidR="007E50A9" w:rsidRPr="00E42638">
        <w:rPr>
          <w:color w:val="000000"/>
          <w:sz w:val="24"/>
          <w:szCs w:val="24"/>
          <w:lang w:val="ro-RO"/>
        </w:rPr>
        <w:t>RE nr.____</w:t>
      </w:r>
    </w:p>
    <w:p w:rsidR="007E50A9" w:rsidRPr="00E42638" w:rsidRDefault="007E50A9" w:rsidP="007E50A9">
      <w:pPr>
        <w:pStyle w:val="NormalWeb"/>
        <w:spacing w:before="0" w:beforeAutospacing="0" w:after="0" w:afterAutospacing="0" w:line="276" w:lineRule="auto"/>
        <w:ind w:firstLine="720"/>
        <w:jc w:val="center"/>
        <w:rPr>
          <w:lang w:val="ro-RO"/>
        </w:rPr>
      </w:pPr>
      <w:r w:rsidRPr="00E42638">
        <w:rPr>
          <w:b/>
          <w:bCs/>
          <w:color w:val="000000"/>
          <w:lang w:val="ro-RO"/>
        </w:rPr>
        <w:t>din ____________ 201</w:t>
      </w:r>
      <w:r w:rsidR="007B1E88" w:rsidRPr="00E42638">
        <w:rPr>
          <w:b/>
          <w:bCs/>
          <w:color w:val="000000"/>
          <w:lang w:val="ro-RO"/>
        </w:rPr>
        <w:t>6</w:t>
      </w:r>
    </w:p>
    <w:p w:rsidR="007E50A9" w:rsidRPr="00E42638" w:rsidRDefault="007E50A9" w:rsidP="007662DE">
      <w:pPr>
        <w:pStyle w:val="Heading4"/>
        <w:spacing w:before="0" w:beforeAutospacing="0" w:after="0" w:afterAutospacing="0" w:line="276" w:lineRule="auto"/>
        <w:ind w:firstLine="720"/>
        <w:jc w:val="center"/>
        <w:rPr>
          <w:color w:val="000000"/>
          <w:lang w:val="ro-RO"/>
        </w:rPr>
      </w:pPr>
      <w:proofErr w:type="spellStart"/>
      <w:r w:rsidRPr="00E42638">
        <w:rPr>
          <w:color w:val="000000"/>
          <w:lang w:val="ro-RO"/>
        </w:rPr>
        <w:t>Chişinău</w:t>
      </w:r>
      <w:proofErr w:type="spellEnd"/>
    </w:p>
    <w:p w:rsidR="007662DE" w:rsidRPr="00E42638" w:rsidRDefault="007662DE" w:rsidP="007662DE">
      <w:pPr>
        <w:pStyle w:val="Heading4"/>
        <w:spacing w:before="0" w:beforeAutospacing="0" w:after="0" w:afterAutospacing="0" w:line="276" w:lineRule="auto"/>
        <w:ind w:firstLine="720"/>
        <w:jc w:val="center"/>
        <w:rPr>
          <w:color w:val="000000"/>
          <w:lang w:val="ro-RO"/>
        </w:rPr>
      </w:pPr>
    </w:p>
    <w:p w:rsidR="0041167B" w:rsidRPr="00E42638" w:rsidRDefault="00DC5CA8" w:rsidP="007662DE">
      <w:pPr>
        <w:pStyle w:val="NormalWeb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lang w:val="ro-RO"/>
        </w:rPr>
      </w:pPr>
      <w:r w:rsidRPr="00E42638">
        <w:rPr>
          <w:b/>
          <w:i/>
          <w:noProof/>
          <w:lang w:val="ro-RO"/>
        </w:rPr>
        <w:t>pentru aprobarea Metodologiei aprobării conducătorilor de doctorat</w:t>
      </w:r>
    </w:p>
    <w:p w:rsidR="00D41BC2" w:rsidRPr="00E42638" w:rsidRDefault="007E50A9" w:rsidP="007662DE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0000"/>
          <w:lang w:val="ro-RO"/>
        </w:rPr>
      </w:pPr>
      <w:r w:rsidRPr="00E42638">
        <w:rPr>
          <w:color w:val="000000"/>
          <w:lang w:val="ro-RO"/>
        </w:rPr>
        <w:t xml:space="preserve">În </w:t>
      </w:r>
      <w:r w:rsidR="009E5B2D" w:rsidRPr="00E42638">
        <w:rPr>
          <w:color w:val="000000"/>
          <w:lang w:val="ro-RO"/>
        </w:rPr>
        <w:t>vederea implementării</w:t>
      </w:r>
      <w:r w:rsidRPr="00E42638">
        <w:rPr>
          <w:color w:val="000000"/>
          <w:lang w:val="ro-RO"/>
        </w:rPr>
        <w:t xml:space="preserve"> </w:t>
      </w:r>
      <w:r w:rsidR="009E5B2D" w:rsidRPr="00E42638">
        <w:rPr>
          <w:color w:val="000000"/>
          <w:lang w:val="ro-RO"/>
        </w:rPr>
        <w:t xml:space="preserve">prevederilor </w:t>
      </w:r>
      <w:r w:rsidR="007B1E88" w:rsidRPr="00E42638">
        <w:rPr>
          <w:noProof/>
          <w:lang w:val="ro-RO"/>
        </w:rPr>
        <w:t>art. 94, pct. 11</w:t>
      </w:r>
      <w:r w:rsidR="009E5B2D" w:rsidRPr="00E42638">
        <w:rPr>
          <w:color w:val="000000"/>
          <w:lang w:val="ro-RO"/>
        </w:rPr>
        <w:t xml:space="preserve"> din Codul educației al Republicii Moldova, adoptat prin Legea nr. 152 din 17 iulie 2014 (Monitorul Oficial al Republicii Moldova, 2014, nr.319-324, art.634)</w:t>
      </w:r>
      <w:r w:rsidR="007B1E88" w:rsidRPr="00E42638">
        <w:rPr>
          <w:color w:val="000000"/>
          <w:lang w:val="ro-RO"/>
        </w:rPr>
        <w:t xml:space="preserve">, </w:t>
      </w:r>
      <w:r w:rsidR="00D117AC" w:rsidRPr="00E42638">
        <w:rPr>
          <w:color w:val="000000"/>
          <w:lang w:val="ro-RO"/>
        </w:rPr>
        <w:t>cât</w:t>
      </w:r>
      <w:r w:rsidR="007B1E88" w:rsidRPr="00E42638">
        <w:rPr>
          <w:color w:val="000000"/>
          <w:lang w:val="ro-RO"/>
        </w:rPr>
        <w:t xml:space="preserve"> și a art. 49-51 ale </w:t>
      </w:r>
      <w:r w:rsidR="007B1E88" w:rsidRPr="00E42638">
        <w:rPr>
          <w:noProof/>
          <w:lang w:val="ro-RO"/>
        </w:rPr>
        <w:t>Regulamentului privind organizarea studiilor superioare de doctorat, cicl</w:t>
      </w:r>
      <w:r w:rsidR="0060150A">
        <w:rPr>
          <w:noProof/>
          <w:lang w:val="ro-RO"/>
        </w:rPr>
        <w:t>ul III, aprobat prin Hotărâ</w:t>
      </w:r>
      <w:r w:rsidR="007B1E88" w:rsidRPr="00E42638">
        <w:rPr>
          <w:noProof/>
          <w:lang w:val="ro-RO"/>
        </w:rPr>
        <w:t>rea de Guvern nr. 1007 din 10.12.2014 (Monitorul Oficial al Republicii Moldova, 2014, Nr. 386-396, art. 1101)</w:t>
      </w:r>
      <w:r w:rsidR="009E5B2D" w:rsidRPr="00E42638">
        <w:rPr>
          <w:color w:val="000000"/>
          <w:lang w:val="ro-RO"/>
        </w:rPr>
        <w:t>,</w:t>
      </w:r>
      <w:r w:rsidR="007662DE" w:rsidRPr="00E42638">
        <w:rPr>
          <w:color w:val="000000"/>
          <w:lang w:val="ro-RO"/>
        </w:rPr>
        <w:t xml:space="preserve"> precum și </w:t>
      </w:r>
      <w:r w:rsidR="00D117AC" w:rsidRPr="00E42638">
        <w:rPr>
          <w:color w:val="000000"/>
          <w:lang w:val="ro-RO"/>
        </w:rPr>
        <w:t>luând</w:t>
      </w:r>
      <w:r w:rsidR="007662DE" w:rsidRPr="00E42638">
        <w:rPr>
          <w:color w:val="000000"/>
          <w:lang w:val="ro-RO"/>
        </w:rPr>
        <w:t xml:space="preserve"> în considerare necesitatea</w:t>
      </w:r>
      <w:r w:rsidR="009E5B2D" w:rsidRPr="00E42638">
        <w:rPr>
          <w:color w:val="000000"/>
          <w:lang w:val="ro-RO"/>
        </w:rPr>
        <w:t xml:space="preserve"> </w:t>
      </w:r>
      <w:r w:rsidR="00DC5CA8" w:rsidRPr="00E42638">
        <w:rPr>
          <w:color w:val="000000"/>
          <w:lang w:val="ro-RO"/>
        </w:rPr>
        <w:t xml:space="preserve">aplicării </w:t>
      </w:r>
      <w:r w:rsidR="00DC5CA8" w:rsidRPr="00E42638">
        <w:rPr>
          <w:noProof/>
          <w:lang w:val="ro-RO"/>
        </w:rPr>
        <w:t>Ordinului Nr. 848 din 24 august 2015 al Ministrului Educației al Republicii Moldova „Cu privire la aprobarea Indicatorilor de per</w:t>
      </w:r>
      <w:r w:rsidR="003A5902">
        <w:rPr>
          <w:noProof/>
          <w:lang w:val="ro-RO"/>
        </w:rPr>
        <w:t>formanţă ştiinţifică pentru dobî</w:t>
      </w:r>
      <w:r w:rsidR="00DC5CA8" w:rsidRPr="00E42638">
        <w:rPr>
          <w:noProof/>
          <w:lang w:val="ro-RO"/>
        </w:rPr>
        <w:t xml:space="preserve">ndirea calităţii de conducător de doctorat în Republica Moldova” (Monitorul Oficial al Republicii Moldova, 2015, Nr. 340-346, art. 2529) în procesul de </w:t>
      </w:r>
      <w:r w:rsidR="00A42119">
        <w:rPr>
          <w:noProof/>
          <w:lang w:val="ro-RO"/>
        </w:rPr>
        <w:t>acordare a dreptului</w:t>
      </w:r>
      <w:r w:rsidR="00DC5CA8" w:rsidRPr="00E42638">
        <w:rPr>
          <w:noProof/>
          <w:lang w:val="ro-RO"/>
        </w:rPr>
        <w:t xml:space="preserve"> </w:t>
      </w:r>
      <w:r w:rsidR="00A42119">
        <w:rPr>
          <w:noProof/>
          <w:lang w:val="ro-RO"/>
        </w:rPr>
        <w:t>de</w:t>
      </w:r>
      <w:r w:rsidR="00DC5CA8" w:rsidRPr="00E42638">
        <w:rPr>
          <w:noProof/>
          <w:lang w:val="ro-RO"/>
        </w:rPr>
        <w:t xml:space="preserve"> conducător de doctorat conform noilor prevederi</w:t>
      </w:r>
    </w:p>
    <w:p w:rsidR="007E50A9" w:rsidRPr="00207847" w:rsidRDefault="007E50A9" w:rsidP="00D41BC2">
      <w:pPr>
        <w:tabs>
          <w:tab w:val="left" w:pos="6390"/>
        </w:tabs>
        <w:ind w:firstLine="720"/>
        <w:jc w:val="both"/>
        <w:rPr>
          <w:bCs/>
          <w:sz w:val="28"/>
          <w:szCs w:val="28"/>
          <w:lang w:val="ro-RO"/>
        </w:rPr>
      </w:pPr>
      <w:r w:rsidRPr="00207847">
        <w:rPr>
          <w:b/>
          <w:sz w:val="28"/>
          <w:szCs w:val="28"/>
          <w:lang w:val="ro-RO"/>
        </w:rPr>
        <w:t xml:space="preserve">Guvernul </w:t>
      </w:r>
      <w:r w:rsidRPr="00207847">
        <w:rPr>
          <w:b/>
          <w:bCs/>
          <w:sz w:val="28"/>
          <w:szCs w:val="28"/>
          <w:lang w:val="ro-RO"/>
        </w:rPr>
        <w:t>HOTĂRĂŞTE</w:t>
      </w:r>
      <w:r w:rsidRPr="00207847">
        <w:rPr>
          <w:bCs/>
          <w:sz w:val="28"/>
          <w:szCs w:val="28"/>
          <w:lang w:val="ro-RO"/>
        </w:rPr>
        <w:t>:</w:t>
      </w:r>
    </w:p>
    <w:p w:rsidR="007E50A9" w:rsidRPr="00207847" w:rsidRDefault="007E50A9" w:rsidP="00207847">
      <w:pPr>
        <w:pStyle w:val="ListParagraph"/>
        <w:numPr>
          <w:ilvl w:val="0"/>
          <w:numId w:val="8"/>
        </w:numPr>
        <w:tabs>
          <w:tab w:val="left" w:pos="639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o-RO"/>
        </w:rPr>
      </w:pPr>
      <w:r w:rsidRPr="00207847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DC5CA8" w:rsidRPr="00207847">
        <w:rPr>
          <w:rFonts w:ascii="Times New Roman" w:hAnsi="Times New Roman" w:cs="Times New Roman"/>
          <w:i/>
          <w:sz w:val="28"/>
          <w:szCs w:val="28"/>
          <w:lang w:val="ro-RO"/>
        </w:rPr>
        <w:t>Metodologia aprobării conducătorilor de doctorat</w:t>
      </w:r>
      <w:r w:rsidRPr="00207847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207847">
        <w:rPr>
          <w:rFonts w:ascii="Times New Roman" w:hAnsi="Times New Roman" w:cs="Times New Roman"/>
          <w:sz w:val="28"/>
          <w:szCs w:val="28"/>
          <w:lang w:val="ro-RO"/>
        </w:rPr>
        <w:t>(se anexează).</w:t>
      </w:r>
      <w:r w:rsidRPr="00207847">
        <w:rPr>
          <w:rFonts w:ascii="Times New Roman" w:hAnsi="Times New Roman" w:cs="Times New Roman"/>
          <w:spacing w:val="-3"/>
          <w:sz w:val="28"/>
          <w:szCs w:val="28"/>
          <w:lang w:val="ro-RO"/>
        </w:rPr>
        <w:t xml:space="preserve"> </w:t>
      </w:r>
    </w:p>
    <w:p w:rsidR="00207847" w:rsidRPr="00207847" w:rsidRDefault="00207847" w:rsidP="00207847">
      <w:pPr>
        <w:pStyle w:val="ListParagraph"/>
        <w:numPr>
          <w:ilvl w:val="0"/>
          <w:numId w:val="8"/>
        </w:numPr>
        <w:tabs>
          <w:tab w:val="left" w:pos="6390"/>
        </w:tabs>
        <w:jc w:val="both"/>
        <w:rPr>
          <w:rFonts w:ascii="Times New Roman" w:hAnsi="Times New Roman" w:cs="Times New Roman"/>
          <w:spacing w:val="-3"/>
          <w:sz w:val="28"/>
          <w:szCs w:val="28"/>
          <w:lang w:val="ro-RO"/>
        </w:rPr>
      </w:pP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Ministerul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Educaţiei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207847">
        <w:rPr>
          <w:rFonts w:ascii="Times New Roman" w:hAnsi="Times New Roman" w:cs="Times New Roman"/>
          <w:sz w:val="28"/>
          <w:szCs w:val="28"/>
          <w:lang w:val="ro-RO"/>
        </w:rPr>
        <w:t xml:space="preserve">ministerele de resort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instituţiile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implicate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vor duce </w:t>
      </w:r>
      <w:proofErr w:type="gramStart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proofErr w:type="gram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A5902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3A590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E50A9" w:rsidRPr="00207847" w:rsidRDefault="007E50A9" w:rsidP="007E50A9">
      <w:pPr>
        <w:spacing w:line="276" w:lineRule="auto"/>
        <w:jc w:val="both"/>
        <w:rPr>
          <w:spacing w:val="-3"/>
          <w:sz w:val="28"/>
          <w:szCs w:val="28"/>
          <w:lang w:val="ro-RO"/>
        </w:rPr>
      </w:pPr>
    </w:p>
    <w:p w:rsidR="000F16BF" w:rsidRPr="00E42638" w:rsidRDefault="000F16BF" w:rsidP="007E50A9">
      <w:pPr>
        <w:spacing w:line="276" w:lineRule="auto"/>
        <w:jc w:val="both"/>
        <w:rPr>
          <w:lang w:val="ro-RO"/>
        </w:rPr>
      </w:pPr>
    </w:p>
    <w:p w:rsidR="000F16BF" w:rsidRPr="00E42638" w:rsidRDefault="000F16BF" w:rsidP="007E50A9">
      <w:pPr>
        <w:spacing w:line="276" w:lineRule="auto"/>
        <w:jc w:val="both"/>
        <w:rPr>
          <w:lang w:val="ro-RO"/>
        </w:rPr>
      </w:pPr>
    </w:p>
    <w:p w:rsidR="007E50A9" w:rsidRPr="00E42638" w:rsidRDefault="007E50A9" w:rsidP="002934E7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</w:pPr>
      <w:r w:rsidRPr="00E42638">
        <w:rPr>
          <w:sz w:val="24"/>
          <w:szCs w:val="24"/>
          <w:lang w:val="ro-RO"/>
        </w:rPr>
        <w:t>PRIM-MINISTRU</w:t>
      </w:r>
      <w:r w:rsidRPr="00E42638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</w:t>
      </w:r>
      <w:r w:rsidR="00DA5E45" w:rsidRPr="00E42638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  </w:t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               </w:t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ab/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ab/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ab/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ab/>
      </w:r>
      <w:r w:rsidR="003A5902">
        <w:rPr>
          <w:rStyle w:val="job"/>
          <w:sz w:val="24"/>
          <w:szCs w:val="24"/>
          <w:bdr w:val="none" w:sz="0" w:space="0" w:color="auto" w:frame="1"/>
          <w:shd w:val="clear" w:color="auto" w:fill="FFFFFF"/>
          <w:lang w:val="ro-RO"/>
        </w:rPr>
        <w:tab/>
        <w:t>Pavel FILIP</w:t>
      </w:r>
    </w:p>
    <w:p w:rsidR="00BA5F6B" w:rsidRPr="00E42638" w:rsidRDefault="00BA5F6B" w:rsidP="002934E7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pacing w:val="-12"/>
          <w:sz w:val="24"/>
          <w:szCs w:val="24"/>
          <w:lang w:val="ro-RO"/>
        </w:rPr>
      </w:pPr>
    </w:p>
    <w:p w:rsidR="007E50A9" w:rsidRPr="00E42638" w:rsidRDefault="007E50A9" w:rsidP="002934E7">
      <w:pPr>
        <w:pStyle w:val="NormalWeb"/>
        <w:spacing w:before="0" w:beforeAutospacing="0" w:after="0" w:afterAutospacing="0" w:line="276" w:lineRule="auto"/>
        <w:jc w:val="both"/>
        <w:rPr>
          <w:b/>
          <w:lang w:val="ro-RO"/>
        </w:rPr>
      </w:pPr>
      <w:r w:rsidRPr="00E42638">
        <w:rPr>
          <w:b/>
          <w:bCs/>
          <w:color w:val="000000"/>
          <w:lang w:val="ro-RO"/>
        </w:rPr>
        <w:t>Contrasemnează:</w:t>
      </w:r>
    </w:p>
    <w:p w:rsidR="007E50A9" w:rsidRPr="00E42638" w:rsidRDefault="007E50A9" w:rsidP="002934E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  <w:r w:rsidRPr="00E42638">
        <w:rPr>
          <w:b/>
          <w:color w:val="000000"/>
          <w:lang w:val="ro-RO"/>
        </w:rPr>
        <w:t xml:space="preserve">Viceprim </w:t>
      </w:r>
      <w:r w:rsidR="000F16BF" w:rsidRPr="00E42638">
        <w:rPr>
          <w:b/>
          <w:color w:val="000000"/>
          <w:lang w:val="ro-RO"/>
        </w:rPr>
        <w:t>–</w:t>
      </w:r>
      <w:r w:rsidRPr="00E42638">
        <w:rPr>
          <w:b/>
          <w:color w:val="000000"/>
          <w:lang w:val="ro-RO"/>
        </w:rPr>
        <w:t xml:space="preserve"> ministru</w:t>
      </w:r>
      <w:r w:rsidR="000F16BF" w:rsidRPr="00E42638">
        <w:rPr>
          <w:b/>
          <w:color w:val="000000"/>
          <w:lang w:val="ro-RO"/>
        </w:rPr>
        <w:t xml:space="preserve"> pe proble</w:t>
      </w:r>
      <w:r w:rsidR="003A5902">
        <w:rPr>
          <w:b/>
          <w:color w:val="000000"/>
          <w:lang w:val="ro-RO"/>
        </w:rPr>
        <w:t xml:space="preserve">me sociale </w:t>
      </w:r>
      <w:r w:rsidR="003A5902">
        <w:rPr>
          <w:b/>
          <w:color w:val="000000"/>
          <w:lang w:val="ro-RO"/>
        </w:rPr>
        <w:tab/>
      </w:r>
      <w:r w:rsidR="003A5902">
        <w:rPr>
          <w:b/>
          <w:color w:val="000000"/>
          <w:lang w:val="ro-RO"/>
        </w:rPr>
        <w:tab/>
      </w:r>
      <w:r w:rsidR="003A5902">
        <w:rPr>
          <w:b/>
          <w:color w:val="000000"/>
          <w:lang w:val="ro-RO"/>
        </w:rPr>
        <w:tab/>
      </w:r>
      <w:r w:rsidR="003A5902">
        <w:rPr>
          <w:b/>
          <w:color w:val="000000"/>
          <w:lang w:val="ro-RO"/>
        </w:rPr>
        <w:tab/>
        <w:t xml:space="preserve">   Gheorghe BREGA</w:t>
      </w:r>
    </w:p>
    <w:p w:rsidR="00B410AA" w:rsidRPr="00E42638" w:rsidRDefault="00B410AA" w:rsidP="002934E7">
      <w:pPr>
        <w:pStyle w:val="NormalWeb"/>
        <w:spacing w:before="0" w:beforeAutospacing="0" w:after="0" w:afterAutospacing="0" w:line="276" w:lineRule="auto"/>
        <w:jc w:val="both"/>
        <w:rPr>
          <w:b/>
          <w:lang w:val="ro-RO"/>
        </w:rPr>
      </w:pPr>
    </w:p>
    <w:p w:rsidR="007E50A9" w:rsidRPr="00E42638" w:rsidRDefault="007E50A9" w:rsidP="002934E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  <w:r w:rsidRPr="00E42638">
        <w:rPr>
          <w:b/>
          <w:color w:val="000000"/>
          <w:lang w:val="ro-RO"/>
        </w:rPr>
        <w:t xml:space="preserve">Ministrul </w:t>
      </w:r>
      <w:proofErr w:type="spellStart"/>
      <w:r w:rsidRPr="00E42638">
        <w:rPr>
          <w:b/>
          <w:color w:val="000000"/>
          <w:lang w:val="ro-RO"/>
        </w:rPr>
        <w:t>Educaţiei</w:t>
      </w:r>
      <w:proofErr w:type="spellEnd"/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DA5E45" w:rsidRPr="00E42638">
        <w:rPr>
          <w:rStyle w:val="apple-tab-span"/>
          <w:color w:val="000000"/>
          <w:lang w:val="ro-RO"/>
        </w:rPr>
        <w:tab/>
      </w:r>
      <w:r w:rsidR="00BA5F6B" w:rsidRPr="00E42638">
        <w:rPr>
          <w:rStyle w:val="apple-tab-span"/>
          <w:color w:val="000000"/>
          <w:lang w:val="ro-RO"/>
        </w:rPr>
        <w:t xml:space="preserve">   </w:t>
      </w:r>
      <w:r w:rsidR="003A5902">
        <w:rPr>
          <w:b/>
          <w:color w:val="000000"/>
          <w:lang w:val="ro-RO"/>
        </w:rPr>
        <w:t>Corina FUSU</w:t>
      </w:r>
    </w:p>
    <w:p w:rsidR="00443854" w:rsidRPr="00E42638" w:rsidRDefault="00443854" w:rsidP="002934E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</w:p>
    <w:p w:rsidR="00443854" w:rsidRPr="00E42638" w:rsidRDefault="00443854" w:rsidP="002934E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lang w:val="ro-RO"/>
        </w:rPr>
      </w:pPr>
    </w:p>
    <w:p w:rsidR="00443854" w:rsidRPr="00E42638" w:rsidRDefault="00443854" w:rsidP="002934E7">
      <w:pPr>
        <w:pStyle w:val="NormalWeb"/>
        <w:spacing w:before="0" w:beforeAutospacing="0" w:after="0" w:afterAutospacing="0" w:line="276" w:lineRule="auto"/>
        <w:jc w:val="both"/>
        <w:rPr>
          <w:b/>
          <w:lang w:val="ro-RO"/>
        </w:rPr>
      </w:pPr>
    </w:p>
    <w:p w:rsidR="00151133" w:rsidRPr="00E42638" w:rsidRDefault="00151133" w:rsidP="007B1E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B410AA" w:rsidRPr="00E42638" w:rsidRDefault="00B410AA" w:rsidP="007B1E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D117AC" w:rsidRPr="00E42638" w:rsidRDefault="00D117AC" w:rsidP="007B1E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D04D38" w:rsidRPr="00E42638" w:rsidRDefault="00D04D38" w:rsidP="007B1E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753362" w:rsidRDefault="00753362" w:rsidP="00143BE6">
      <w:pPr>
        <w:pStyle w:val="NormalWeb"/>
        <w:spacing w:before="0" w:beforeAutospacing="0" w:after="0" w:afterAutospacing="0"/>
        <w:jc w:val="right"/>
        <w:rPr>
          <w:color w:val="000000"/>
          <w:lang w:val="ro-RO"/>
        </w:rPr>
      </w:pPr>
    </w:p>
    <w:p w:rsidR="00753362" w:rsidRDefault="00753362" w:rsidP="00143BE6">
      <w:pPr>
        <w:pStyle w:val="NormalWeb"/>
        <w:spacing w:before="0" w:beforeAutospacing="0" w:after="0" w:afterAutospacing="0"/>
        <w:jc w:val="right"/>
        <w:rPr>
          <w:color w:val="000000"/>
          <w:lang w:val="ro-RO"/>
        </w:rPr>
      </w:pPr>
    </w:p>
    <w:p w:rsidR="00753362" w:rsidRDefault="00753362" w:rsidP="00143BE6">
      <w:pPr>
        <w:pStyle w:val="NormalWeb"/>
        <w:spacing w:before="0" w:beforeAutospacing="0" w:after="0" w:afterAutospacing="0"/>
        <w:jc w:val="right"/>
        <w:rPr>
          <w:color w:val="000000"/>
          <w:lang w:val="ro-RO"/>
        </w:rPr>
      </w:pPr>
    </w:p>
    <w:p w:rsidR="00143BE6" w:rsidRPr="00E42638" w:rsidRDefault="003A5902" w:rsidP="00143BE6">
      <w:pPr>
        <w:pStyle w:val="NormalWeb"/>
        <w:spacing w:before="0" w:beforeAutospacing="0" w:after="0" w:afterAutospacing="0"/>
        <w:jc w:val="right"/>
        <w:rPr>
          <w:lang w:val="ro-RO"/>
        </w:rPr>
      </w:pPr>
      <w:r>
        <w:rPr>
          <w:color w:val="000000"/>
          <w:lang w:val="ro-RO"/>
        </w:rPr>
        <w:lastRenderedPageBreak/>
        <w:t>Anexă</w:t>
      </w:r>
    </w:p>
    <w:p w:rsidR="003A5902" w:rsidRDefault="00D117AC" w:rsidP="00143BE6">
      <w:pPr>
        <w:pStyle w:val="NormalWeb"/>
        <w:spacing w:before="0" w:beforeAutospacing="0" w:after="0" w:afterAutospacing="0"/>
        <w:jc w:val="right"/>
        <w:rPr>
          <w:color w:val="000000"/>
          <w:lang w:val="ro-RO"/>
        </w:rPr>
      </w:pPr>
      <w:r w:rsidRPr="00E42638">
        <w:rPr>
          <w:color w:val="000000"/>
          <w:lang w:val="ro-RO"/>
        </w:rPr>
        <w:t> </w:t>
      </w:r>
      <w:r w:rsidR="003A5902">
        <w:rPr>
          <w:color w:val="000000"/>
          <w:lang w:val="ro-RO"/>
        </w:rPr>
        <w:t xml:space="preserve">La </w:t>
      </w:r>
      <w:r w:rsidRPr="00E42638">
        <w:rPr>
          <w:color w:val="000000"/>
          <w:lang w:val="ro-RO"/>
        </w:rPr>
        <w:t>Hotărâ</w:t>
      </w:r>
      <w:r w:rsidR="00143BE6" w:rsidRPr="00E42638">
        <w:rPr>
          <w:color w:val="000000"/>
          <w:lang w:val="ro-RO"/>
        </w:rPr>
        <w:t>rea Guvernului nr.___</w:t>
      </w:r>
      <w:r w:rsidR="003A5902">
        <w:rPr>
          <w:color w:val="000000"/>
          <w:lang w:val="ro-RO"/>
        </w:rPr>
        <w:t>__</w:t>
      </w:r>
    </w:p>
    <w:p w:rsidR="00143BE6" w:rsidRPr="00E42638" w:rsidRDefault="00143BE6" w:rsidP="00143BE6">
      <w:pPr>
        <w:pStyle w:val="NormalWeb"/>
        <w:spacing w:before="0" w:beforeAutospacing="0" w:after="0" w:afterAutospacing="0"/>
        <w:jc w:val="right"/>
        <w:rPr>
          <w:lang w:val="ro-RO"/>
        </w:rPr>
      </w:pPr>
      <w:r w:rsidRPr="00E42638">
        <w:rPr>
          <w:color w:val="000000"/>
          <w:lang w:val="ro-RO"/>
        </w:rPr>
        <w:t>din ______</w:t>
      </w:r>
      <w:r w:rsidR="003A5902">
        <w:rPr>
          <w:color w:val="000000"/>
          <w:lang w:val="ro-RO"/>
        </w:rPr>
        <w:t>_______________</w:t>
      </w:r>
      <w:r w:rsidRPr="00E42638">
        <w:rPr>
          <w:color w:val="000000"/>
          <w:lang w:val="ro-RO"/>
        </w:rPr>
        <w:t>2016</w:t>
      </w:r>
    </w:p>
    <w:p w:rsidR="00143BE6" w:rsidRPr="00E42638" w:rsidRDefault="00143BE6" w:rsidP="00143BE6">
      <w:pPr>
        <w:rPr>
          <w:noProof/>
          <w:lang w:val="ro-RO"/>
        </w:rPr>
      </w:pPr>
    </w:p>
    <w:p w:rsidR="00143BE6" w:rsidRPr="00E42638" w:rsidRDefault="00143BE6" w:rsidP="00143BE6">
      <w:pPr>
        <w:jc w:val="center"/>
        <w:rPr>
          <w:b/>
          <w:noProof/>
          <w:lang w:val="ro-RO"/>
        </w:rPr>
      </w:pPr>
      <w:r w:rsidRPr="00E42638">
        <w:rPr>
          <w:b/>
          <w:noProof/>
          <w:lang w:val="ro-RO"/>
        </w:rPr>
        <w:t>Metodologia aprob</w:t>
      </w:r>
      <w:r w:rsidR="00207847">
        <w:rPr>
          <w:b/>
          <w:noProof/>
          <w:lang w:val="ro-RO"/>
        </w:rPr>
        <w:t>ării conducătorilor de doctorat</w:t>
      </w:r>
    </w:p>
    <w:p w:rsidR="00143BE6" w:rsidRPr="00E42638" w:rsidRDefault="00143BE6" w:rsidP="00143BE6">
      <w:pPr>
        <w:jc w:val="center"/>
        <w:rPr>
          <w:noProof/>
          <w:lang w:val="ro-RO"/>
        </w:rPr>
      </w:pPr>
    </w:p>
    <w:p w:rsidR="00143BE6" w:rsidRPr="00E42638" w:rsidRDefault="00143BE6" w:rsidP="00143BE6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Dispoziţii generale</w:t>
      </w:r>
    </w:p>
    <w:p w:rsidR="00143BE6" w:rsidRPr="00207847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Metodologia aprobării conducătorilor de doctorat în (în continuare - Metodologia), în conformitate cu art. 94, pct. 11 din Codul Educaţiei al Republicii Moldova nr. 152 din 17 iulie 2014 şi cu Regulamentul privind organizarea studiilor superioare de doctorat, ciclul III, aprob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at prin Hotărâ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rea de Guvern nr. 1007 din 10.12.2014, constituie cadrul normativ de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imple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mentare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o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rdinului n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r. 484 din 24 august 2015 al Ministrului Educației al Republicii Moldova „</w:t>
      </w:r>
      <w:r w:rsidRPr="00207847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Cu privire la aprobarea Indicatorilor de performanţă ştiinţifică pentru d</w:t>
      </w:r>
      <w:r w:rsidR="00D117AC" w:rsidRPr="00207847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obâ</w:t>
      </w:r>
      <w:r w:rsidRPr="00207847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ndirea calităţii de conducător de doctorat în Republica Moldova”.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Metodologia are ca obiectiv realizarea unui cadru de referinţă, care să reglementeze organizarea şi desfășurarea procesului de 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conducător de doctorat pentru studiile superioare de doctorat, ciclul III,</w:t>
      </w:r>
      <w:r w:rsidR="0029144D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postdoctorat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instituţiile de învăţămâ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nt superior din Republica Moldova.</w:t>
      </w:r>
    </w:p>
    <w:p w:rsidR="00143BE6" w:rsidRPr="00E42638" w:rsidRDefault="00B410AA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Metodologia stabileşte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actele necesare pentru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aplicarea </w:t>
      </w:r>
      <w:r w:rsidRPr="00E42638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Indicatorilor de per</w:t>
      </w:r>
      <w:r w:rsidR="00D117AC" w:rsidRPr="00E42638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formanță științifică pentru dobâ</w:t>
      </w:r>
      <w:r w:rsidRPr="00E42638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ndirea calităţii de conducător de doctorat în Republica Moldova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(în continuare – indicatori de performanță științifică)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etapele şi instituţiile implicate în procesul de 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 a conducătorilor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doctorat în Republica Moldova.</w:t>
      </w:r>
    </w:p>
    <w:p w:rsidR="00D04D38" w:rsidRPr="00E42638" w:rsidRDefault="00143BE6" w:rsidP="00F80B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Conducători de doctorat pot fi persoanele care au obținut dreptul de conducăto</w:t>
      </w:r>
      <w:r w:rsidR="00F631B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 de doctorat anterior, cît şi </w:t>
      </w:r>
      <w:r w:rsidR="00A66E8F">
        <w:rPr>
          <w:rFonts w:ascii="Times New Roman" w:hAnsi="Times New Roman" w:cs="Times New Roman"/>
          <w:noProof/>
          <w:sz w:val="24"/>
          <w:szCs w:val="24"/>
          <w:lang w:val="ro-RO"/>
        </w:rPr>
        <w:t>cele care li se acordă</w:t>
      </w:r>
      <w:r w:rsidR="00D04D38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acest drept prin ordinul Ministrului Educaţiei, potrivit metodologiei date. </w:t>
      </w:r>
    </w:p>
    <w:p w:rsidR="00143BE6" w:rsidRPr="00E42638" w:rsidRDefault="00D117AC" w:rsidP="00F80B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Acordarea dreptului de 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conducere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doctoratului se acordă pe domeniul de pregătire și activitate pentru specialitățile incluse în Nomenclatorul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specialităților științifice.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Candidații care dețin titlul științific de doctor pot </w:t>
      </w:r>
      <w:r w:rsidR="00D117AC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obține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 de conducător de doctorat pentru maxim 3 specialități din profilul ştiinţific în cadrul căruia îşi desfăşoară activitatea curentă, confirmate prin indicatorii cu valori diferite pe domenii ale ştiinţei, şi au dreptul de a fi conducători numai la tezele de doctor în ştiinţe.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Candidații care dețin titlul științific de doctor habilitat pot fi abilitați cu dreptul de conducător de doctorat pentru maxim 5 specialități din 2 profiluri ştiinţifice, în cadrul căruia îşi desfăşoară activitatea curentă, confirmate prin indicatorii cu valori diferite pe domenii ale ştiinţei.</w:t>
      </w:r>
    </w:p>
    <w:p w:rsidR="00143BE6" w:rsidRPr="00E42638" w:rsidRDefault="00D117AC" w:rsidP="0075336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Acordarea dreptului de a conduce doctorate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specialităţi din mai multe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profiluri decâ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 cele prevăzute la pp.7 şi 8 se permite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în cazul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câ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nd specialitatea din profilul suplimentar este adiacentă uneia din profilul de bază, iar pretendentul realizează studii multidisciplinare sau interdisciplinare, care se referă la ambele specialităţi, reflectate prin indicatorii de performanță științifică.</w:t>
      </w:r>
    </w:p>
    <w:p w:rsidR="00143BE6" w:rsidRPr="00E42638" w:rsidRDefault="00355850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</w:t>
      </w:r>
      <w:r w:rsidR="00194F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conducător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doctorat îl pot deține atâ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 cetăţenii Republicii Moldova care acumulează indicatori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i de performanţă științifică, câ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t şi cetăţenii străini, care îndeplinesc 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indicatorii respectivi şi au rezultate importante în domeniul lor de activitate, lucru care ar aduce un plus de valoare cercetării ştiinţifice din Republica Moldova.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Persoanele care doresc să obţină 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94F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94F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conduce doctorat</w:t>
      </w:r>
      <w:r w:rsidR="00194F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Republica Moldova trebuie să fie titulari sau afiliaţ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i ai unei instituţii de învățămâ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nt superior cu programe de doctorat sau ai unei instituţii de cercetare şi inovare acreditată conform legii. </w:t>
      </w:r>
    </w:p>
    <w:p w:rsidR="00143BE6" w:rsidRPr="00E42638" w:rsidRDefault="00B410AA" w:rsidP="00B410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R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ecunoașterea dreptului de conducător de doctorat deținut în altă țară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se efectuează conform legislației în vigoare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143BE6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143BE6" w:rsidRPr="00E42638" w:rsidRDefault="00143BE6" w:rsidP="00143BE6">
      <w:pPr>
        <w:pStyle w:val="ListParagraph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Înaintarea dosarului pentru </w:t>
      </w:r>
      <w:r w:rsidR="00443854"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aprobarea</w:t>
      </w:r>
    </w:p>
    <w:p w:rsidR="00143BE6" w:rsidRPr="00E42638" w:rsidRDefault="00143BE6" w:rsidP="00143BE6">
      <w:pPr>
        <w:pStyle w:val="ListParagraph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dreptului de conducător de doctorat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Persoanele care îndeplinesc condițiile </w:t>
      </w:r>
      <w:r w:rsidR="00F2510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 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="00F2510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dreptului de </w:t>
      </w:r>
      <w:r w:rsidR="00F2510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conduc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ere</w:t>
      </w:r>
      <w:r w:rsidR="00F2510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doctorat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doresc să obțină 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calitatea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conducător de doctorat, înaintează o cerere și dosarul de îndeplinire a condițiilor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necesare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către școala doctorală din care fac parte, sau cu care există colaborare/consorțium și/sau afiliere instituțională între instituția în care activează și instituția de învățăm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nt superior care deține școala doctorală.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Dosarul aplicat pentru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</w:t>
      </w:r>
      <w:r w:rsidR="00B410A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conducător de doctorat include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Cererea de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conducător de doctorat, care conține numele candidatului, titlul științific deținut, instituția în care activează, </w:t>
      </w:r>
      <w:r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>profilul (profilu</w:t>
      </w:r>
      <w:r w:rsidR="0055094A"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 xml:space="preserve">rile) şi specialităţile la care </w:t>
      </w:r>
      <w:r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 xml:space="preserve">solicită </w:t>
      </w:r>
      <w:r w:rsidR="00355850"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>acordarea dreptului de conducător de doctorat</w:t>
      </w:r>
      <w:r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 xml:space="preserve">, rezultate care ar facilita </w:t>
      </w:r>
      <w:r w:rsidR="00355850"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>obținerea acestuia</w:t>
      </w:r>
      <w:r w:rsidRPr="00E42638">
        <w:rPr>
          <w:rFonts w:ascii="Times New Roman" w:eastAsia="SimSun" w:hAnsi="Times New Roman" w:cs="Times New Roman"/>
          <w:noProof/>
          <w:sz w:val="24"/>
          <w:szCs w:val="24"/>
          <w:lang w:val="ro-RO" w:eastAsia="zh-CN"/>
        </w:rPr>
        <w:t xml:space="preserve"> (premii naționale/internaționale, titluri academice, distincții de stat etc.)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Curriculum vitae în format Europass în limba română.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Copia buletinului/actului de identitate. În cazul în care candidatul și-a modificat numele după obținerea titlului de doctor/doctor habilitat, a diverselor premii, distincții și titluri științifice este necesară  prezentarea certificatului de căsătorie/act de confirmare a modificării numelui. 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Copia diplomei de doctor/doctor habilitat.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Copia carnetului de muncă cu autentificare.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Copia ordinului de angajare/certificat de conf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irmare la instituția de învățămâ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nt superior a școlii doctorale, sau a instituție cu care aceasta are relații de cooperare sau/și con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sorțium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programele de doctorat, sau ai unei instituţii de cercetare şi inovare acreditată.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Copiile lucrărilor științifice din ultimii 5 sau 10 ani conform indicilor de valori diferite pe domenii ale ştiinţei imprimate pe un CD, cu atașarea introducerii acestuia.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Copii de confirmare a brevetelor de invenții, ale certificatelor și diplomelor de confirmare a participării în colegii de redacții a revistelor și organizare a diverselor evenimente, participări la schimburi de experi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ență și mobilități academice, câ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 și a altor anexe care ar confirma îndeplinirea indicilor de valoare.</w:t>
      </w:r>
    </w:p>
    <w:p w:rsidR="00143BE6" w:rsidRPr="00E42638" w:rsidRDefault="00143BE6" w:rsidP="00143BE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Alte copii ale documentelor care au importanță pentru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 conducător de doctorat și reprezintă suplimente la dosar.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Dosarul se depune la directorul școlii doctorale, care verifică corectitudinea completării dosarului și oferă asistență metodologică în acest domeniu candidatului.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 xml:space="preserve">Consiliul școlii doctorale are obligația să analizeze 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dosarul depus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următoarea ședință, 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care pâ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nă atunci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vor afla la secretariatul C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onsiliului școlii doctoral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e. Ședința nu va avea loc mai tâ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rziu de 120 de zile de la expirarea </w:t>
      </w:r>
      <w:r w:rsidR="0035585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dreptului de conducere 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doctoratelor a candidatului sau/și a începutul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anului școlar a școlii doctorale.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C0EA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osarul </w:t>
      </w:r>
      <w:r w:rsidR="00A66E8F">
        <w:rPr>
          <w:rFonts w:ascii="Times New Roman" w:hAnsi="Times New Roman" w:cs="Times New Roman"/>
          <w:noProof/>
          <w:sz w:val="24"/>
          <w:szCs w:val="24"/>
          <w:lang w:val="ro-RO"/>
        </w:rPr>
        <w:t>de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="00A66E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 de conducător de doctorat</w:t>
      </w:r>
      <w:r w:rsidR="00A66E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</w:t>
      </w:r>
      <w:r w:rsidR="00A66E8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candidatului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admite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prin proces-verbal în urma votului comun al membrilor Consiliului școlii doctorale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, care va completa dosarul candidatului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Proces</w:t>
      </w:r>
      <w:r w:rsidR="00F164F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ul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-verbal al Consiliului școlii doctorale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dosarul candidatului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înaintează</w:t>
      </w:r>
      <w:r w:rsidR="0000751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Consiliului științific </w:t>
      </w:r>
      <w:r w:rsidR="00F164F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al instituției organizatoare de doctorat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Președintele Consiliului științific al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instituţiei de învăţămâ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nt superior organizatoare de doctorat convoacă ședința Consiliului științific, care va avea loc în maxim </w:t>
      </w:r>
      <w:r w:rsidR="00440C9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30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zile de la primirea dosarului.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urma </w:t>
      </w:r>
      <w:r w:rsidR="00F164F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examinării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dosarului pentru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 conducător de doctorat, Consiliul științific oferă un raport de evaluare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candidatului, pentru înaintarea dosarului către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Consiliul Național de Acreditare și Atestare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(în continuare –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).</w:t>
      </w:r>
      <w:r w:rsidR="00ED218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Raportul de evaluare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="00ED218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candidatului este parte componentă a dosarului.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cazul evaluării negative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dosarului candidatului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din partea Consiliului științific dosarul se restituie școlii doctorale pentru înlăturarea neajunsurilor depistate.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După eliberarea raportului pozitiv de evaluare a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do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s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arului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candidatului din partea Consiliului științific, pe pagina web a Instituț</w:t>
      </w:r>
      <w:r w:rsidR="0057669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iei organizatoare de doctorat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 plasează în termen de cel mult 10 zile, informația referitoare la candidatul pentru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obținerea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 conducător de doctorat cu următoarele informații:</w:t>
      </w:r>
    </w:p>
    <w:p w:rsidR="00143BE6" w:rsidRPr="00E42638" w:rsidRDefault="00143BE6" w:rsidP="00143B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Curriculum vitae în format Europass</w:t>
      </w:r>
      <w:r w:rsidR="00510F2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lista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lucrări</w:t>
      </w:r>
      <w:r w:rsidR="00510F2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lor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:rsidR="00143BE6" w:rsidRPr="00E42638" w:rsidRDefault="00143BE6" w:rsidP="00143B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Fișa de verificare privind îndeplinirea indicatorilor de performanță științifică;</w:t>
      </w:r>
    </w:p>
    <w:p w:rsidR="00143BE6" w:rsidRPr="00E42638" w:rsidRDefault="00143BE6" w:rsidP="00143B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Extrasul din procesul-verbal al școlii doctorale cu decizia respectivă;</w:t>
      </w:r>
    </w:p>
    <w:p w:rsidR="00143BE6" w:rsidRPr="00E42638" w:rsidRDefault="00143BE6" w:rsidP="00143BE6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Raportul de evaluare a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dosarului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candidatului emis de Consiliul științific;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Președintele Consiliului științific </w:t>
      </w:r>
      <w:r w:rsidR="00ED218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înaintează dosarul candidatului</w:t>
      </w:r>
      <w:r w:rsidR="00F164F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spre examinare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</w:t>
      </w:r>
      <w:r w:rsidR="0044385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Consiliul Național de Acreditare și Atestare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în urma expertizării dosarului candidatului, oferă un aviz argumentat de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</w:t>
      </w:r>
      <w:r w:rsidR="0011738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sau 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respingere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candidatului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dreptul de conducător de doctorat.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Etapele de expertizare şi avizare a dosarului de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 a dreptului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conducător de doctorat sunt elaborate şi stabilite de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Termenii de avizare 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Consiliul Național de Acreditare și Atestare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sunt de maxim 60 de zile calendaristice din data depunerii dosarului. </w:t>
      </w:r>
    </w:p>
    <w:p w:rsidR="0057669F" w:rsidRPr="00E42638" w:rsidRDefault="0057669F" w:rsidP="0057669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cazul avizului negativ din partea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dosarul se remite la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="00ED218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onsiliul științific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</w:t>
      </w:r>
      <w:r w:rsidR="00ED218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nstituției organizatoare de doctorat pentru înlăturarea neconcordanțelor și demararea procesului repetat de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conducător de doctorat.</w:t>
      </w:r>
    </w:p>
    <w:p w:rsidR="00143BE6" w:rsidRPr="00E42638" w:rsidRDefault="00143BE6" w:rsidP="0057669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După procedura de expertizare și avizare a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Consiliul Național de Acreditare și Atestare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acesta înaintează </w:t>
      </w:r>
      <w:r w:rsidR="0057669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cererea și</w:t>
      </w:r>
      <w:r w:rsidR="0057669F" w:rsidRPr="00E42638"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  <w:t xml:space="preserve">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avizul de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aprobare a dreptului de conducere de doctorat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candidatului către Ministerului Educației cu recomandarea specialităților profilurilor științifice propuse spre </w:t>
      </w:r>
      <w:r w:rsidR="008B1B4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Avizul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este plasat pe pagina web a instituției în maxim 5 zile de la emiterea acestuia.</w:t>
      </w:r>
    </w:p>
    <w:p w:rsidR="00143BE6" w:rsidRPr="00E42638" w:rsidRDefault="00143BE6" w:rsidP="00143BE6">
      <w:pPr>
        <w:rPr>
          <w:b/>
          <w:noProof/>
          <w:lang w:val="ro-RO"/>
        </w:rPr>
      </w:pPr>
    </w:p>
    <w:p w:rsidR="00143BE6" w:rsidRPr="00E42638" w:rsidRDefault="00143BE6" w:rsidP="00143BE6">
      <w:pPr>
        <w:pStyle w:val="ListParagraph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lastRenderedPageBreak/>
        <w:t>Acordarea dreptului de conducător de doctorat</w:t>
      </w:r>
    </w:p>
    <w:p w:rsidR="00143BE6" w:rsidRPr="00E42638" w:rsidRDefault="00DE4A2F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Solicitarea și </w:t>
      </w:r>
      <w:r w:rsidR="00D8506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avizul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recomandare pentru </w:t>
      </w:r>
      <w:r w:rsidR="00D8506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acordarea 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</w:t>
      </w:r>
      <w:r w:rsidR="00D8506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ui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conducător de doctorat al candidatului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7050EB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înaintat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="007050EB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Ministerul Educaţiei </w:t>
      </w:r>
      <w:r w:rsidR="007050EB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 examinează </w:t>
      </w:r>
      <w:r w:rsidR="00E42638">
        <w:rPr>
          <w:rFonts w:ascii="Times New Roman" w:hAnsi="Times New Roman" w:cs="Times New Roman"/>
          <w:noProof/>
          <w:sz w:val="24"/>
          <w:szCs w:val="24"/>
          <w:lang w:val="ro-RO"/>
        </w:rPr>
        <w:t>pâ</w:t>
      </w:r>
      <w:r w:rsidR="007050EB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nă la 30 zile </w:t>
      </w:r>
      <w:r w:rsidR="00440C9F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calendaristice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În cazul în care examinarea informațiilor plasate pe paginile web ale instituțiilor organizatoare de doctorat și a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nu este suficientă, apar unele neconcordanțe, sau este sesizat Ministerul Educației de unele încălcări, subdiviziunea abilitată poate cere dosarul candidatului în format original în termen de 5 zile lucrătoare de la </w:t>
      </w:r>
      <w:r w:rsidR="00D85064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5F34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Acceptarea</w:t>
      </w:r>
      <w:r w:rsidR="008C0EA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sau respingerea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solicitării candidatului va fi urmată de </w:t>
      </w:r>
      <w:r w:rsidR="008C0EA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emiterea unui ordin al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Ministrului Educaţiei pe</w:t>
      </w:r>
      <w:r w:rsidR="008C0EA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ntru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acordarea</w:t>
      </w:r>
      <w:r w:rsidR="008C0EA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dreptului de conducător de doctorat pe teritoriul Republicii Moldova, care va fi plasat pe pagina web a Ministerului Educației</w:t>
      </w:r>
      <w:r w:rsidR="005F340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</w:p>
    <w:p w:rsidR="00143BE6" w:rsidRPr="00E42638" w:rsidRDefault="00D15BD5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Ordinul Ministrului Educației reprezintă atestatul de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conducător de doctorat.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depistarea unor nereguli sau încălcări a procedurii de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conducător de doctorat pentru o specialitate din profilul de activitate a solicitantului, se refuză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acest drept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În cazul aplicării la mai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multe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specialități, se acordă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 de conducere de doctorat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doar pentru cele acceptate.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Nerespectarea indicatorilor de performanță sau a bunei con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duite și eticii profesionale, câ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 și existența fraudei de plagiat în susținerea tezelor de doctorat la di</w:t>
      </w:r>
      <w:r w:rsidR="0087368E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scipolii anteriori, pot servi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motiv de respingere a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acordării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sau </w:t>
      </w:r>
      <w:r w:rsidR="0011738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retragerea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dreptului de conducător de doctorat de către Ministerul Educație</w:t>
      </w:r>
      <w:r w:rsidR="0013427A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, dacă acestea sunt probate</w:t>
      </w:r>
      <w:r w:rsidR="00117380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 conformitate cu legislația în vigoare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Re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tragerea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 conducător de doctorat se efectuează conform legislaţiei în vigoare şi nu este parte componentă a acestei metodologii. Decizia de re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tragere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dreptului de conducere de doctorat în Republica Moldova este o prioritate a Ministerului Educaţiei şi poate fi aplicată doar prin</w:t>
      </w:r>
      <w:r w:rsidR="0087368E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ordinul M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inistrului </w:t>
      </w:r>
      <w:r w:rsidR="004B3E59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ducaţiei.</w:t>
      </w:r>
    </w:p>
    <w:p w:rsidR="00143BE6" w:rsidRPr="00E42638" w:rsidRDefault="00143BE6" w:rsidP="00143BE6">
      <w:pPr>
        <w:jc w:val="both"/>
        <w:rPr>
          <w:noProof/>
          <w:lang w:val="ro-RO"/>
        </w:rPr>
      </w:pPr>
    </w:p>
    <w:p w:rsidR="00143BE6" w:rsidRPr="00E42638" w:rsidRDefault="00143BE6" w:rsidP="00143BE6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Contestații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Contestațiile se analizează și se soluționează conform legislației în vigoare.</w:t>
      </w:r>
    </w:p>
    <w:p w:rsidR="00143BE6" w:rsidRPr="00E42638" w:rsidRDefault="00E025F1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Procesul-verbal al C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onsiliului școlii doctorale cu privire la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evaluarea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dosarului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candidatului la 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obținerea dreptului de conducător de doctorat poate fi contestat la secretariatul școlii doctorale, care va </w:t>
      </w:r>
      <w:r w:rsidR="0087368E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examina contestația</w:t>
      </w:r>
      <w:r w:rsidR="00143BE6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conform legislației în vigoare și regulamentului intern.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Avizul negativ al instituției organizatoare de doctorat se conte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stă la secretariatul rectoratu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lui conform legislației în vigoare și regulamentului intern.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Decizia comisiei interne de examinare a contestațiilor creată de rectorat poate fi contestată la Ministerul Educației în Consiliul de Etică și Management, conform legislației în vigoare.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Concurentul, în cazul dezacordului cu avizul obţinut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îl contestă la acelaşi organ. Termenii şi condiţiile de examinare a contestaţiei se efectuează conform regulamentului intern al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</w:p>
    <w:p w:rsidR="00143BE6" w:rsidRPr="00E42638" w:rsidRDefault="00143BE6" w:rsidP="0002217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Decizia Ministerului Educației de respingere a </w:t>
      </w:r>
      <w:r w:rsidR="00E025F1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aprobarii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dreptului de conducător de doctorat, cît și re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tragerea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acestui drept poate fi contestată la Ministerul Educației în conformitate cu legislația în vigoare. Contestația se depune timp de 30 de zile de la emiterea deciziei.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</w:pP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lastRenderedPageBreak/>
        <w:t xml:space="preserve">Candidații la abilitarea </w:t>
      </w:r>
      <w:r w:rsidR="00534A34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cu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 dreptul de conducător de doctorat pot să-şi retragă solicitarea p</w:t>
      </w:r>
      <w:r w:rsidR="000759B5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â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nă la examinarea dosarului la </w:t>
      </w:r>
      <w:r w:rsidR="00DF096A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CNAA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 și Ministerul Educației, în urma unei cereri scrise.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Dreptul de conducător de doctorat poate fi re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tras</w:t>
      </w:r>
      <w:r w:rsidR="000759B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Ministerul Educației, la sesizarea din partea i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nstituției organizatoare de doctorat sau Consiliului Științific al acesteia, </w:t>
      </w:r>
      <w:r w:rsidR="00DF096A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="006A4819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instanțelor de drept, cît și prin autosesizare.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Ministerul Educației în colaborare cu </w:t>
      </w:r>
      <w:r w:rsidR="00365675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CNAA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 duce evidenţa persoanelor abilitate cu dreptul de conducător de doctorat pe specialităţi şi instituţii. </w:t>
      </w:r>
    </w:p>
    <w:p w:rsidR="00143BE6" w:rsidRPr="00E42638" w:rsidRDefault="00143BE6" w:rsidP="00143BE6">
      <w:pPr>
        <w:pStyle w:val="ListParagraph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Persoanele cu dreptul de conducător de doctorat </w:t>
      </w:r>
      <w:r w:rsidR="006A4819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aprobate 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anterior intrării în vigoare a metodologiei date, vor păstra dreptu</w:t>
      </w:r>
      <w:r w:rsidR="006A4819"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l de conducere a doctoratelor pâ</w:t>
      </w:r>
      <w:r w:rsidRPr="00E42638">
        <w:rPr>
          <w:rFonts w:ascii="Times New Roman" w:hAnsi="Times New Roman" w:cs="Times New Roman"/>
          <w:noProof/>
          <w:sz w:val="24"/>
          <w:szCs w:val="24"/>
          <w:lang w:val="ro-RO"/>
        </w:rPr>
        <w:t>nă la expirarea termenului de abilitare anterior de 6 ani.</w:t>
      </w:r>
    </w:p>
    <w:p w:rsidR="00034840" w:rsidRPr="00E42638" w:rsidRDefault="00143BE6" w:rsidP="00D95239">
      <w:pPr>
        <w:pStyle w:val="ListParagraph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</w:pP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Conducătorii de doctorate, care după expirarea termenului </w:t>
      </w:r>
      <w:r w:rsidR="006A4819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dreptului 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de </w:t>
      </w:r>
      <w:r w:rsidR="006A4819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conducere a doctoratelor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 nu înaintează solicitarea și dosarul de </w:t>
      </w:r>
      <w:r w:rsidR="006A4819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acordare</w:t>
      </w:r>
      <w:r w:rsidR="005F7FF8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 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a dreptului de conducător de doctorat</w:t>
      </w:r>
      <w:r w:rsidR="005F7FF8"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 xml:space="preserve"> conform noii metodologii</w:t>
      </w:r>
      <w:r w:rsidRPr="00E42638">
        <w:rPr>
          <w:rFonts w:ascii="Times New Roman" w:eastAsia="MS Mincho" w:hAnsi="Times New Roman" w:cs="Times New Roman"/>
          <w:noProof/>
          <w:color w:val="000000"/>
          <w:sz w:val="24"/>
          <w:szCs w:val="24"/>
          <w:lang w:val="ro-RO" w:eastAsia="ja-JP"/>
        </w:rPr>
        <w:t>, vor pierde această calitate fără anunțul prealabil al Ministerului Educației.</w:t>
      </w:r>
    </w:p>
    <w:sectPr w:rsidR="00034840" w:rsidRPr="00E42638" w:rsidSect="00753362">
      <w:footerReference w:type="default" r:id="rId8"/>
      <w:pgSz w:w="12240" w:h="15840"/>
      <w:pgMar w:top="1134" w:right="1041" w:bottom="107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B2" w:rsidRDefault="003A1FB2" w:rsidP="00FE0BA4">
      <w:r>
        <w:separator/>
      </w:r>
    </w:p>
  </w:endnote>
  <w:endnote w:type="continuationSeparator" w:id="0">
    <w:p w:rsidR="003A1FB2" w:rsidRDefault="003A1FB2" w:rsidP="00FE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F3" w:rsidRDefault="003228F3">
    <w:pPr>
      <w:pStyle w:val="Footer"/>
      <w:jc w:val="right"/>
    </w:pPr>
  </w:p>
  <w:p w:rsidR="003228F3" w:rsidRDefault="0032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B2" w:rsidRDefault="003A1FB2" w:rsidP="00FE0BA4">
      <w:r>
        <w:separator/>
      </w:r>
    </w:p>
  </w:footnote>
  <w:footnote w:type="continuationSeparator" w:id="0">
    <w:p w:rsidR="003A1FB2" w:rsidRDefault="003A1FB2" w:rsidP="00FE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657"/>
    <w:multiLevelType w:val="hybridMultilevel"/>
    <w:tmpl w:val="D53A97A6"/>
    <w:lvl w:ilvl="0" w:tplc="CA967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B3E8C"/>
    <w:multiLevelType w:val="hybridMultilevel"/>
    <w:tmpl w:val="ED5EC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2B9E"/>
    <w:multiLevelType w:val="hybridMultilevel"/>
    <w:tmpl w:val="326A8F9A"/>
    <w:lvl w:ilvl="0" w:tplc="F6ACF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95D91"/>
    <w:multiLevelType w:val="hybridMultilevel"/>
    <w:tmpl w:val="622EE1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4AB5"/>
    <w:multiLevelType w:val="multilevel"/>
    <w:tmpl w:val="84FC2C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078BE"/>
    <w:multiLevelType w:val="hybridMultilevel"/>
    <w:tmpl w:val="F0F8FA20"/>
    <w:lvl w:ilvl="0" w:tplc="615ED8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D6C38"/>
    <w:multiLevelType w:val="hybridMultilevel"/>
    <w:tmpl w:val="9764724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68E"/>
    <w:multiLevelType w:val="hybridMultilevel"/>
    <w:tmpl w:val="2D72D142"/>
    <w:lvl w:ilvl="0" w:tplc="8096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A9"/>
    <w:rsid w:val="0000751F"/>
    <w:rsid w:val="00013CEE"/>
    <w:rsid w:val="00016D01"/>
    <w:rsid w:val="00022179"/>
    <w:rsid w:val="00032DEB"/>
    <w:rsid w:val="00034840"/>
    <w:rsid w:val="000449FD"/>
    <w:rsid w:val="00073FDF"/>
    <w:rsid w:val="000759B5"/>
    <w:rsid w:val="00076F36"/>
    <w:rsid w:val="000E1B6A"/>
    <w:rsid w:val="000F16BF"/>
    <w:rsid w:val="000F63DB"/>
    <w:rsid w:val="00117380"/>
    <w:rsid w:val="0012299A"/>
    <w:rsid w:val="0013427A"/>
    <w:rsid w:val="00143BE6"/>
    <w:rsid w:val="001466AA"/>
    <w:rsid w:val="001478F9"/>
    <w:rsid w:val="00151133"/>
    <w:rsid w:val="00151FE9"/>
    <w:rsid w:val="00160B8A"/>
    <w:rsid w:val="00187503"/>
    <w:rsid w:val="00194F50"/>
    <w:rsid w:val="001C432E"/>
    <w:rsid w:val="001D6721"/>
    <w:rsid w:val="001F5C67"/>
    <w:rsid w:val="00207847"/>
    <w:rsid w:val="00212AF0"/>
    <w:rsid w:val="002706BD"/>
    <w:rsid w:val="0029144D"/>
    <w:rsid w:val="002934E7"/>
    <w:rsid w:val="002B5837"/>
    <w:rsid w:val="002B6A05"/>
    <w:rsid w:val="002C794F"/>
    <w:rsid w:val="002E7439"/>
    <w:rsid w:val="00316A67"/>
    <w:rsid w:val="003228F3"/>
    <w:rsid w:val="003266EC"/>
    <w:rsid w:val="0033090C"/>
    <w:rsid w:val="0033300C"/>
    <w:rsid w:val="00335ACD"/>
    <w:rsid w:val="003540ED"/>
    <w:rsid w:val="00355850"/>
    <w:rsid w:val="00356ED7"/>
    <w:rsid w:val="00357A8B"/>
    <w:rsid w:val="00365675"/>
    <w:rsid w:val="00377690"/>
    <w:rsid w:val="003A1FB2"/>
    <w:rsid w:val="003A5902"/>
    <w:rsid w:val="003B7470"/>
    <w:rsid w:val="003C179C"/>
    <w:rsid w:val="003C617F"/>
    <w:rsid w:val="003D1239"/>
    <w:rsid w:val="003E6D03"/>
    <w:rsid w:val="0041167B"/>
    <w:rsid w:val="00430328"/>
    <w:rsid w:val="00434F5A"/>
    <w:rsid w:val="00440C9F"/>
    <w:rsid w:val="00443854"/>
    <w:rsid w:val="00443F4C"/>
    <w:rsid w:val="004505A3"/>
    <w:rsid w:val="00454115"/>
    <w:rsid w:val="0048554A"/>
    <w:rsid w:val="004A4643"/>
    <w:rsid w:val="004B2973"/>
    <w:rsid w:val="004B3E59"/>
    <w:rsid w:val="004F7005"/>
    <w:rsid w:val="00510F26"/>
    <w:rsid w:val="00512181"/>
    <w:rsid w:val="00534A34"/>
    <w:rsid w:val="0055094A"/>
    <w:rsid w:val="00565414"/>
    <w:rsid w:val="00565B1E"/>
    <w:rsid w:val="00565E41"/>
    <w:rsid w:val="005709E2"/>
    <w:rsid w:val="0057669F"/>
    <w:rsid w:val="00583F5E"/>
    <w:rsid w:val="005B7440"/>
    <w:rsid w:val="005D25BC"/>
    <w:rsid w:val="005F3401"/>
    <w:rsid w:val="005F7FF8"/>
    <w:rsid w:val="0060150A"/>
    <w:rsid w:val="006201DF"/>
    <w:rsid w:val="00632E27"/>
    <w:rsid w:val="006922B3"/>
    <w:rsid w:val="006A4819"/>
    <w:rsid w:val="006D1A2C"/>
    <w:rsid w:val="006D50D3"/>
    <w:rsid w:val="00701378"/>
    <w:rsid w:val="007031BE"/>
    <w:rsid w:val="007050EB"/>
    <w:rsid w:val="00724F89"/>
    <w:rsid w:val="00753362"/>
    <w:rsid w:val="007624D7"/>
    <w:rsid w:val="007662DE"/>
    <w:rsid w:val="00792F1C"/>
    <w:rsid w:val="007B1E88"/>
    <w:rsid w:val="007B2F31"/>
    <w:rsid w:val="007C3EDA"/>
    <w:rsid w:val="007E50A9"/>
    <w:rsid w:val="007F1B9A"/>
    <w:rsid w:val="00800413"/>
    <w:rsid w:val="008073A3"/>
    <w:rsid w:val="008127C6"/>
    <w:rsid w:val="0083253B"/>
    <w:rsid w:val="008367CB"/>
    <w:rsid w:val="008560C2"/>
    <w:rsid w:val="00865796"/>
    <w:rsid w:val="0087368E"/>
    <w:rsid w:val="008B1B4A"/>
    <w:rsid w:val="008B2809"/>
    <w:rsid w:val="008C0EA6"/>
    <w:rsid w:val="008C16B6"/>
    <w:rsid w:val="008E0B30"/>
    <w:rsid w:val="008F229D"/>
    <w:rsid w:val="009070FC"/>
    <w:rsid w:val="00931705"/>
    <w:rsid w:val="0097113D"/>
    <w:rsid w:val="00997235"/>
    <w:rsid w:val="009A7763"/>
    <w:rsid w:val="009B6AF0"/>
    <w:rsid w:val="009E5B2D"/>
    <w:rsid w:val="00A14BB2"/>
    <w:rsid w:val="00A14C18"/>
    <w:rsid w:val="00A30B21"/>
    <w:rsid w:val="00A42119"/>
    <w:rsid w:val="00A66E8F"/>
    <w:rsid w:val="00A80CC8"/>
    <w:rsid w:val="00A924F5"/>
    <w:rsid w:val="00AC015E"/>
    <w:rsid w:val="00AC7C68"/>
    <w:rsid w:val="00B0538E"/>
    <w:rsid w:val="00B106EF"/>
    <w:rsid w:val="00B32492"/>
    <w:rsid w:val="00B410AA"/>
    <w:rsid w:val="00B46567"/>
    <w:rsid w:val="00B802C8"/>
    <w:rsid w:val="00BA5F6B"/>
    <w:rsid w:val="00BB5313"/>
    <w:rsid w:val="00BD4D72"/>
    <w:rsid w:val="00BE53D5"/>
    <w:rsid w:val="00C10A6F"/>
    <w:rsid w:val="00C121D6"/>
    <w:rsid w:val="00C13766"/>
    <w:rsid w:val="00C341F9"/>
    <w:rsid w:val="00C431FA"/>
    <w:rsid w:val="00C72CAA"/>
    <w:rsid w:val="00C802B1"/>
    <w:rsid w:val="00CB2E0D"/>
    <w:rsid w:val="00CE2E65"/>
    <w:rsid w:val="00D04D38"/>
    <w:rsid w:val="00D111CD"/>
    <w:rsid w:val="00D117AC"/>
    <w:rsid w:val="00D15BD5"/>
    <w:rsid w:val="00D21AB5"/>
    <w:rsid w:val="00D41BC2"/>
    <w:rsid w:val="00D44393"/>
    <w:rsid w:val="00D72CDF"/>
    <w:rsid w:val="00D85064"/>
    <w:rsid w:val="00D95239"/>
    <w:rsid w:val="00DA5E45"/>
    <w:rsid w:val="00DA7496"/>
    <w:rsid w:val="00DB7A12"/>
    <w:rsid w:val="00DC057E"/>
    <w:rsid w:val="00DC5CA8"/>
    <w:rsid w:val="00DE4A2F"/>
    <w:rsid w:val="00DF096A"/>
    <w:rsid w:val="00DF40B7"/>
    <w:rsid w:val="00E025F1"/>
    <w:rsid w:val="00E3338C"/>
    <w:rsid w:val="00E40D51"/>
    <w:rsid w:val="00E41331"/>
    <w:rsid w:val="00E42638"/>
    <w:rsid w:val="00E4305E"/>
    <w:rsid w:val="00E56D1A"/>
    <w:rsid w:val="00EA5CF2"/>
    <w:rsid w:val="00ED218A"/>
    <w:rsid w:val="00EF0D17"/>
    <w:rsid w:val="00F164F0"/>
    <w:rsid w:val="00F25101"/>
    <w:rsid w:val="00F52CD1"/>
    <w:rsid w:val="00F53C05"/>
    <w:rsid w:val="00F631BF"/>
    <w:rsid w:val="00F67351"/>
    <w:rsid w:val="00F91694"/>
    <w:rsid w:val="00F963D5"/>
    <w:rsid w:val="00FB0EC2"/>
    <w:rsid w:val="00FB3265"/>
    <w:rsid w:val="00FD542D"/>
    <w:rsid w:val="00FE0BA4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BADC3-9831-416E-B1C1-79A26F2B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E50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7E50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qFormat/>
    <w:rsid w:val="007E50A9"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link w:val="Heading6Char"/>
    <w:qFormat/>
    <w:rsid w:val="007E50A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E50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E50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E50A9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rsid w:val="007E50A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7E50A9"/>
  </w:style>
  <w:style w:type="paragraph" w:styleId="Footer">
    <w:name w:val="footer"/>
    <w:basedOn w:val="Normal"/>
    <w:link w:val="FooterChar"/>
    <w:uiPriority w:val="99"/>
    <w:rsid w:val="007E5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0A9"/>
    <w:rPr>
      <w:rFonts w:ascii="Times New Roman" w:eastAsia="Times New Roman" w:hAnsi="Times New Roman" w:cs="Times New Roman"/>
      <w:sz w:val="24"/>
      <w:szCs w:val="24"/>
    </w:rPr>
  </w:style>
  <w:style w:type="character" w:customStyle="1" w:styleId="job">
    <w:name w:val="job"/>
    <w:basedOn w:val="DefaultParagraphFont"/>
    <w:rsid w:val="007E50A9"/>
  </w:style>
  <w:style w:type="paragraph" w:styleId="ListParagraph">
    <w:name w:val="List Paragraph"/>
    <w:basedOn w:val="Normal"/>
    <w:uiPriority w:val="34"/>
    <w:qFormat/>
    <w:rsid w:val="00143B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3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9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89CC8-14AE-4947-959D-C2E91986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maia</cp:lastModifiedBy>
  <cp:revision>2</cp:revision>
  <cp:lastPrinted>2015-07-20T11:35:00Z</cp:lastPrinted>
  <dcterms:created xsi:type="dcterms:W3CDTF">2016-12-07T08:15:00Z</dcterms:created>
  <dcterms:modified xsi:type="dcterms:W3CDTF">2016-12-07T08:15:00Z</dcterms:modified>
</cp:coreProperties>
</file>