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C3F" w:rsidRDefault="006D0C3F" w:rsidP="006D0C3F">
      <w:pPr>
        <w:jc w:val="center"/>
        <w:rPr>
          <w:b/>
          <w:sz w:val="28"/>
          <w:szCs w:val="28"/>
          <w:lang w:val="ro-MD"/>
        </w:rPr>
      </w:pPr>
      <w:bookmarkStart w:id="0" w:name="_GoBack"/>
      <w:bookmarkEnd w:id="0"/>
      <w:r w:rsidRPr="00F830B0">
        <w:rPr>
          <w:b/>
          <w:sz w:val="28"/>
          <w:szCs w:val="28"/>
          <w:lang w:val="ro-MD"/>
        </w:rPr>
        <w:t>NOTĂ INFORMATIVĂ</w:t>
      </w:r>
    </w:p>
    <w:p w:rsidR="006D0C3F" w:rsidRPr="00F830B0" w:rsidRDefault="006D0C3F" w:rsidP="006D0C3F">
      <w:pPr>
        <w:jc w:val="center"/>
        <w:rPr>
          <w:b/>
          <w:sz w:val="28"/>
          <w:szCs w:val="28"/>
          <w:lang w:val="ro-MD"/>
        </w:rPr>
      </w:pPr>
    </w:p>
    <w:p w:rsidR="006D0C3F" w:rsidRPr="00F830B0" w:rsidRDefault="006D0C3F" w:rsidP="006D0C3F">
      <w:pPr>
        <w:rPr>
          <w:sz w:val="28"/>
          <w:szCs w:val="28"/>
          <w:lang w:val="ro-MD"/>
        </w:rPr>
      </w:pPr>
      <w:r w:rsidRPr="00F830B0">
        <w:rPr>
          <w:sz w:val="28"/>
          <w:szCs w:val="28"/>
          <w:lang w:val="ro-MD"/>
        </w:rPr>
        <w:t>la proiectul de Lege cu privire la întreprinderea de stat şi întreprinderea municipală</w:t>
      </w:r>
    </w:p>
    <w:p w:rsidR="006D0C3F" w:rsidRPr="00F830B0" w:rsidRDefault="006D0C3F" w:rsidP="006D0C3F">
      <w:pPr>
        <w:rPr>
          <w:sz w:val="28"/>
          <w:szCs w:val="28"/>
          <w:lang w:val="ro-MD"/>
        </w:rPr>
      </w:pPr>
    </w:p>
    <w:p w:rsidR="006D0C3F" w:rsidRPr="00F830B0" w:rsidRDefault="006D0C3F" w:rsidP="006D0C3F">
      <w:pPr>
        <w:spacing w:line="264" w:lineRule="auto"/>
        <w:ind w:firstLine="567"/>
        <w:jc w:val="both"/>
        <w:rPr>
          <w:sz w:val="28"/>
          <w:szCs w:val="28"/>
          <w:lang w:val="ro-MD"/>
        </w:rPr>
      </w:pPr>
      <w:r w:rsidRPr="00F830B0">
        <w:rPr>
          <w:sz w:val="28"/>
          <w:szCs w:val="28"/>
          <w:lang w:val="ro-MD"/>
        </w:rPr>
        <w:t>Prezentul proiect de lege a fost elaborat în scopul actualizării prevederilor Legii  nr.146 din 16 iunie 1994 cu privire la întreprinderea de stat și reieșind din necesitatea stabilirii condiţiilor juridice, organizatorice şi economice de înfiinţare, funcţionare şi încetare a activităţii întreprinderilor municipale, ținând cont de recomandările Curţii de Conturi expuse în Raportul auditului bugetelor unităţilor administrativ-teritoriale şi gestionării patrimoniului public în mun. Chişinău în perioada 2010-2011, aprobat prin Hotărîrea nr.37 din 31.07.2012 şi în Raportul auditului conformităţii administrării fondurilor publice în cadrul întreprinderilor municipale pe anul 2013, aprobat prin Hotărîrea nr.21 din 08.04.2014.</w:t>
      </w:r>
    </w:p>
    <w:p w:rsidR="006D0C3F" w:rsidRPr="00F830B0" w:rsidRDefault="006D0C3F" w:rsidP="006D0C3F">
      <w:pPr>
        <w:pStyle w:val="tt"/>
        <w:spacing w:line="264" w:lineRule="auto"/>
        <w:ind w:firstLine="567"/>
        <w:jc w:val="both"/>
        <w:rPr>
          <w:b w:val="0"/>
          <w:bCs w:val="0"/>
          <w:sz w:val="28"/>
          <w:szCs w:val="28"/>
          <w:lang w:val="ro-MD"/>
        </w:rPr>
      </w:pPr>
      <w:r w:rsidRPr="00F830B0">
        <w:rPr>
          <w:b w:val="0"/>
          <w:bCs w:val="0"/>
          <w:sz w:val="28"/>
          <w:szCs w:val="28"/>
          <w:lang w:val="ro-MD"/>
        </w:rPr>
        <w:t xml:space="preserve">În hotărârile menţionate se relatează că, statutele întreprinderilor municipale, bazate pe prevederile Hotărârii Guvernului cu privire la aprobarea Regulamentului-model al întreprinderii municipale nr.387 din 06.06.1994, reflectă în mod insuficient atribuţiile fondatorului (Consiliului municipal şi Primarului general) referitor la numirea şi eliberarea din funcţie a administratorului, repartizării şi utilizării profitului net şi se solicită Ministerului Economiei revizuirea, de comun cu autorităţile publice de resort, a cadrului legislativ şi regulator, în scopul eliminării coliziunilor juridice şi completării vidului de norme şi reguli privind administrarea patrimoniului public, inclusiv a celui transmis în gestiune economică. </w:t>
      </w:r>
    </w:p>
    <w:p w:rsidR="006D0C3F" w:rsidRPr="00F830B0" w:rsidRDefault="006D0C3F" w:rsidP="006D0C3F">
      <w:pPr>
        <w:pStyle w:val="tt"/>
        <w:spacing w:line="264" w:lineRule="auto"/>
        <w:ind w:firstLine="567"/>
        <w:jc w:val="both"/>
        <w:rPr>
          <w:b w:val="0"/>
          <w:bCs w:val="0"/>
          <w:sz w:val="28"/>
          <w:szCs w:val="28"/>
          <w:lang w:val="ro-MD"/>
        </w:rPr>
      </w:pPr>
      <w:r w:rsidRPr="00F830B0">
        <w:rPr>
          <w:b w:val="0"/>
          <w:bCs w:val="0"/>
          <w:sz w:val="28"/>
          <w:szCs w:val="28"/>
          <w:lang w:val="ro-MD"/>
        </w:rPr>
        <w:t>Prin proiectul dat se vor actualiza şi uniformiza politicile publice de administrare a întreprinderilor de stat și a întreprinderilor municipale la normele generale de guvernare corporativă, se vor determina şi delimita clar atribuţiile fondatorului, consiliului de administrație şi ale administratorului.</w:t>
      </w:r>
    </w:p>
    <w:p w:rsidR="006D0C3F" w:rsidRPr="00F830B0" w:rsidRDefault="006D0C3F" w:rsidP="006D0C3F">
      <w:pPr>
        <w:pStyle w:val="tt"/>
        <w:spacing w:line="264" w:lineRule="auto"/>
        <w:ind w:firstLine="567"/>
        <w:jc w:val="both"/>
        <w:rPr>
          <w:b w:val="0"/>
          <w:bCs w:val="0"/>
          <w:sz w:val="28"/>
          <w:szCs w:val="28"/>
          <w:lang w:val="ro-MD"/>
        </w:rPr>
      </w:pPr>
      <w:r w:rsidRPr="00F830B0">
        <w:rPr>
          <w:b w:val="0"/>
          <w:bCs w:val="0"/>
          <w:sz w:val="28"/>
          <w:szCs w:val="28"/>
          <w:lang w:val="ro-MD"/>
        </w:rPr>
        <w:t xml:space="preserve">Proiectul de lege cu privire la întreprinderea de stat şi întreprinderea municipală are drept scop aducerea în corespundere cu prevederile actelor legislative existente, precum şi eficientizarea administrării întreprinderilor de stat şi municipale. </w:t>
      </w:r>
    </w:p>
    <w:p w:rsidR="006D0C3F" w:rsidRPr="00F830B0" w:rsidRDefault="006D0C3F" w:rsidP="006D0C3F">
      <w:pPr>
        <w:pStyle w:val="tt"/>
        <w:spacing w:line="264" w:lineRule="auto"/>
        <w:ind w:firstLine="567"/>
        <w:jc w:val="both"/>
        <w:rPr>
          <w:b w:val="0"/>
          <w:bCs w:val="0"/>
          <w:sz w:val="28"/>
          <w:szCs w:val="28"/>
          <w:lang w:val="ro-MD"/>
        </w:rPr>
      </w:pPr>
      <w:r w:rsidRPr="00F830B0">
        <w:rPr>
          <w:b w:val="0"/>
          <w:bCs w:val="0"/>
          <w:sz w:val="30"/>
          <w:szCs w:val="28"/>
          <w:lang w:val="ro-MD"/>
        </w:rPr>
        <w:t>Î</w:t>
      </w:r>
      <w:r w:rsidRPr="00F830B0">
        <w:rPr>
          <w:b w:val="0"/>
          <w:bCs w:val="0"/>
          <w:sz w:val="28"/>
          <w:szCs w:val="28"/>
          <w:lang w:val="ro-MD"/>
        </w:rPr>
        <w:t>n scopul abordării echitabile a activităţii întreprinderilor de stat şi întreprinderilor municipale activitatea acestora va fi reglementată prin aceiași lege.</w:t>
      </w:r>
    </w:p>
    <w:p w:rsidR="006D0C3F" w:rsidRPr="00F830B0" w:rsidRDefault="006D0C3F" w:rsidP="006D0C3F">
      <w:pPr>
        <w:pStyle w:val="tt"/>
        <w:spacing w:line="264" w:lineRule="auto"/>
        <w:ind w:firstLine="567"/>
        <w:jc w:val="both"/>
        <w:rPr>
          <w:b w:val="0"/>
          <w:bCs w:val="0"/>
          <w:sz w:val="28"/>
          <w:szCs w:val="28"/>
          <w:lang w:val="ro-MD"/>
        </w:rPr>
      </w:pPr>
      <w:r w:rsidRPr="00F830B0">
        <w:rPr>
          <w:b w:val="0"/>
          <w:bCs w:val="0"/>
          <w:sz w:val="28"/>
          <w:szCs w:val="28"/>
          <w:lang w:val="ro-MD"/>
        </w:rPr>
        <w:t xml:space="preserve">La elaborarea proiectului dat s-a ţinut cont de prevederile Codului civil, Legii nr.845-XII din 03.01.1992 cu privire la antreprenorial şi întreprinderi, Legii nr.523-XIV  din  16.07.99 cu privire la proprietatea publică a unităţilor administrativ-teritoriale și altor acte legislative, Legii nr.436-XVI din 28.12.2006 privind administrația publică locală, Legii nr.121-XVI din  04.05.2007 privind administrarea şi deetatizarea proprietăţii publice, de experienţa acumulată în procesul de administrare a întreprinderilor de stat şi lacunele legislative identificate </w:t>
      </w:r>
      <w:r w:rsidRPr="00F830B0">
        <w:rPr>
          <w:b w:val="0"/>
          <w:bCs w:val="0"/>
          <w:sz w:val="28"/>
          <w:szCs w:val="28"/>
          <w:lang w:val="ro-MD"/>
        </w:rPr>
        <w:lastRenderedPageBreak/>
        <w:t>în acest aspect. În particular s-a ținut cont de prevede</w:t>
      </w:r>
      <w:r>
        <w:rPr>
          <w:b w:val="0"/>
          <w:bCs w:val="0"/>
          <w:sz w:val="28"/>
          <w:szCs w:val="28"/>
          <w:lang w:val="ro-MD"/>
        </w:rPr>
        <w:t>r</w:t>
      </w:r>
      <w:r w:rsidRPr="00F830B0">
        <w:rPr>
          <w:b w:val="0"/>
          <w:bCs w:val="0"/>
          <w:sz w:val="28"/>
          <w:szCs w:val="28"/>
          <w:lang w:val="ro-MD"/>
        </w:rPr>
        <w:t>ile legale existente în partea ce ține de atribuțiile Guvernului, autorităților publice centrale și locale.</w:t>
      </w:r>
    </w:p>
    <w:p w:rsidR="006D0C3F" w:rsidRPr="00F830B0" w:rsidRDefault="006D0C3F" w:rsidP="006D0C3F">
      <w:pPr>
        <w:pStyle w:val="BodyText"/>
        <w:spacing w:line="264" w:lineRule="auto"/>
        <w:ind w:right="20" w:firstLine="567"/>
        <w:rPr>
          <w:szCs w:val="28"/>
          <w:lang w:val="ro-MD"/>
        </w:rPr>
      </w:pPr>
      <w:r w:rsidRPr="00F830B0">
        <w:rPr>
          <w:szCs w:val="28"/>
          <w:lang w:val="ro-MD"/>
        </w:rPr>
        <w:t>În speță, în scopul neadmiterii înstrăinării bunurilor atribuite la domeniul public şi bunurilor cu destinaţie socială (fond locativ, grădinițe de copii, tabere de odihnă, etc.), achitării datoriilor faţă de stat şi alţi creditori cu bunurile menţionate, se propune că acestea să fie transmise întreprinderilor doar cu drept de gestiune economică şi luate la evidenţă contabilă la sub-conturi separate, iar celelalte bunuri vor fi incluse în capitalul social. În acest aspect se propune stabilirea unui plafon pentru valoarea capitalului social al întreprinderilor, în mărime de min 5 000 lei.</w:t>
      </w:r>
    </w:p>
    <w:p w:rsidR="006D0C3F" w:rsidRPr="00F830B0" w:rsidRDefault="006D0C3F" w:rsidP="006D0C3F">
      <w:pPr>
        <w:pStyle w:val="tt"/>
        <w:spacing w:line="264" w:lineRule="auto"/>
        <w:ind w:firstLine="567"/>
        <w:jc w:val="both"/>
        <w:rPr>
          <w:b w:val="0"/>
          <w:bCs w:val="0"/>
          <w:sz w:val="28"/>
          <w:szCs w:val="28"/>
          <w:lang w:val="ro-MD"/>
        </w:rPr>
      </w:pPr>
      <w:r w:rsidRPr="00F830B0">
        <w:rPr>
          <w:b w:val="0"/>
          <w:bCs w:val="0"/>
          <w:sz w:val="28"/>
          <w:szCs w:val="28"/>
          <w:lang w:val="ro-MD"/>
        </w:rPr>
        <w:t>Proiectul în cauză reglementează particularităţile fondării, funcţionării şi încetării activităţii întreprinderilor de stat şi întreprinderilor municipale, modul de înființare, înregistrare, utilizare a bunurilor transmise în gestiune şi componenţa lor, procedura încetării activității, componenţa şi atribuţiile organelor de conducere ș.a.</w:t>
      </w:r>
    </w:p>
    <w:p w:rsidR="006D0C3F" w:rsidRPr="00F830B0" w:rsidRDefault="006D0C3F" w:rsidP="006D0C3F">
      <w:pPr>
        <w:pStyle w:val="BodyText"/>
        <w:spacing w:line="264" w:lineRule="auto"/>
        <w:ind w:right="20" w:firstLine="567"/>
        <w:rPr>
          <w:szCs w:val="28"/>
          <w:lang w:val="ro-MD"/>
        </w:rPr>
      </w:pPr>
      <w:r w:rsidRPr="00F830B0">
        <w:rPr>
          <w:szCs w:val="28"/>
          <w:lang w:val="ro-MD"/>
        </w:rPr>
        <w:t>În proiectul dat se propune lărgirea atribuțiilor consiliului de administraț</w:t>
      </w:r>
      <w:r>
        <w:rPr>
          <w:szCs w:val="28"/>
          <w:lang w:val="ro-MD"/>
        </w:rPr>
        <w:t>i</w:t>
      </w:r>
      <w:r w:rsidRPr="00F830B0">
        <w:rPr>
          <w:szCs w:val="28"/>
          <w:lang w:val="ro-MD"/>
        </w:rPr>
        <w:t>e a întreprinderilor de stat/municipale</w:t>
      </w:r>
      <w:r>
        <w:rPr>
          <w:szCs w:val="28"/>
          <w:lang w:val="ro-MD"/>
        </w:rPr>
        <w:t>, dintre care: stabilirea indica</w:t>
      </w:r>
      <w:r w:rsidRPr="00F830B0">
        <w:rPr>
          <w:szCs w:val="28"/>
          <w:lang w:val="ro-MD"/>
        </w:rPr>
        <w:t>torilor de performanță ai întreprinderii și criteriilor de evaluare, ținînd cont de specificul și domeniul de activitate, monitorizarea derulării situațiilor litigioase și obligativitatea informării fondatorului despre rezultatele, examinarea rapoartelor organelor de control și aprobarea planului de acțiuni privind înlăturarea încălcărilor identificate, aprobarea Regulamentului privind achiziționarea bunurilor, lucrărilor și serviciilor, aprobarea deciziilor privind plafonul concret al salariului conducătorului întreprinderii pasibil limitării etc</w:t>
      </w:r>
      <w:r>
        <w:rPr>
          <w:szCs w:val="28"/>
          <w:lang w:val="ro-MD"/>
        </w:rPr>
        <w:t>.</w:t>
      </w:r>
      <w:r w:rsidRPr="00F830B0">
        <w:rPr>
          <w:szCs w:val="28"/>
          <w:lang w:val="ro-MD"/>
        </w:rPr>
        <w:t>, îndreptate spre eficient</w:t>
      </w:r>
      <w:r>
        <w:rPr>
          <w:szCs w:val="28"/>
          <w:lang w:val="ro-MD"/>
        </w:rPr>
        <w:t>i</w:t>
      </w:r>
      <w:r w:rsidRPr="00F830B0">
        <w:rPr>
          <w:szCs w:val="28"/>
          <w:lang w:val="ro-MD"/>
        </w:rPr>
        <w:t>zarea activității entităților.</w:t>
      </w:r>
    </w:p>
    <w:p w:rsidR="006D0C3F" w:rsidRPr="00F830B0" w:rsidRDefault="006D0C3F" w:rsidP="006D0C3F">
      <w:pPr>
        <w:pStyle w:val="BodyText"/>
        <w:spacing w:line="264" w:lineRule="auto"/>
        <w:ind w:right="20" w:firstLine="567"/>
        <w:rPr>
          <w:szCs w:val="28"/>
          <w:lang w:val="ro-MD"/>
        </w:rPr>
      </w:pPr>
      <w:r w:rsidRPr="00F830B0">
        <w:rPr>
          <w:szCs w:val="28"/>
          <w:lang w:val="ro-MD"/>
        </w:rPr>
        <w:t xml:space="preserve">De asemenea, au fost suplinite atribuţiile fondatorului şi a administratorului întreprinderii, precum şi s-a extins spectrul chestiunilor care, în mod obligatoriu, vor fi examinate organele de conducere respective. </w:t>
      </w:r>
    </w:p>
    <w:p w:rsidR="006D0C3F" w:rsidRPr="00F830B0" w:rsidRDefault="006D0C3F" w:rsidP="006D0C3F">
      <w:pPr>
        <w:pStyle w:val="BodyText"/>
        <w:spacing w:line="264" w:lineRule="auto"/>
        <w:ind w:right="20" w:firstLine="567"/>
        <w:rPr>
          <w:color w:val="464646"/>
          <w:sz w:val="21"/>
          <w:szCs w:val="21"/>
          <w:shd w:val="clear" w:color="auto" w:fill="FFFFFF"/>
          <w:lang w:val="ro-MD"/>
        </w:rPr>
      </w:pPr>
      <w:r w:rsidRPr="00F830B0">
        <w:rPr>
          <w:szCs w:val="28"/>
          <w:lang w:val="ro-MD"/>
        </w:rPr>
        <w:t>Prin proiectul dat se propune completarea  legii cu prevederi noi ce ţin de instituirea comisiei de cenzori în cadrul întreprinderilor, reglementarea procesului de încetare a activităţii şi a situaţiilor cu conflict de interese.</w:t>
      </w:r>
      <w:r w:rsidRPr="00F830B0">
        <w:rPr>
          <w:color w:val="464646"/>
          <w:sz w:val="21"/>
          <w:szCs w:val="21"/>
          <w:shd w:val="clear" w:color="auto" w:fill="FFFFFF"/>
          <w:lang w:val="ro-MD"/>
        </w:rPr>
        <w:t xml:space="preserve"> </w:t>
      </w:r>
    </w:p>
    <w:p w:rsidR="006D0C3F" w:rsidRPr="00F830B0" w:rsidRDefault="006D0C3F" w:rsidP="006D0C3F">
      <w:pPr>
        <w:pStyle w:val="BodyText"/>
        <w:spacing w:line="264" w:lineRule="auto"/>
        <w:ind w:right="20" w:firstLine="567"/>
        <w:rPr>
          <w:szCs w:val="28"/>
          <w:lang w:val="ro-MD"/>
        </w:rPr>
      </w:pPr>
      <w:r w:rsidRPr="00F830B0">
        <w:rPr>
          <w:szCs w:val="28"/>
          <w:lang w:val="ro-MD"/>
        </w:rPr>
        <w:t xml:space="preserve">Propunerea privind instituirea Comisiei de cenzori în cadrul întreprinderilor de stat își are argumentarea prin faptul, că aceasta este o structură specială şi are ca scop verificarea situației gestionare si de evidențiere în contabilitate a patrimoniului si a fondurilor financiare ale întreprinderii, verificarea executării bugetului de venituri şi cheltuieli, precum si a modului de respectare a prevederilor legale în domeniul financiar – contabil, inclusiv verificarea legalității actelor şi documentelor, a hotărârilor, deciziilor, regulilor şi regulamentelor, etc. </w:t>
      </w:r>
    </w:p>
    <w:p w:rsidR="006D0C3F" w:rsidRPr="00F830B0" w:rsidRDefault="006D0C3F" w:rsidP="006D0C3F">
      <w:pPr>
        <w:pStyle w:val="BodyText"/>
        <w:spacing w:line="264" w:lineRule="auto"/>
        <w:ind w:right="20" w:firstLine="567"/>
        <w:rPr>
          <w:szCs w:val="28"/>
          <w:lang w:val="ro-MD"/>
        </w:rPr>
      </w:pPr>
      <w:r w:rsidRPr="00F830B0">
        <w:rPr>
          <w:szCs w:val="28"/>
          <w:lang w:val="ro-MD"/>
        </w:rPr>
        <w:t xml:space="preserve">Necesitatea includerii prevederilor ce țin de dizolvarea benevolă a întreprinderii de stat și a întreprinderii municipale rezultă din faptul că actualmente, în Registrul de stat a persoanelor juridice, deținut de către ÎS </w:t>
      </w:r>
      <w:r w:rsidRPr="00F830B0">
        <w:rPr>
          <w:szCs w:val="28"/>
          <w:lang w:val="ro-MD"/>
        </w:rPr>
        <w:lastRenderedPageBreak/>
        <w:t>”Camera Înregistrării de stat” figurează circa 320 întreprinderi de stat, negestionate de către fondatori. Ca regulă, acestea nu activează de mai mulți ani, nu dispun de careva bunuri materiale și urmează a fi lichidate.</w:t>
      </w:r>
    </w:p>
    <w:p w:rsidR="006D0C3F" w:rsidRPr="00F830B0" w:rsidRDefault="006D0C3F" w:rsidP="006D0C3F">
      <w:pPr>
        <w:pStyle w:val="20"/>
        <w:shd w:val="clear" w:color="auto" w:fill="auto"/>
        <w:spacing w:line="240" w:lineRule="auto"/>
        <w:ind w:firstLine="567"/>
        <w:rPr>
          <w:sz w:val="28"/>
          <w:szCs w:val="28"/>
          <w:lang w:val="ro-MD"/>
        </w:rPr>
      </w:pPr>
      <w:r w:rsidRPr="00F830B0">
        <w:rPr>
          <w:sz w:val="28"/>
          <w:szCs w:val="28"/>
          <w:lang w:val="ro-MD"/>
        </w:rPr>
        <w:t>La fel, atenționăm asupra existenței riscului răspunderii statului pentru obligaţiile întreprinderii de stat fondate, reieşind din jurisprudenţa Curţii Europene a Drepturilor Omului. În acest sens, în Hotărîrea din 3 aprilie 2007, adoptată în cauza Cooperativa agricolă Slobozia-Hanse</w:t>
      </w:r>
      <w:r>
        <w:rPr>
          <w:sz w:val="28"/>
          <w:szCs w:val="28"/>
          <w:lang w:val="ro-MD"/>
        </w:rPr>
        <w:t>l</w:t>
      </w:r>
      <w:r w:rsidRPr="00F830B0">
        <w:rPr>
          <w:sz w:val="28"/>
          <w:szCs w:val="28"/>
          <w:lang w:val="ro-MD"/>
        </w:rPr>
        <w:t xml:space="preserve"> v.</w:t>
      </w:r>
      <w:r>
        <w:rPr>
          <w:sz w:val="28"/>
          <w:szCs w:val="28"/>
          <w:lang w:val="ro-MD"/>
        </w:rPr>
        <w:t xml:space="preserve"> </w:t>
      </w:r>
      <w:r w:rsidRPr="00F830B0">
        <w:rPr>
          <w:sz w:val="28"/>
          <w:szCs w:val="28"/>
          <w:lang w:val="ro-MD"/>
        </w:rPr>
        <w:t>Moldova, Curtea Europeană a Drepturilor Omului a reţinut că, având în vedere delegarea unor funcţii ale statului către întreprinderea de stat şi a unui control semnificativ asupra bunurilor întreprinderii, statul este responsabil pentru orice datorie a întreprinderii de stat, făcând referinţă, mutatis mutandis, la cauza Mzkhaylenky and Others v. Ucraina (paragraf 19). Astfel, în scopul evitării situațiilor menționate, neadmiterii delegării către întreprinderile de stat/municipale a unor funcții specifice autorităților și instituțiilor publice, precum și creării condițiilor pentru sporirea atractivității investiționale, se propune stabilirea unui termen limită de 5 ani pentru  reorganizarea întreprinderilor de stat/municipale în forma organizator-juridică de societate comercială sau instituție publică.</w:t>
      </w:r>
    </w:p>
    <w:p w:rsidR="006D0C3F" w:rsidRPr="00F830B0" w:rsidRDefault="006D0C3F" w:rsidP="006D0C3F">
      <w:pPr>
        <w:pStyle w:val="BodyText"/>
        <w:ind w:right="20" w:firstLine="567"/>
        <w:rPr>
          <w:szCs w:val="28"/>
          <w:lang w:val="ro-MD"/>
        </w:rPr>
      </w:pPr>
      <w:r w:rsidRPr="00F830B0">
        <w:rPr>
          <w:szCs w:val="28"/>
          <w:lang w:val="ro-MD"/>
        </w:rPr>
        <w:t>Totodată, ca urmare a aprobării proiectului de lege în cauză, de către autoritățile publice centrale și locale, vor fi elaborate acte normative, care vor reglementa modul de selectare (revocare) și promovare a membrilor consiliilor de administrație/comisiilor de cenzori ținînd cont de principiile transparenței, motivele de suspendare a activității acestora, modul de stabilire a indemnizațiilor lunare, atribuțiile și indicatori de performanță conform cărora să fie evaluată activitatea lor, modul de selectare a administratorului întreprinderii, drepturile și atribuțiile lui, statutul-model al întreprinderii de stat/municipale.</w:t>
      </w:r>
    </w:p>
    <w:p w:rsidR="006D0C3F" w:rsidRPr="00F830B0" w:rsidRDefault="006D0C3F" w:rsidP="006D0C3F">
      <w:pPr>
        <w:pStyle w:val="BodyText"/>
        <w:spacing w:line="264" w:lineRule="auto"/>
        <w:ind w:right="20" w:firstLine="567"/>
        <w:rPr>
          <w:szCs w:val="28"/>
          <w:lang w:val="ro-MD"/>
        </w:rPr>
      </w:pPr>
      <w:r w:rsidRPr="00F830B0">
        <w:rPr>
          <w:szCs w:val="28"/>
          <w:lang w:val="ro-MD"/>
        </w:rPr>
        <w:t>Mai menționăm că, în procesul definitivării proiectului de lege de către Ministerul Economiei a fost solicitat suportul Congresului Autorităților Locale din Moldova.</w:t>
      </w:r>
    </w:p>
    <w:p w:rsidR="006D0C3F" w:rsidRPr="00F830B0" w:rsidRDefault="006D0C3F" w:rsidP="006D0C3F">
      <w:pPr>
        <w:pStyle w:val="BodyText"/>
        <w:spacing w:line="264" w:lineRule="auto"/>
        <w:ind w:right="20" w:firstLine="567"/>
        <w:rPr>
          <w:szCs w:val="28"/>
          <w:lang w:val="ro-MD"/>
        </w:rPr>
      </w:pPr>
      <w:r w:rsidRPr="00F830B0">
        <w:rPr>
          <w:szCs w:val="28"/>
          <w:lang w:val="ro-MD"/>
        </w:rPr>
        <w:t>Proiectul nu conţine prevederi de reglementare a activităţii de întreprinzător în contextul Legii cu privire la principiile de bază de reglementare a activităţii de întreprinzător nr.235- XVI din 20.07.2006, astfel decade necesitatea examinării de către Grupul de lucru pentru reglementarea activităţii de întreprinzător.</w:t>
      </w:r>
    </w:p>
    <w:p w:rsidR="006D0C3F" w:rsidRPr="00F830B0" w:rsidRDefault="006D0C3F" w:rsidP="006D0C3F">
      <w:pPr>
        <w:pStyle w:val="BodyText"/>
        <w:spacing w:line="264" w:lineRule="auto"/>
        <w:ind w:right="20" w:firstLine="600"/>
        <w:rPr>
          <w:szCs w:val="28"/>
          <w:lang w:val="ro-MD"/>
        </w:rPr>
      </w:pPr>
      <w:r w:rsidRPr="00F830B0">
        <w:rPr>
          <w:szCs w:val="28"/>
          <w:lang w:val="ro-MD"/>
        </w:rPr>
        <w:t>Realizarea prevederilor legii nu necesită alocarea surselor financiare bugetare.</w:t>
      </w:r>
    </w:p>
    <w:p w:rsidR="006D0C3F" w:rsidRPr="00F830B0" w:rsidRDefault="006D0C3F" w:rsidP="006D0C3F">
      <w:pPr>
        <w:pStyle w:val="cn"/>
        <w:rPr>
          <w:sz w:val="28"/>
          <w:szCs w:val="28"/>
          <w:lang w:val="ro-MD"/>
        </w:rPr>
      </w:pPr>
    </w:p>
    <w:p w:rsidR="006D0C3F" w:rsidRPr="00F830B0" w:rsidRDefault="006D0C3F" w:rsidP="006D0C3F">
      <w:pPr>
        <w:tabs>
          <w:tab w:val="left" w:pos="993"/>
        </w:tabs>
        <w:ind w:firstLine="720"/>
        <w:jc w:val="center"/>
        <w:rPr>
          <w:b/>
          <w:sz w:val="28"/>
          <w:szCs w:val="28"/>
          <w:lang w:val="ro-MD"/>
        </w:rPr>
      </w:pPr>
      <w:r w:rsidRPr="00F830B0">
        <w:rPr>
          <w:sz w:val="28"/>
          <w:szCs w:val="28"/>
          <w:lang w:val="ro-MD"/>
        </w:rPr>
        <w:br/>
      </w:r>
      <w:r w:rsidRPr="00F830B0">
        <w:rPr>
          <w:b/>
          <w:sz w:val="28"/>
          <w:szCs w:val="28"/>
          <w:lang w:val="ro-MD"/>
        </w:rPr>
        <w:t>Viceprim-ministru,                                             Octavian CALMÎC</w:t>
      </w:r>
    </w:p>
    <w:p w:rsidR="006D0C3F" w:rsidRPr="00F830B0" w:rsidRDefault="006D0C3F" w:rsidP="006D0C3F">
      <w:pPr>
        <w:pStyle w:val="cn"/>
        <w:jc w:val="left"/>
        <w:rPr>
          <w:b/>
          <w:bCs/>
          <w:sz w:val="28"/>
          <w:szCs w:val="28"/>
          <w:lang w:val="ro-MD"/>
        </w:rPr>
      </w:pPr>
      <w:r w:rsidRPr="00F830B0">
        <w:rPr>
          <w:b/>
          <w:sz w:val="28"/>
          <w:szCs w:val="28"/>
          <w:lang w:val="ro-MD"/>
        </w:rPr>
        <w:t xml:space="preserve">           ministrul economiei</w:t>
      </w:r>
    </w:p>
    <w:p w:rsidR="002D044F" w:rsidRDefault="002D044F"/>
    <w:sectPr w:rsidR="002D044F" w:rsidSect="002D044F">
      <w:footerReference w:type="default" r:id="rId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5D3" w:rsidRDefault="009045D3" w:rsidP="006D0C3F">
      <w:r>
        <w:separator/>
      </w:r>
    </w:p>
  </w:endnote>
  <w:endnote w:type="continuationSeparator" w:id="0">
    <w:p w:rsidR="009045D3" w:rsidRDefault="009045D3" w:rsidP="006D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1049"/>
      <w:docPartObj>
        <w:docPartGallery w:val="Page Numbers (Bottom of Page)"/>
        <w:docPartUnique/>
      </w:docPartObj>
    </w:sdtPr>
    <w:sdtEndPr/>
    <w:sdtContent>
      <w:p w:rsidR="006D0C3F" w:rsidRDefault="009045D3">
        <w:pPr>
          <w:pStyle w:val="Footer"/>
          <w:jc w:val="right"/>
        </w:pPr>
        <w:r>
          <w:fldChar w:fldCharType="begin"/>
        </w:r>
        <w:r>
          <w:instrText xml:space="preserve"> PAGE   \* MERGEFORMAT </w:instrText>
        </w:r>
        <w:r>
          <w:fldChar w:fldCharType="separate"/>
        </w:r>
        <w:r w:rsidR="00F00102">
          <w:rPr>
            <w:noProof/>
          </w:rPr>
          <w:t>2</w:t>
        </w:r>
        <w:r>
          <w:rPr>
            <w:noProof/>
          </w:rPr>
          <w:fldChar w:fldCharType="end"/>
        </w:r>
      </w:p>
    </w:sdtContent>
  </w:sdt>
  <w:p w:rsidR="006D0C3F" w:rsidRDefault="006D0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5D3" w:rsidRDefault="009045D3" w:rsidP="006D0C3F">
      <w:r>
        <w:separator/>
      </w:r>
    </w:p>
  </w:footnote>
  <w:footnote w:type="continuationSeparator" w:id="0">
    <w:p w:rsidR="009045D3" w:rsidRDefault="009045D3" w:rsidP="006D0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C3F"/>
    <w:rsid w:val="00185358"/>
    <w:rsid w:val="001B26AC"/>
    <w:rsid w:val="002D044F"/>
    <w:rsid w:val="006D0C3F"/>
    <w:rsid w:val="006E4636"/>
    <w:rsid w:val="00877BC9"/>
    <w:rsid w:val="009045D3"/>
    <w:rsid w:val="00AB05E3"/>
    <w:rsid w:val="00AE6DC4"/>
    <w:rsid w:val="00E9341F"/>
    <w:rsid w:val="00F00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04298-5001-4129-8AD6-3A130471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C3F"/>
    <w:rPr>
      <w:sz w:val="24"/>
      <w:szCs w:val="24"/>
    </w:rPr>
  </w:style>
  <w:style w:type="paragraph" w:styleId="Heading1">
    <w:name w:val="heading 1"/>
    <w:basedOn w:val="Normal"/>
    <w:next w:val="Normal"/>
    <w:link w:val="Heading1Char"/>
    <w:qFormat/>
    <w:rsid w:val="00877BC9"/>
    <w:pPr>
      <w:keepNext/>
      <w:spacing w:before="240" w:after="60"/>
      <w:outlineLvl w:val="0"/>
    </w:pPr>
    <w:rPr>
      <w:rFonts w:asciiTheme="majorHAnsi" w:eastAsiaTheme="majorEastAsia" w:hAnsiTheme="majorHAnsi" w:cstheme="majorBidi"/>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BC9"/>
    <w:rPr>
      <w:rFonts w:asciiTheme="majorHAnsi" w:eastAsiaTheme="majorEastAsia" w:hAnsiTheme="majorHAnsi" w:cstheme="majorBidi"/>
      <w:b/>
      <w:bCs/>
      <w:kern w:val="32"/>
      <w:sz w:val="32"/>
      <w:szCs w:val="32"/>
      <w:lang w:val="en-US" w:eastAsia="en-US"/>
    </w:rPr>
  </w:style>
  <w:style w:type="paragraph" w:styleId="Title">
    <w:name w:val="Title"/>
    <w:basedOn w:val="Normal"/>
    <w:next w:val="Normal"/>
    <w:link w:val="TitleChar"/>
    <w:qFormat/>
    <w:rsid w:val="00877BC9"/>
    <w:pPr>
      <w:spacing w:before="240" w:after="60"/>
      <w:jc w:val="center"/>
      <w:outlineLvl w:val="0"/>
    </w:pPr>
    <w:rPr>
      <w:rFonts w:asciiTheme="majorHAnsi" w:eastAsiaTheme="majorEastAsia" w:hAnsiTheme="majorHAnsi" w:cstheme="majorBidi"/>
      <w:b/>
      <w:bCs/>
      <w:kern w:val="28"/>
      <w:sz w:val="32"/>
      <w:szCs w:val="32"/>
      <w:lang w:val="en-US" w:eastAsia="en-US"/>
    </w:rPr>
  </w:style>
  <w:style w:type="character" w:customStyle="1" w:styleId="TitleChar">
    <w:name w:val="Title Char"/>
    <w:basedOn w:val="DefaultParagraphFont"/>
    <w:link w:val="Title"/>
    <w:rsid w:val="00877BC9"/>
    <w:rPr>
      <w:rFonts w:asciiTheme="majorHAnsi" w:eastAsiaTheme="majorEastAsia" w:hAnsiTheme="majorHAnsi" w:cstheme="majorBidi"/>
      <w:b/>
      <w:bCs/>
      <w:kern w:val="28"/>
      <w:sz w:val="32"/>
      <w:szCs w:val="32"/>
      <w:lang w:val="en-US" w:eastAsia="en-US"/>
    </w:rPr>
  </w:style>
  <w:style w:type="character" w:styleId="Emphasis">
    <w:name w:val="Emphasis"/>
    <w:basedOn w:val="DefaultParagraphFont"/>
    <w:qFormat/>
    <w:rsid w:val="00877BC9"/>
    <w:rPr>
      <w:i/>
      <w:iCs/>
    </w:rPr>
  </w:style>
  <w:style w:type="paragraph" w:styleId="BodyText">
    <w:name w:val="Body Text"/>
    <w:basedOn w:val="Normal"/>
    <w:link w:val="BodyTextChar"/>
    <w:rsid w:val="006D0C3F"/>
    <w:pPr>
      <w:jc w:val="both"/>
    </w:pPr>
    <w:rPr>
      <w:sz w:val="28"/>
      <w:lang w:val="en-US"/>
    </w:rPr>
  </w:style>
  <w:style w:type="character" w:customStyle="1" w:styleId="BodyTextChar">
    <w:name w:val="Body Text Char"/>
    <w:basedOn w:val="DefaultParagraphFont"/>
    <w:link w:val="BodyText"/>
    <w:rsid w:val="006D0C3F"/>
    <w:rPr>
      <w:sz w:val="28"/>
      <w:szCs w:val="24"/>
      <w:lang w:val="en-US"/>
    </w:rPr>
  </w:style>
  <w:style w:type="paragraph" w:customStyle="1" w:styleId="tt">
    <w:name w:val="tt"/>
    <w:basedOn w:val="Normal"/>
    <w:rsid w:val="006D0C3F"/>
    <w:pPr>
      <w:jc w:val="center"/>
    </w:pPr>
    <w:rPr>
      <w:b/>
      <w:bCs/>
    </w:rPr>
  </w:style>
  <w:style w:type="paragraph" w:customStyle="1" w:styleId="cn">
    <w:name w:val="cn"/>
    <w:basedOn w:val="Normal"/>
    <w:rsid w:val="006D0C3F"/>
    <w:pPr>
      <w:jc w:val="center"/>
    </w:pPr>
  </w:style>
  <w:style w:type="character" w:customStyle="1" w:styleId="2">
    <w:name w:val="Основной текст (2)_"/>
    <w:basedOn w:val="DefaultParagraphFont"/>
    <w:link w:val="20"/>
    <w:rsid w:val="006D0C3F"/>
    <w:rPr>
      <w:sz w:val="26"/>
      <w:szCs w:val="26"/>
      <w:shd w:val="clear" w:color="auto" w:fill="FFFFFF"/>
    </w:rPr>
  </w:style>
  <w:style w:type="paragraph" w:customStyle="1" w:styleId="20">
    <w:name w:val="Основной текст (2)"/>
    <w:basedOn w:val="Normal"/>
    <w:link w:val="2"/>
    <w:rsid w:val="006D0C3F"/>
    <w:pPr>
      <w:widowControl w:val="0"/>
      <w:shd w:val="clear" w:color="auto" w:fill="FFFFFF"/>
      <w:spacing w:line="307" w:lineRule="exact"/>
      <w:jc w:val="both"/>
    </w:pPr>
    <w:rPr>
      <w:sz w:val="26"/>
      <w:szCs w:val="26"/>
    </w:rPr>
  </w:style>
  <w:style w:type="paragraph" w:styleId="Header">
    <w:name w:val="header"/>
    <w:basedOn w:val="Normal"/>
    <w:link w:val="HeaderChar"/>
    <w:uiPriority w:val="99"/>
    <w:semiHidden/>
    <w:unhideWhenUsed/>
    <w:rsid w:val="006D0C3F"/>
    <w:pPr>
      <w:tabs>
        <w:tab w:val="center" w:pos="4677"/>
        <w:tab w:val="right" w:pos="9355"/>
      </w:tabs>
    </w:pPr>
  </w:style>
  <w:style w:type="character" w:customStyle="1" w:styleId="HeaderChar">
    <w:name w:val="Header Char"/>
    <w:basedOn w:val="DefaultParagraphFont"/>
    <w:link w:val="Header"/>
    <w:uiPriority w:val="99"/>
    <w:semiHidden/>
    <w:rsid w:val="006D0C3F"/>
    <w:rPr>
      <w:sz w:val="24"/>
      <w:szCs w:val="24"/>
    </w:rPr>
  </w:style>
  <w:style w:type="paragraph" w:styleId="Footer">
    <w:name w:val="footer"/>
    <w:basedOn w:val="Normal"/>
    <w:link w:val="FooterChar"/>
    <w:uiPriority w:val="99"/>
    <w:unhideWhenUsed/>
    <w:rsid w:val="006D0C3F"/>
    <w:pPr>
      <w:tabs>
        <w:tab w:val="center" w:pos="4677"/>
        <w:tab w:val="right" w:pos="9355"/>
      </w:tabs>
    </w:pPr>
  </w:style>
  <w:style w:type="character" w:customStyle="1" w:styleId="FooterChar">
    <w:name w:val="Footer Char"/>
    <w:basedOn w:val="DefaultParagraphFont"/>
    <w:link w:val="Footer"/>
    <w:uiPriority w:val="99"/>
    <w:rsid w:val="006D0C3F"/>
    <w:rPr>
      <w:sz w:val="24"/>
      <w:szCs w:val="24"/>
    </w:rPr>
  </w:style>
  <w:style w:type="paragraph" w:styleId="BalloonText">
    <w:name w:val="Balloon Text"/>
    <w:basedOn w:val="Normal"/>
    <w:link w:val="BalloonTextChar"/>
    <w:uiPriority w:val="99"/>
    <w:semiHidden/>
    <w:unhideWhenUsed/>
    <w:rsid w:val="00185358"/>
    <w:rPr>
      <w:rFonts w:ascii="Tahoma" w:hAnsi="Tahoma" w:cs="Tahoma"/>
      <w:sz w:val="16"/>
      <w:szCs w:val="16"/>
    </w:rPr>
  </w:style>
  <w:style w:type="character" w:customStyle="1" w:styleId="BalloonTextChar">
    <w:name w:val="Balloon Text Char"/>
    <w:basedOn w:val="DefaultParagraphFont"/>
    <w:link w:val="BalloonText"/>
    <w:uiPriority w:val="99"/>
    <w:semiHidden/>
    <w:rsid w:val="00185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Operator</cp:lastModifiedBy>
  <cp:revision>2</cp:revision>
  <cp:lastPrinted>2017-02-28T10:01:00Z</cp:lastPrinted>
  <dcterms:created xsi:type="dcterms:W3CDTF">2017-02-28T11:15:00Z</dcterms:created>
  <dcterms:modified xsi:type="dcterms:W3CDTF">2017-02-28T11:15:00Z</dcterms:modified>
</cp:coreProperties>
</file>