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82" w:type="pct"/>
        <w:jc w:val="center"/>
        <w:tblLook w:val="04A0" w:firstRow="1" w:lastRow="0" w:firstColumn="1" w:lastColumn="0" w:noHBand="0" w:noVBand="1"/>
      </w:tblPr>
      <w:tblGrid>
        <w:gridCol w:w="6525"/>
        <w:gridCol w:w="4815"/>
      </w:tblGrid>
      <w:tr w:rsidR="00000000">
        <w:trPr>
          <w:jc w:val="center"/>
        </w:trPr>
        <w:tc>
          <w:tcPr>
            <w:tcW w:w="5000" w:type="pct"/>
            <w:gridSpan w:val="2"/>
            <w:tcMar>
              <w:top w:w="15" w:type="dxa"/>
              <w:left w:w="45" w:type="dxa"/>
              <w:bottom w:w="15" w:type="dxa"/>
              <w:right w:w="45" w:type="dxa"/>
            </w:tcMar>
          </w:tcPr>
          <w:p w:rsidR="00000000" w:rsidRDefault="00053E90">
            <w:pPr>
              <w:pStyle w:val="cb"/>
              <w:rPr>
                <w:sz w:val="28"/>
                <w:szCs w:val="28"/>
                <w:lang w:val="ro-RO"/>
              </w:rPr>
            </w:pPr>
            <w:r>
              <w:t> </w:t>
            </w:r>
            <w:r>
              <w:rPr>
                <w:sz w:val="28"/>
                <w:szCs w:val="28"/>
                <w:lang w:val="ro-RO"/>
              </w:rPr>
              <w:t xml:space="preserve">             ANALIZA IMPACTULUI DE REGLEMENTARE</w:t>
            </w:r>
          </w:p>
          <w:p w:rsidR="00000000" w:rsidRDefault="00053E90">
            <w:pPr>
              <w:jc w:val="center"/>
              <w:rPr>
                <w:b/>
                <w:bCs/>
                <w:sz w:val="28"/>
                <w:szCs w:val="28"/>
                <w:lang w:val="ro-RO"/>
              </w:rPr>
            </w:pPr>
            <w:r>
              <w:rPr>
                <w:sz w:val="28"/>
                <w:szCs w:val="28"/>
                <w:lang w:val="ro-RO"/>
              </w:rPr>
              <w:t xml:space="preserve">                 </w:t>
            </w:r>
            <w:r>
              <w:rPr>
                <w:b/>
                <w:sz w:val="28"/>
                <w:szCs w:val="28"/>
                <w:lang w:val="ro-RO"/>
              </w:rPr>
              <w:t xml:space="preserve">la proiectul Hotărârii Guvernului </w:t>
            </w:r>
            <w:r>
              <w:rPr>
                <w:b/>
                <w:bCs/>
                <w:sz w:val="28"/>
                <w:szCs w:val="28"/>
                <w:lang w:val="ro-RO"/>
              </w:rPr>
              <w:t xml:space="preserve">cu privire la aprobarea              </w:t>
            </w:r>
          </w:p>
          <w:p w:rsidR="00000000" w:rsidRDefault="00053E90">
            <w:pPr>
              <w:jc w:val="center"/>
              <w:rPr>
                <w:rFonts w:eastAsia="Arial Unicode MS"/>
                <w:b/>
                <w:bCs/>
                <w:sz w:val="28"/>
                <w:szCs w:val="28"/>
                <w:lang w:val="ro-RO" w:eastAsia="ro-RO"/>
              </w:rPr>
            </w:pPr>
            <w:r>
              <w:rPr>
                <w:b/>
                <w:bCs/>
                <w:sz w:val="28"/>
                <w:szCs w:val="28"/>
                <w:lang w:val="ro-RO"/>
              </w:rPr>
              <w:t xml:space="preserve">                   Reglementării tehnice </w:t>
            </w:r>
            <w:r>
              <w:rPr>
                <w:rFonts w:eastAsia="Arial Unicode MS"/>
                <w:b/>
                <w:bCs/>
                <w:sz w:val="28"/>
                <w:szCs w:val="28"/>
                <w:lang w:val="ro-RO" w:eastAsia="ro-RO"/>
              </w:rPr>
              <w:t>privind echipamente sub presiune transportabile</w:t>
            </w:r>
          </w:p>
          <w:p w:rsidR="00000000" w:rsidRDefault="00053E90">
            <w:pPr>
              <w:pStyle w:val="NoSpacing"/>
              <w:jc w:val="center"/>
              <w:rPr>
                <w:rFonts w:ascii="Times New Roman" w:hAnsi="Times New Roman" w:cs="Times New Roman"/>
                <w:b/>
                <w:sz w:val="28"/>
                <w:szCs w:val="28"/>
                <w:lang w:val="ro-RO"/>
              </w:rPr>
            </w:pP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Titlul analizei impactului</w:t>
            </w:r>
            <w:r>
              <w:rPr>
                <w:rFonts w:eastAsia="Times New Roman"/>
                <w:b/>
                <w:bCs/>
                <w:sz w:val="28"/>
                <w:szCs w:val="28"/>
                <w:lang w:val="ro-RO"/>
              </w:rPr>
              <w:br/>
            </w:r>
            <w:r>
              <w:rPr>
                <w:rFonts w:eastAsia="Times New Roman"/>
                <w:sz w:val="28"/>
                <w:szCs w:val="28"/>
                <w:lang w:val="ro-RO"/>
              </w:rPr>
              <w:t>(poate conţine titlul propunerii de act normativ)</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tabs>
                <w:tab w:val="left" w:pos="540"/>
                <w:tab w:val="left" w:pos="567"/>
              </w:tabs>
              <w:jc w:val="both"/>
              <w:rPr>
                <w:rFonts w:eastAsia="Times New Roman"/>
                <w:sz w:val="28"/>
                <w:szCs w:val="28"/>
                <w:lang w:val="ro-RO"/>
              </w:rPr>
            </w:pPr>
            <w:r>
              <w:rPr>
                <w:sz w:val="28"/>
                <w:szCs w:val="28"/>
                <w:lang w:val="ro-RO"/>
              </w:rPr>
              <w:t xml:space="preserve">proiectul Hotărârii Guvernului cu privire la aprobarea Reglementării tehnice privind </w:t>
            </w:r>
            <w:r>
              <w:rPr>
                <w:rFonts w:eastAsia="Arial Unicode MS"/>
                <w:bCs/>
                <w:sz w:val="28"/>
                <w:szCs w:val="28"/>
                <w:lang w:val="ro-RO" w:eastAsia="ro-RO"/>
              </w:rPr>
              <w:t>echipamentele sub presiune transportabile.</w:t>
            </w:r>
            <w:r>
              <w:rPr>
                <w:sz w:val="28"/>
                <w:szCs w:val="28"/>
                <w:lang w:val="ro-RO"/>
              </w:rPr>
              <w:t xml:space="preserve"> </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Data:</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 2017</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Autoritatea administraţiei publice a</w:t>
            </w:r>
            <w:r>
              <w:rPr>
                <w:rFonts w:eastAsia="Times New Roman"/>
                <w:b/>
                <w:bCs/>
                <w:sz w:val="28"/>
                <w:szCs w:val="28"/>
                <w:lang w:val="ro-RO"/>
              </w:rPr>
              <w:t>utor:</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 Ministerul Economiei</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Subdiviziunea:</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tabs>
                <w:tab w:val="left" w:pos="870"/>
              </w:tabs>
              <w:jc w:val="both"/>
              <w:rPr>
                <w:rFonts w:eastAsia="Times New Roman"/>
                <w:sz w:val="28"/>
                <w:szCs w:val="28"/>
                <w:lang w:val="ro-RO"/>
              </w:rPr>
            </w:pPr>
            <w:r>
              <w:rPr>
                <w:rFonts w:eastAsia="Times New Roman"/>
                <w:sz w:val="28"/>
                <w:szCs w:val="28"/>
                <w:lang w:val="ro-RO"/>
              </w:rPr>
              <w:t> </w:t>
            </w:r>
            <w:r>
              <w:rPr>
                <w:sz w:val="28"/>
                <w:szCs w:val="28"/>
                <w:lang w:val="ro-RO"/>
              </w:rPr>
              <w:t>Direc</w:t>
            </w:r>
            <w:r>
              <w:rPr>
                <w:sz w:val="28"/>
                <w:szCs w:val="28"/>
                <w:lang w:val="ro-RO"/>
              </w:rPr>
              <w:t>ț</w:t>
            </w:r>
            <w:r>
              <w:rPr>
                <w:sz w:val="28"/>
                <w:szCs w:val="28"/>
                <w:lang w:val="ro-RO"/>
              </w:rPr>
              <w:t>ia generală infrastructura calită</w:t>
            </w:r>
            <w:r>
              <w:rPr>
                <w:sz w:val="28"/>
                <w:szCs w:val="28"/>
                <w:lang w:val="ro-RO"/>
              </w:rPr>
              <w:t>ț</w:t>
            </w:r>
            <w:r>
              <w:rPr>
                <w:sz w:val="28"/>
                <w:szCs w:val="28"/>
                <w:lang w:val="ro-RO"/>
              </w:rPr>
              <w:t xml:space="preserve">ii </w:t>
            </w:r>
            <w:r>
              <w:rPr>
                <w:sz w:val="28"/>
                <w:szCs w:val="28"/>
                <w:lang w:val="ro-RO"/>
              </w:rPr>
              <w:t>ș</w:t>
            </w:r>
            <w:r>
              <w:rPr>
                <w:sz w:val="28"/>
                <w:szCs w:val="28"/>
                <w:lang w:val="ro-RO"/>
              </w:rPr>
              <w:t>i supravegherea pie</w:t>
            </w:r>
            <w:r>
              <w:rPr>
                <w:sz w:val="28"/>
                <w:szCs w:val="28"/>
                <w:lang w:val="ro-RO"/>
              </w:rPr>
              <w:t>ț</w:t>
            </w:r>
            <w:r>
              <w:rPr>
                <w:sz w:val="28"/>
                <w:szCs w:val="28"/>
                <w:lang w:val="ro-RO"/>
              </w:rPr>
              <w:t>ei/Direc</w:t>
            </w:r>
            <w:r>
              <w:rPr>
                <w:sz w:val="28"/>
                <w:szCs w:val="28"/>
                <w:lang w:val="ro-RO"/>
              </w:rPr>
              <w:t>ț</w:t>
            </w:r>
            <w:r>
              <w:rPr>
                <w:sz w:val="28"/>
                <w:szCs w:val="28"/>
                <w:lang w:val="ro-RO"/>
              </w:rPr>
              <w:t>ia supravegherea pie</w:t>
            </w:r>
            <w:r>
              <w:rPr>
                <w:sz w:val="28"/>
                <w:szCs w:val="28"/>
                <w:lang w:val="ro-RO"/>
              </w:rPr>
              <w:t>ț</w:t>
            </w:r>
            <w:r>
              <w:rPr>
                <w:sz w:val="28"/>
                <w:szCs w:val="28"/>
                <w:lang w:val="ro-RO"/>
              </w:rPr>
              <w:t xml:space="preserve">ei </w:t>
            </w:r>
            <w:r>
              <w:rPr>
                <w:sz w:val="28"/>
                <w:szCs w:val="28"/>
                <w:lang w:val="ro-RO"/>
              </w:rPr>
              <w:t>ș</w:t>
            </w:r>
            <w:r>
              <w:rPr>
                <w:sz w:val="28"/>
                <w:szCs w:val="28"/>
                <w:lang w:val="ro-RO"/>
              </w:rPr>
              <w:t>i securitate industrială.</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Persoana responsabilă şi informaţia de contact:</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 </w:t>
            </w:r>
            <w:r>
              <w:rPr>
                <w:rFonts w:eastAsia="Times New Roman"/>
                <w:sz w:val="28"/>
                <w:szCs w:val="28"/>
                <w:lang w:val="ro-RO"/>
              </w:rPr>
              <w:t>Larisa Sloninova, consultant superior, tel. de contact: 0 22 250 683.</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sz w:val="28"/>
                <w:szCs w:val="28"/>
                <w:lang w:val="ro-RO"/>
              </w:rPr>
            </w:pPr>
            <w:r>
              <w:rPr>
                <w:rFonts w:eastAsia="Times New Roman"/>
                <w:b/>
                <w:bCs/>
                <w:sz w:val="28"/>
                <w:szCs w:val="28"/>
                <w:lang w:val="ro-RO"/>
              </w:rPr>
              <w:t>Componentele analizei impactului de reglementare</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1. Stabilirea complexităţii analizei impactului de reglementare </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b/>
                <w:bCs/>
                <w:sz w:val="28"/>
                <w:szCs w:val="28"/>
                <w:lang w:val="ro-RO"/>
              </w:rPr>
            </w:pPr>
            <w:r>
              <w:rPr>
                <w:rFonts w:eastAsia="Times New Roman"/>
                <w:b/>
                <w:bCs/>
                <w:sz w:val="28"/>
                <w:szCs w:val="28"/>
                <w:lang w:val="ro-RO"/>
              </w:rPr>
              <w:t>Criteriul</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b/>
                <w:bCs/>
                <w:sz w:val="28"/>
                <w:szCs w:val="28"/>
                <w:lang w:val="ro-RO"/>
              </w:rPr>
            </w:pPr>
            <w:r>
              <w:rPr>
                <w:rFonts w:eastAsia="Times New Roman"/>
                <w:b/>
                <w:bCs/>
                <w:sz w:val="28"/>
                <w:szCs w:val="28"/>
                <w:lang w:val="ro-RO"/>
              </w:rPr>
              <w:t>Punctajul (de la 1 la 3)</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 xml:space="preserve">Nivelul de interes public faţă </w:t>
            </w:r>
            <w:r>
              <w:rPr>
                <w:rFonts w:eastAsia="Times New Roman"/>
                <w:sz w:val="28"/>
                <w:szCs w:val="28"/>
                <w:lang w:val="ro-RO"/>
              </w:rPr>
              <w:t>de intervenţia propusă</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sz w:val="28"/>
                <w:szCs w:val="28"/>
                <w:lang w:val="ro-RO"/>
              </w:rPr>
            </w:pPr>
            <w:r>
              <w:rPr>
                <w:rFonts w:eastAsia="Times New Roman"/>
                <w:sz w:val="28"/>
                <w:szCs w:val="28"/>
                <w:lang w:val="ro-RO"/>
              </w:rPr>
              <w:t>2</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Gradul de inovaţie al intervenţiei propuse</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sz w:val="28"/>
                <w:szCs w:val="28"/>
                <w:lang w:val="ro-RO"/>
              </w:rPr>
            </w:pPr>
            <w:r>
              <w:rPr>
                <w:rFonts w:eastAsia="Times New Roman"/>
                <w:sz w:val="28"/>
                <w:szCs w:val="28"/>
                <w:lang w:val="ro-RO"/>
              </w:rPr>
              <w:t>3</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Mărimea potenţialelor impacturi ale iniţiativei propuse</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sz w:val="28"/>
                <w:szCs w:val="28"/>
                <w:lang w:val="ro-RO"/>
              </w:rPr>
            </w:pPr>
            <w:r>
              <w:rPr>
                <w:rFonts w:eastAsia="Times New Roman"/>
                <w:sz w:val="28"/>
                <w:szCs w:val="28"/>
                <w:lang w:val="ro-RO"/>
              </w:rPr>
              <w:t>1</w:t>
            </w:r>
          </w:p>
        </w:tc>
      </w:tr>
      <w:tr w:rsidR="00000000">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sz w:val="28"/>
                <w:szCs w:val="28"/>
                <w:lang w:val="ro-RO"/>
              </w:rPr>
              <w:t>TOTAL</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center"/>
              <w:rPr>
                <w:rFonts w:eastAsia="Times New Roman"/>
                <w:sz w:val="28"/>
                <w:szCs w:val="28"/>
                <w:lang w:val="ro-RO"/>
              </w:rPr>
            </w:pPr>
            <w:r>
              <w:rPr>
                <w:rFonts w:eastAsia="Times New Roman"/>
                <w:sz w:val="28"/>
                <w:szCs w:val="28"/>
                <w:lang w:val="ro-RO"/>
              </w:rPr>
              <w:t>6</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jc w:val="both"/>
              <w:rPr>
                <w:rFonts w:eastAsia="Times New Roman"/>
                <w:sz w:val="28"/>
                <w:szCs w:val="28"/>
                <w:lang w:val="ro-RO"/>
              </w:rPr>
            </w:pPr>
            <w:r>
              <w:rPr>
                <w:rFonts w:eastAsia="Times New Roman"/>
                <w:sz w:val="28"/>
                <w:szCs w:val="28"/>
                <w:u w:val="single"/>
                <w:lang w:val="ro-RO"/>
              </w:rPr>
              <w:t>Argumentare/descifrarea succintă a punctajului atribuit:</w:t>
            </w:r>
            <w:r>
              <w:rPr>
                <w:rFonts w:eastAsia="Times New Roman"/>
                <w:sz w:val="28"/>
                <w:szCs w:val="28"/>
                <w:lang w:val="ro-RO"/>
              </w:rPr>
              <w:t xml:space="preserve"> </w:t>
            </w:r>
          </w:p>
          <w:p w:rsidR="00000000" w:rsidRDefault="00053E90">
            <w:pPr>
              <w:jc w:val="both"/>
              <w:rPr>
                <w:rFonts w:eastAsia="Times New Roman"/>
                <w:sz w:val="28"/>
                <w:szCs w:val="28"/>
                <w:lang w:val="ro-RO"/>
              </w:rPr>
            </w:pPr>
            <w:r>
              <w:rPr>
                <w:rFonts w:eastAsia="Calibri"/>
                <w:bCs/>
                <w:sz w:val="28"/>
                <w:szCs w:val="28"/>
                <w:lang w:val="ro-RO" w:eastAsia="ja-JP"/>
              </w:rPr>
              <w:t>Interven</w:t>
            </w:r>
            <w:r>
              <w:rPr>
                <w:rFonts w:eastAsia="Calibri"/>
                <w:bCs/>
                <w:sz w:val="28"/>
                <w:szCs w:val="28"/>
                <w:lang w:val="ro-RO" w:eastAsia="ja-JP"/>
              </w:rPr>
              <w:t>ț</w:t>
            </w:r>
            <w:r>
              <w:rPr>
                <w:rFonts w:eastAsia="Calibri"/>
                <w:bCs/>
                <w:sz w:val="28"/>
                <w:szCs w:val="28"/>
                <w:lang w:val="ro-RO" w:eastAsia="ja-JP"/>
              </w:rPr>
              <w:t>ia dată necesită o analiză complexă.</w:t>
            </w:r>
          </w:p>
          <w:p w:rsidR="00000000" w:rsidRDefault="00053E90">
            <w:pPr>
              <w:jc w:val="both"/>
              <w:rPr>
                <w:rFonts w:eastAsia="Times New Roman"/>
                <w:sz w:val="28"/>
                <w:szCs w:val="28"/>
              </w:rPr>
            </w:pPr>
            <w:r>
              <w:rPr>
                <w:rFonts w:eastAsia="Times New Roman"/>
                <w:sz w:val="28"/>
                <w:szCs w:val="28"/>
                <w:lang w:val="ro-RO"/>
              </w:rPr>
              <w:t xml:space="preserve">2 - </w:t>
            </w:r>
            <w:r>
              <w:rPr>
                <w:rFonts w:eastAsia="Times New Roman"/>
                <w:sz w:val="28"/>
                <w:szCs w:val="28"/>
              </w:rPr>
              <w:t xml:space="preserve">nivel de interes public mediu, corespunzător unor grupuri sociale distincte, restrînse, care nu reprezintă majoritatea societăţii sau o parte importantă a unui sector economic; </w:t>
            </w:r>
          </w:p>
          <w:p w:rsidR="00000000" w:rsidRDefault="00053E90">
            <w:pPr>
              <w:jc w:val="both"/>
              <w:rPr>
                <w:rFonts w:eastAsia="Times New Roman"/>
                <w:sz w:val="28"/>
                <w:szCs w:val="28"/>
              </w:rPr>
            </w:pPr>
            <w:r>
              <w:rPr>
                <w:rFonts w:eastAsia="Times New Roman"/>
                <w:sz w:val="28"/>
                <w:szCs w:val="28"/>
              </w:rPr>
              <w:t xml:space="preserve">3 - intervenţia este în mare parte inovativă şi nu a fost aplicată anterior; </w:t>
            </w:r>
          </w:p>
          <w:p w:rsidR="00000000" w:rsidRDefault="00053E90">
            <w:pPr>
              <w:jc w:val="both"/>
              <w:rPr>
                <w:sz w:val="28"/>
                <w:szCs w:val="28"/>
                <w:lang w:val="ro-RO"/>
              </w:rPr>
            </w:pPr>
            <w:r>
              <w:rPr>
                <w:rFonts w:eastAsia="Times New Roman"/>
                <w:sz w:val="28"/>
                <w:szCs w:val="28"/>
              </w:rPr>
              <w:t xml:space="preserve">1 - </w:t>
            </w:r>
            <w:proofErr w:type="gramStart"/>
            <w:r>
              <w:rPr>
                <w:rFonts w:eastAsia="Times New Roman"/>
                <w:sz w:val="28"/>
                <w:szCs w:val="28"/>
              </w:rPr>
              <w:t>ar</w:t>
            </w:r>
            <w:proofErr w:type="gramEnd"/>
            <w:r>
              <w:rPr>
                <w:rFonts w:eastAsia="Times New Roman"/>
                <w:sz w:val="28"/>
                <w:szCs w:val="28"/>
              </w:rPr>
              <w:t xml:space="preserve"> putea fi afectată neesenţial o parte mică a societăţii sau o parte mică a unui sector economic.</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2. Definirea problemei</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0000" w:rsidRDefault="00053E90">
            <w:pPr>
              <w:pStyle w:val="ListParagraph"/>
              <w:numPr>
                <w:ilvl w:val="0"/>
                <w:numId w:val="4"/>
              </w:numPr>
              <w:tabs>
                <w:tab w:val="left" w:pos="522"/>
              </w:tabs>
              <w:ind w:left="0" w:firstLine="96"/>
              <w:jc w:val="both"/>
              <w:rPr>
                <w:sz w:val="28"/>
                <w:szCs w:val="28"/>
                <w:lang w:val="ro-RO"/>
              </w:rPr>
            </w:pPr>
            <w:r>
              <w:rPr>
                <w:sz w:val="28"/>
                <w:szCs w:val="28"/>
                <w:lang w:val="ro-RO"/>
              </w:rPr>
              <w:t xml:space="preserve">Proiectul Hotărârii Guvernului cu privire la aprobarea Reglementării tehnice privind </w:t>
            </w:r>
            <w:r>
              <w:rPr>
                <w:rFonts w:eastAsia="Arial Unicode MS"/>
                <w:bCs/>
                <w:sz w:val="28"/>
                <w:szCs w:val="28"/>
                <w:lang w:val="ro-RO" w:eastAsia="ro-RO"/>
              </w:rPr>
              <w:t>echipamente sub presiune transportabile</w:t>
            </w:r>
            <w:r>
              <w:rPr>
                <w:sz w:val="28"/>
                <w:szCs w:val="28"/>
                <w:lang w:val="ro-RO"/>
              </w:rPr>
              <w:t xml:space="preserve"> v</w:t>
            </w:r>
            <w:r>
              <w:rPr>
                <w:sz w:val="28"/>
                <w:szCs w:val="28"/>
                <w:lang w:val="ro-RO"/>
              </w:rPr>
              <w:t>ine să transpună în legisla</w:t>
            </w:r>
            <w:r>
              <w:rPr>
                <w:sz w:val="28"/>
                <w:szCs w:val="28"/>
                <w:lang w:val="ro-RO"/>
              </w:rPr>
              <w:t>ț</w:t>
            </w:r>
            <w:r>
              <w:rPr>
                <w:sz w:val="28"/>
                <w:szCs w:val="28"/>
                <w:lang w:val="ro-RO"/>
              </w:rPr>
              <w:t>ia na</w:t>
            </w:r>
            <w:r>
              <w:rPr>
                <w:sz w:val="28"/>
                <w:szCs w:val="28"/>
                <w:lang w:val="ro-RO"/>
              </w:rPr>
              <w:t>ț</w:t>
            </w:r>
            <w:r>
              <w:rPr>
                <w:sz w:val="28"/>
                <w:szCs w:val="28"/>
                <w:lang w:val="ro-RO"/>
              </w:rPr>
              <w:t xml:space="preserve">ională Directiva 2010/35/UE a Parlamentului European şi a Consiliului din 16 iunie 2010 privind </w:t>
            </w:r>
            <w:r>
              <w:rPr>
                <w:bCs/>
                <w:sz w:val="28"/>
                <w:szCs w:val="28"/>
                <w:lang w:val="ro-RO"/>
              </w:rPr>
              <w:t xml:space="preserve">echipamentele sub presiune transportabile </w:t>
            </w:r>
            <w:r>
              <w:rPr>
                <w:bCs/>
                <w:sz w:val="28"/>
                <w:szCs w:val="28"/>
                <w:lang w:val="ro-RO"/>
              </w:rPr>
              <w:t>ș</w:t>
            </w:r>
            <w:r>
              <w:rPr>
                <w:bCs/>
                <w:sz w:val="28"/>
                <w:szCs w:val="28"/>
                <w:lang w:val="ro-RO"/>
              </w:rPr>
              <w:t xml:space="preserve">i de abrogare a Directivelor 76/767/CEE, 84/525/CEE, 84/526/CEE, 84/527/CEE </w:t>
            </w:r>
            <w:r>
              <w:rPr>
                <w:bCs/>
                <w:sz w:val="28"/>
                <w:szCs w:val="28"/>
                <w:lang w:val="ro-RO"/>
              </w:rPr>
              <w:t>ș</w:t>
            </w:r>
            <w:r>
              <w:rPr>
                <w:bCs/>
                <w:sz w:val="28"/>
                <w:szCs w:val="28"/>
                <w:lang w:val="ro-RO"/>
              </w:rPr>
              <w:t>i 1999</w:t>
            </w:r>
            <w:r>
              <w:rPr>
                <w:bCs/>
                <w:sz w:val="28"/>
                <w:szCs w:val="28"/>
                <w:lang w:val="ro-RO"/>
              </w:rPr>
              <w:t xml:space="preserve">/36/CE ale Consiliului, </w:t>
            </w:r>
            <w:r>
              <w:rPr>
                <w:sz w:val="28"/>
                <w:szCs w:val="28"/>
                <w:lang w:val="ro-RO"/>
              </w:rPr>
              <w:t>publicată în Jurnalul Oficial al Uniunii Europene, L 165, p.1-18 din 30.06.2010.</w:t>
            </w:r>
            <w:r>
              <w:rPr>
                <w:bCs/>
                <w:sz w:val="28"/>
                <w:szCs w:val="28"/>
                <w:lang w:val="ro-RO"/>
              </w:rPr>
              <w:t xml:space="preserve"> Totodată</w:t>
            </w:r>
            <w:r>
              <w:rPr>
                <w:sz w:val="28"/>
                <w:szCs w:val="28"/>
                <w:lang w:val="ro-RO"/>
              </w:rPr>
              <w:t xml:space="preserve"> necesitatea elaborării proiectului derivă din prevederile Planului na</w:t>
            </w:r>
            <w:r>
              <w:rPr>
                <w:sz w:val="28"/>
                <w:szCs w:val="28"/>
                <w:lang w:val="ro-RO"/>
              </w:rPr>
              <w:t>ț</w:t>
            </w:r>
            <w:r>
              <w:rPr>
                <w:sz w:val="28"/>
                <w:szCs w:val="28"/>
                <w:lang w:val="ro-RO"/>
              </w:rPr>
              <w:t>ional de ac</w:t>
            </w:r>
            <w:r>
              <w:rPr>
                <w:sz w:val="28"/>
                <w:szCs w:val="28"/>
                <w:lang w:val="ro-RO"/>
              </w:rPr>
              <w:t>ț</w:t>
            </w:r>
            <w:r>
              <w:rPr>
                <w:sz w:val="28"/>
                <w:szCs w:val="28"/>
                <w:lang w:val="ro-RO"/>
              </w:rPr>
              <w:t>iuni pentru implementarea Acordului de Asociere Republica Mo</w:t>
            </w:r>
            <w:r>
              <w:rPr>
                <w:sz w:val="28"/>
                <w:szCs w:val="28"/>
                <w:lang w:val="ro-RO"/>
              </w:rPr>
              <w:t>ldova – Uniunea Europeană pentru anii 2014-2016, aprobat prin Hotărârea Guvernului nr.808 din 7 octombrie 2014 (Monitorul Oficial al Republicii Moldova, 2014, nr.297-309, art.851), cu modificările şi completările ulterioare.</w:t>
            </w:r>
          </w:p>
          <w:p w:rsidR="00000000" w:rsidRDefault="00053E90">
            <w:pPr>
              <w:tabs>
                <w:tab w:val="left" w:pos="555"/>
              </w:tabs>
              <w:jc w:val="both"/>
              <w:rPr>
                <w:sz w:val="28"/>
                <w:szCs w:val="28"/>
                <w:lang w:val="ro-RO"/>
              </w:rPr>
            </w:pPr>
            <w:r>
              <w:rPr>
                <w:sz w:val="28"/>
                <w:szCs w:val="28"/>
                <w:lang w:val="it-IT"/>
              </w:rPr>
              <w:t xml:space="preserve"> </w:t>
            </w:r>
            <w:r>
              <w:rPr>
                <w:b/>
                <w:sz w:val="28"/>
                <w:szCs w:val="28"/>
                <w:lang w:val="it-IT"/>
              </w:rPr>
              <w:t>b)</w:t>
            </w:r>
            <w:r>
              <w:rPr>
                <w:sz w:val="28"/>
                <w:szCs w:val="28"/>
                <w:lang w:val="it-IT"/>
              </w:rPr>
              <w:t xml:space="preserve"> P</w:t>
            </w:r>
            <w:r>
              <w:rPr>
                <w:sz w:val="28"/>
                <w:szCs w:val="28"/>
                <w:lang w:val="ro-RO"/>
              </w:rPr>
              <w:t>roiectul Hotărârii Guvernu</w:t>
            </w:r>
            <w:r>
              <w:rPr>
                <w:sz w:val="28"/>
                <w:szCs w:val="28"/>
                <w:lang w:val="ro-RO"/>
              </w:rPr>
              <w:t>lui cu privire la aprobarea Reglementării tehnice privind echipamente sub presiune transportabile va stabili norme detaliate privind echipamentele sub presiune transportabile cu scopul de a îmbunătă</w:t>
            </w:r>
            <w:r>
              <w:rPr>
                <w:sz w:val="28"/>
                <w:szCs w:val="28"/>
                <w:lang w:val="ro-RO"/>
              </w:rPr>
              <w:t>ț</w:t>
            </w:r>
            <w:r>
              <w:rPr>
                <w:sz w:val="28"/>
                <w:szCs w:val="28"/>
                <w:lang w:val="ro-RO"/>
              </w:rPr>
              <w:t>i siguran</w:t>
            </w:r>
            <w:r>
              <w:rPr>
                <w:sz w:val="28"/>
                <w:szCs w:val="28"/>
                <w:lang w:val="ro-RO"/>
              </w:rPr>
              <w:t>ț</w:t>
            </w:r>
            <w:r>
              <w:rPr>
                <w:sz w:val="28"/>
                <w:szCs w:val="28"/>
                <w:lang w:val="ro-RO"/>
              </w:rPr>
              <w:t xml:space="preserve">a </w:t>
            </w:r>
            <w:r>
              <w:rPr>
                <w:sz w:val="28"/>
                <w:szCs w:val="28"/>
                <w:lang w:val="ro-RO"/>
              </w:rPr>
              <w:t>ș</w:t>
            </w:r>
            <w:r>
              <w:rPr>
                <w:sz w:val="28"/>
                <w:szCs w:val="28"/>
                <w:lang w:val="ro-RO"/>
              </w:rPr>
              <w:t>i de a asigura libera circula</w:t>
            </w:r>
            <w:r>
              <w:rPr>
                <w:sz w:val="28"/>
                <w:szCs w:val="28"/>
                <w:lang w:val="ro-RO"/>
              </w:rPr>
              <w:t>ț</w:t>
            </w:r>
            <w:r>
              <w:rPr>
                <w:sz w:val="28"/>
                <w:szCs w:val="28"/>
                <w:lang w:val="ro-RO"/>
              </w:rPr>
              <w:t>ie a acestor e</w:t>
            </w:r>
            <w:r>
              <w:rPr>
                <w:sz w:val="28"/>
                <w:szCs w:val="28"/>
                <w:lang w:val="ro-RO"/>
              </w:rPr>
              <w:t>chipamente în cadrul unei pie</w:t>
            </w:r>
            <w:r>
              <w:rPr>
                <w:sz w:val="28"/>
                <w:szCs w:val="28"/>
                <w:lang w:val="ro-RO"/>
              </w:rPr>
              <w:t>ț</w:t>
            </w:r>
            <w:r>
              <w:rPr>
                <w:sz w:val="28"/>
                <w:szCs w:val="28"/>
                <w:lang w:val="ro-RO"/>
              </w:rPr>
              <w:t>e unice.</w:t>
            </w:r>
          </w:p>
          <w:p w:rsidR="00000000" w:rsidRDefault="00053E90">
            <w:pPr>
              <w:jc w:val="both"/>
              <w:rPr>
                <w:sz w:val="28"/>
                <w:szCs w:val="28"/>
                <w:lang w:val="ro-RO"/>
              </w:rPr>
            </w:pPr>
            <w:r>
              <w:rPr>
                <w:sz w:val="28"/>
                <w:szCs w:val="28"/>
                <w:lang w:val="ro-RO"/>
              </w:rPr>
              <w:t xml:space="preserve">       Directiva men</w:t>
            </w:r>
            <w:r>
              <w:rPr>
                <w:sz w:val="28"/>
                <w:szCs w:val="28"/>
                <w:lang w:val="ro-RO"/>
              </w:rPr>
              <w:t>ț</w:t>
            </w:r>
            <w:r>
              <w:rPr>
                <w:sz w:val="28"/>
                <w:szCs w:val="28"/>
                <w:lang w:val="ro-RO"/>
              </w:rPr>
              <w:t>ionată se aplică:</w:t>
            </w:r>
          </w:p>
          <w:tbl>
            <w:tblPr>
              <w:tblW w:w="10681"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6"/>
              <w:gridCol w:w="21"/>
              <w:gridCol w:w="10534"/>
            </w:tblGrid>
            <w:tr w:rsidR="00000000">
              <w:tc>
                <w:tcPr>
                  <w:tcW w:w="5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00000" w:rsidRDefault="00053E90">
                  <w:pPr>
                    <w:rPr>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Pr>
                <w:p w:rsidR="00000000" w:rsidRDefault="00053E90">
                  <w:pPr>
                    <w:ind w:left="-97" w:firstLine="97"/>
                    <w:jc w:val="both"/>
                    <w:rPr>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00000" w:rsidRDefault="00053E90">
                  <w:pPr>
                    <w:ind w:left="-97" w:firstLine="97"/>
                    <w:jc w:val="both"/>
                    <w:rPr>
                      <w:sz w:val="28"/>
                      <w:szCs w:val="28"/>
                      <w:lang w:val="ro-RO"/>
                    </w:rPr>
                  </w:pPr>
                  <w:r>
                    <w:rPr>
                      <w:sz w:val="28"/>
                      <w:szCs w:val="28"/>
                      <w:lang w:val="ro-RO"/>
                    </w:rPr>
                    <w:t>- noilor echipamente sub presiune transportabile (toate recipientele sub presiune, cisternele, vehiculele/vagoanele-baterie, containerele pentru gaze cu elemente multiple, sunt</w:t>
                  </w:r>
                  <w:r>
                    <w:rPr>
                      <w:sz w:val="28"/>
                      <w:szCs w:val="28"/>
                      <w:lang w:val="ro-RO"/>
                    </w:rPr>
                    <w:t xml:space="preserve"> incluse </w:t>
                  </w:r>
                  <w:r>
                    <w:rPr>
                      <w:sz w:val="28"/>
                      <w:szCs w:val="28"/>
                      <w:lang w:val="ro-RO"/>
                    </w:rPr>
                    <w:t>ș</w:t>
                  </w:r>
                  <w:r>
                    <w:rPr>
                      <w:sz w:val="28"/>
                      <w:szCs w:val="28"/>
                      <w:lang w:val="ro-RO"/>
                    </w:rPr>
                    <w:t xml:space="preserve">i buteliile de gaz,  dar nu </w:t>
                  </w:r>
                  <w:r>
                    <w:rPr>
                      <w:sz w:val="28"/>
                      <w:szCs w:val="28"/>
                      <w:lang w:val="ro-RO"/>
                    </w:rPr>
                    <w:t>ș</w:t>
                  </w:r>
                  <w:r>
                    <w:rPr>
                      <w:sz w:val="28"/>
                      <w:szCs w:val="28"/>
                      <w:lang w:val="ro-RO"/>
                    </w:rPr>
                    <w:t xml:space="preserve">i aerosolii, recipientele criogenice deschise, buteliile de gaz pentru </w:t>
                  </w:r>
                  <w:r>
                    <w:rPr>
                      <w:sz w:val="28"/>
                      <w:szCs w:val="28"/>
                      <w:lang w:val="ro-RO"/>
                    </w:rPr>
                    <w:lastRenderedPageBreak/>
                    <w:t xml:space="preserve">aparate respiratorii, stingătoarele de incendii) </w:t>
                  </w:r>
                  <w:r>
                    <w:rPr>
                      <w:b/>
                      <w:sz w:val="28"/>
                      <w:szCs w:val="28"/>
                      <w:lang w:val="ro-RO"/>
                    </w:rPr>
                    <w:t>care nu poartă marcajele de conformitate</w:t>
                  </w:r>
                  <w:r>
                    <w:rPr>
                      <w:sz w:val="28"/>
                      <w:szCs w:val="28"/>
                      <w:lang w:val="ro-RO"/>
                    </w:rPr>
                    <w:t xml:space="preserve"> prevăzute de Directivele 84/525/CEE, 84/526/CEE, 84/527/</w:t>
                  </w:r>
                  <w:r>
                    <w:rPr>
                      <w:sz w:val="28"/>
                      <w:szCs w:val="28"/>
                      <w:lang w:val="ro-RO"/>
                    </w:rPr>
                    <w:t xml:space="preserve">CEE sau 1999/36/CE, </w:t>
                  </w:r>
                  <w:r>
                    <w:rPr>
                      <w:b/>
                      <w:sz w:val="28"/>
                      <w:szCs w:val="28"/>
                      <w:lang w:val="ro-RO"/>
                    </w:rPr>
                    <w:t>în scopul punerii la dispozi</w:t>
                  </w:r>
                  <w:r>
                    <w:rPr>
                      <w:b/>
                      <w:sz w:val="28"/>
                      <w:szCs w:val="28"/>
                      <w:lang w:val="ro-RO"/>
                    </w:rPr>
                    <w:t>ț</w:t>
                  </w:r>
                  <w:r>
                    <w:rPr>
                      <w:b/>
                      <w:sz w:val="28"/>
                      <w:szCs w:val="28"/>
                      <w:lang w:val="ro-RO"/>
                    </w:rPr>
                    <w:t>ie pe pia</w:t>
                  </w:r>
                  <w:r>
                    <w:rPr>
                      <w:b/>
                      <w:sz w:val="28"/>
                      <w:szCs w:val="28"/>
                      <w:lang w:val="ro-RO"/>
                    </w:rPr>
                    <w:t>ț</w:t>
                  </w:r>
                  <w:r>
                    <w:rPr>
                      <w:b/>
                      <w:sz w:val="28"/>
                      <w:szCs w:val="28"/>
                      <w:lang w:val="ro-RO"/>
                    </w:rPr>
                    <w:t>ă a echipamentelor respective;</w:t>
                  </w:r>
                </w:p>
              </w:tc>
            </w:tr>
            <w:tr w:rsidR="00000000">
              <w:tc>
                <w:tcPr>
                  <w:tcW w:w="5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00000" w:rsidRDefault="00053E90">
                  <w:pPr>
                    <w:rPr>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Pr>
                <w:p w:rsidR="00000000" w:rsidRDefault="00053E90">
                  <w:pPr>
                    <w:jc w:val="both"/>
                    <w:rPr>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00000" w:rsidRDefault="00053E90">
                  <w:pPr>
                    <w:jc w:val="both"/>
                    <w:rPr>
                      <w:sz w:val="28"/>
                      <w:szCs w:val="28"/>
                      <w:lang w:val="ro-RO"/>
                    </w:rPr>
                  </w:pPr>
                  <w:r>
                    <w:rPr>
                      <w:sz w:val="28"/>
                      <w:szCs w:val="28"/>
                      <w:lang w:val="ro-RO"/>
                    </w:rPr>
                    <w:t xml:space="preserve">- echipamentelor sub presiune transportabile (toate recipientele sub presiune, cisternele, </w:t>
                  </w:r>
                  <w:r>
                    <w:rPr>
                      <w:sz w:val="28"/>
                      <w:szCs w:val="28"/>
                      <w:lang w:val="ro-RO"/>
                    </w:rPr>
                    <w:t xml:space="preserve">vehiculele/vagoanele-baterie, containerele pentru gaze cu elemente multiple, sunt incluse </w:t>
                  </w:r>
                  <w:r>
                    <w:rPr>
                      <w:sz w:val="28"/>
                      <w:szCs w:val="28"/>
                      <w:lang w:val="ro-RO"/>
                    </w:rPr>
                    <w:t>ș</w:t>
                  </w:r>
                  <w:r>
                    <w:rPr>
                      <w:sz w:val="28"/>
                      <w:szCs w:val="28"/>
                      <w:lang w:val="ro-RO"/>
                    </w:rPr>
                    <w:t xml:space="preserve">i buteliile de gaz,  </w:t>
                  </w:r>
                  <w:r>
                    <w:rPr>
                      <w:b/>
                      <w:sz w:val="28"/>
                      <w:szCs w:val="28"/>
                      <w:lang w:val="ro-RO"/>
                    </w:rPr>
                    <w:t xml:space="preserve">dar nu </w:t>
                  </w:r>
                  <w:r>
                    <w:rPr>
                      <w:b/>
                      <w:sz w:val="28"/>
                      <w:szCs w:val="28"/>
                      <w:lang w:val="ro-RO"/>
                    </w:rPr>
                    <w:t>ș</w:t>
                  </w:r>
                  <w:r>
                    <w:rPr>
                      <w:b/>
                      <w:sz w:val="28"/>
                      <w:szCs w:val="28"/>
                      <w:lang w:val="ro-RO"/>
                    </w:rPr>
                    <w:t>i aerosolii</w:t>
                  </w:r>
                  <w:r>
                    <w:rPr>
                      <w:sz w:val="28"/>
                      <w:szCs w:val="28"/>
                      <w:lang w:val="ro-RO"/>
                    </w:rPr>
                    <w:t xml:space="preserve">, recipientele criogenice deschise, buteliile de gaz pentru aparate respiratorii, stingătoarele de incendii) </w:t>
                  </w:r>
                  <w:r>
                    <w:rPr>
                      <w:b/>
                      <w:sz w:val="28"/>
                      <w:szCs w:val="28"/>
                      <w:lang w:val="ro-RO"/>
                    </w:rPr>
                    <w:t>care poartă marc</w:t>
                  </w:r>
                  <w:r>
                    <w:rPr>
                      <w:b/>
                      <w:sz w:val="28"/>
                      <w:szCs w:val="28"/>
                      <w:lang w:val="ro-RO"/>
                    </w:rPr>
                    <w:t>ajele de conformitate</w:t>
                  </w:r>
                  <w:r>
                    <w:rPr>
                      <w:sz w:val="28"/>
                      <w:szCs w:val="28"/>
                      <w:lang w:val="ro-RO"/>
                    </w:rPr>
                    <w:t xml:space="preserve"> prevăzute de prezenta directivă sau de Directivele 84/525/CEE, 84/526/CEE, 84/527/CEE sau 1999/36/CE, </w:t>
                  </w:r>
                  <w:r>
                    <w:rPr>
                      <w:b/>
                      <w:sz w:val="28"/>
                      <w:szCs w:val="28"/>
                      <w:lang w:val="ro-RO"/>
                    </w:rPr>
                    <w:t>în scopul inspec</w:t>
                  </w:r>
                  <w:r>
                    <w:rPr>
                      <w:b/>
                      <w:sz w:val="28"/>
                      <w:szCs w:val="28"/>
                      <w:lang w:val="ro-RO"/>
                    </w:rPr>
                    <w:t>ț</w:t>
                  </w:r>
                  <w:r>
                    <w:rPr>
                      <w:b/>
                      <w:sz w:val="28"/>
                      <w:szCs w:val="28"/>
                      <w:lang w:val="ro-RO"/>
                    </w:rPr>
                    <w:t>iilor periodice, al inspec</w:t>
                  </w:r>
                  <w:r>
                    <w:rPr>
                      <w:b/>
                      <w:sz w:val="28"/>
                      <w:szCs w:val="28"/>
                      <w:lang w:val="ro-RO"/>
                    </w:rPr>
                    <w:t>ț</w:t>
                  </w:r>
                  <w:r>
                    <w:rPr>
                      <w:b/>
                      <w:sz w:val="28"/>
                      <w:szCs w:val="28"/>
                      <w:lang w:val="ro-RO"/>
                    </w:rPr>
                    <w:t>iilor intermediare, al controalelor excep</w:t>
                  </w:r>
                  <w:r>
                    <w:rPr>
                      <w:b/>
                      <w:sz w:val="28"/>
                      <w:szCs w:val="28"/>
                      <w:lang w:val="ro-RO"/>
                    </w:rPr>
                    <w:t>ț</w:t>
                  </w:r>
                  <w:r>
                    <w:rPr>
                      <w:b/>
                      <w:sz w:val="28"/>
                      <w:szCs w:val="28"/>
                      <w:lang w:val="ro-RO"/>
                    </w:rPr>
                    <w:t xml:space="preserve">ionale </w:t>
                  </w:r>
                  <w:r>
                    <w:rPr>
                      <w:b/>
                      <w:sz w:val="28"/>
                      <w:szCs w:val="28"/>
                      <w:lang w:val="ro-RO"/>
                    </w:rPr>
                    <w:t>ș</w:t>
                  </w:r>
                  <w:r>
                    <w:rPr>
                      <w:b/>
                      <w:sz w:val="28"/>
                      <w:szCs w:val="28"/>
                      <w:lang w:val="ro-RO"/>
                    </w:rPr>
                    <w:t>i al utilizării acestora;</w:t>
                  </w:r>
                </w:p>
              </w:tc>
            </w:tr>
          </w:tbl>
          <w:p w:rsidR="00000000" w:rsidRDefault="00053E90">
            <w:pPr>
              <w:jc w:val="both"/>
              <w:rPr>
                <w:sz w:val="28"/>
                <w:szCs w:val="28"/>
                <w:lang w:val="ro-RO"/>
              </w:rPr>
            </w:pPr>
            <w:r>
              <w:rPr>
                <w:sz w:val="28"/>
                <w:szCs w:val="28"/>
              </w:rPr>
              <w:t xml:space="preserve">   </w:t>
            </w:r>
            <w:r>
              <w:rPr>
                <w:sz w:val="28"/>
                <w:szCs w:val="28"/>
                <w:lang w:val="ro-RO"/>
              </w:rPr>
              <w:t>- echipa</w:t>
            </w:r>
            <w:r>
              <w:rPr>
                <w:sz w:val="28"/>
                <w:szCs w:val="28"/>
                <w:lang w:val="ro-RO"/>
              </w:rPr>
              <w:t xml:space="preserve">mentelor sub presiune transportabile (toate recipientele sub presiune, cisternele, vehiculele/vagoanele-baterie, containerele pentru gaze cu elemente multiple, sunt incluse </w:t>
            </w:r>
            <w:r>
              <w:rPr>
                <w:sz w:val="28"/>
                <w:szCs w:val="28"/>
                <w:lang w:val="ro-RO"/>
              </w:rPr>
              <w:t>ș</w:t>
            </w:r>
            <w:r>
              <w:rPr>
                <w:sz w:val="28"/>
                <w:szCs w:val="28"/>
                <w:lang w:val="ro-RO"/>
              </w:rPr>
              <w:t xml:space="preserve">i buteliile de gaz,  dar nu </w:t>
            </w:r>
            <w:r>
              <w:rPr>
                <w:sz w:val="28"/>
                <w:szCs w:val="28"/>
                <w:lang w:val="ro-RO"/>
              </w:rPr>
              <w:t>ș</w:t>
            </w:r>
            <w:r>
              <w:rPr>
                <w:sz w:val="28"/>
                <w:szCs w:val="28"/>
                <w:lang w:val="ro-RO"/>
              </w:rPr>
              <w:t>i aerosolii, recipientele criogenice deschise, buteli</w:t>
            </w:r>
            <w:r>
              <w:rPr>
                <w:sz w:val="28"/>
                <w:szCs w:val="28"/>
                <w:lang w:val="ro-RO"/>
              </w:rPr>
              <w:t xml:space="preserve">ile de gaz pentru aparate respiratorii, stingătoarele de incendii) </w:t>
            </w:r>
            <w:r>
              <w:rPr>
                <w:b/>
                <w:sz w:val="28"/>
                <w:szCs w:val="28"/>
                <w:lang w:val="ro-RO"/>
              </w:rPr>
              <w:t>care nu poartă marcajele de conformitate</w:t>
            </w:r>
            <w:r>
              <w:rPr>
                <w:sz w:val="28"/>
                <w:szCs w:val="28"/>
                <w:lang w:val="ro-RO"/>
              </w:rPr>
              <w:t xml:space="preserve"> prevăzute de Directiva 1999/36/CE, </w:t>
            </w:r>
            <w:r>
              <w:rPr>
                <w:b/>
                <w:sz w:val="28"/>
                <w:szCs w:val="28"/>
                <w:lang w:val="ro-RO"/>
              </w:rPr>
              <w:t>în scopul reevaluării conformită</w:t>
            </w:r>
            <w:r>
              <w:rPr>
                <w:b/>
                <w:sz w:val="28"/>
                <w:szCs w:val="28"/>
                <w:lang w:val="ro-RO"/>
              </w:rPr>
              <w:t>ț</w:t>
            </w:r>
            <w:r>
              <w:rPr>
                <w:b/>
                <w:sz w:val="28"/>
                <w:szCs w:val="28"/>
                <w:lang w:val="ro-RO"/>
              </w:rPr>
              <w:t>ii.</w:t>
            </w:r>
            <w:r>
              <w:rPr>
                <w:sz w:val="28"/>
                <w:szCs w:val="28"/>
                <w:lang w:val="ro-RO"/>
              </w:rPr>
              <w:t xml:space="preserve"> </w:t>
            </w:r>
          </w:p>
          <w:p w:rsidR="00000000" w:rsidRDefault="00053E90">
            <w:pPr>
              <w:shd w:val="clear" w:color="auto" w:fill="FFFFFF"/>
              <w:ind w:firstLine="567"/>
              <w:jc w:val="both"/>
              <w:textAlignment w:val="baseline"/>
              <w:rPr>
                <w:b/>
                <w:sz w:val="28"/>
                <w:szCs w:val="28"/>
                <w:lang w:val="ro-RO"/>
              </w:rPr>
            </w:pPr>
            <w:r>
              <w:rPr>
                <w:noProof/>
                <w:sz w:val="28"/>
                <w:szCs w:val="28"/>
              </w:rPr>
              <w:t xml:space="preserve">De asemenea, </w:t>
            </w:r>
            <w:r>
              <w:rPr>
                <w:sz w:val="28"/>
                <w:szCs w:val="28"/>
                <w:lang w:val="ro-RO"/>
              </w:rPr>
              <w:t xml:space="preserve">Directiva 2010/35/CE este inclusă în Anexa XVI </w:t>
            </w:r>
            <w:smartTag w:uri="urn:schemas-microsoft-com:office:smarttags" w:element="PersonName">
              <w:smartTagPr>
                <w:attr w:name="ProductID" w:val="la Acordul"/>
              </w:smartTagPr>
              <w:r>
                <w:rPr>
                  <w:sz w:val="28"/>
                  <w:szCs w:val="28"/>
                  <w:lang w:val="ro-RO"/>
                </w:rPr>
                <w:t>la Acordul</w:t>
              </w:r>
            </w:smartTag>
            <w:r>
              <w:rPr>
                <w:sz w:val="28"/>
                <w:szCs w:val="28"/>
                <w:lang w:val="ro-RO"/>
              </w:rPr>
              <w:t xml:space="preserve"> de A</w:t>
            </w:r>
            <w:r>
              <w:rPr>
                <w:sz w:val="28"/>
                <w:szCs w:val="28"/>
                <w:lang w:val="ro-RO"/>
              </w:rPr>
              <w:t xml:space="preserve">sociere intre Republica Moldova, pe de o parte, </w:t>
            </w:r>
            <w:r>
              <w:rPr>
                <w:sz w:val="28"/>
                <w:szCs w:val="28"/>
                <w:lang w:val="ro-RO"/>
              </w:rPr>
              <w:t>ș</w:t>
            </w:r>
            <w:r>
              <w:rPr>
                <w:sz w:val="28"/>
                <w:szCs w:val="28"/>
                <w:lang w:val="ro-RO"/>
              </w:rPr>
              <w:t xml:space="preserve">i Uniunea Europeană </w:t>
            </w:r>
            <w:r>
              <w:rPr>
                <w:sz w:val="28"/>
                <w:szCs w:val="28"/>
                <w:lang w:val="ro-RO"/>
              </w:rPr>
              <w:t>ș</w:t>
            </w:r>
            <w:r>
              <w:rPr>
                <w:sz w:val="28"/>
                <w:szCs w:val="28"/>
                <w:lang w:val="ro-RO"/>
              </w:rPr>
              <w:t xml:space="preserve">i Comunitatea Europeană a Energiei Atomice şi statele membre ale acestora, pe de altă parte. Totodată directivă este bazată pe principiile noii abordări sau abordării globale, </w:t>
            </w:r>
            <w:r>
              <w:rPr>
                <w:b/>
                <w:sz w:val="28"/>
                <w:szCs w:val="28"/>
                <w:lang w:val="ro-RO"/>
              </w:rPr>
              <w:t>dar care n</w:t>
            </w:r>
            <w:r>
              <w:rPr>
                <w:b/>
                <w:sz w:val="28"/>
                <w:szCs w:val="28"/>
                <w:lang w:val="ro-RO"/>
              </w:rPr>
              <w:t xml:space="preserve">u prevede marcajul CE. </w:t>
            </w:r>
          </w:p>
          <w:p w:rsidR="00000000" w:rsidRDefault="00053E90">
            <w:pPr>
              <w:jc w:val="both"/>
              <w:rPr>
                <w:b/>
                <w:sz w:val="28"/>
                <w:szCs w:val="28"/>
              </w:rPr>
            </w:pPr>
            <w:r>
              <w:rPr>
                <w:lang w:val="ro-RO"/>
              </w:rPr>
              <w:t xml:space="preserve">          </w:t>
            </w:r>
            <w:r>
              <w:rPr>
                <w:sz w:val="28"/>
                <w:szCs w:val="28"/>
              </w:rPr>
              <w:t>In acest scop, pentru a facilita stabilirea conformităţii cu cerin</w:t>
            </w:r>
            <w:r>
              <w:rPr>
                <w:sz w:val="28"/>
                <w:szCs w:val="28"/>
              </w:rPr>
              <w:t>ț</w:t>
            </w:r>
            <w:r>
              <w:rPr>
                <w:sz w:val="28"/>
                <w:szCs w:val="28"/>
              </w:rPr>
              <w:t>ele directivei men</w:t>
            </w:r>
            <w:r>
              <w:rPr>
                <w:sz w:val="28"/>
                <w:szCs w:val="28"/>
              </w:rPr>
              <w:t>ț</w:t>
            </w:r>
            <w:r>
              <w:rPr>
                <w:sz w:val="28"/>
                <w:szCs w:val="28"/>
              </w:rPr>
              <w:t xml:space="preserve">ionate, este necesară existenţa standardelor armonizate la nivel european, în special cu privire la proiectare, fabricare </w:t>
            </w:r>
            <w:r>
              <w:rPr>
                <w:sz w:val="28"/>
                <w:szCs w:val="28"/>
              </w:rPr>
              <w:t>ș</w:t>
            </w:r>
            <w:r>
              <w:rPr>
                <w:sz w:val="28"/>
                <w:szCs w:val="28"/>
              </w:rPr>
              <w:t xml:space="preserve">i exploatare </w:t>
            </w:r>
            <w:r>
              <w:rPr>
                <w:sz w:val="28"/>
                <w:szCs w:val="28"/>
              </w:rPr>
              <w:t>a echipamentelor sub presiune transportabile. Echipamentelor sub presiune transportabile care, în urma procesului de evaluare a conformită</w:t>
            </w:r>
            <w:r>
              <w:rPr>
                <w:sz w:val="28"/>
                <w:szCs w:val="28"/>
              </w:rPr>
              <w:t>ț</w:t>
            </w:r>
            <w:r>
              <w:rPr>
                <w:sz w:val="28"/>
                <w:szCs w:val="28"/>
              </w:rPr>
              <w:t xml:space="preserve">ii prevăzut de prezenta directivă se va demonstra conformitatea lor, producătorii vor aplica </w:t>
            </w:r>
            <w:r>
              <w:rPr>
                <w:b/>
                <w:sz w:val="28"/>
                <w:szCs w:val="28"/>
              </w:rPr>
              <w:t xml:space="preserve">marcajul „pi”. </w:t>
            </w:r>
          </w:p>
          <w:p w:rsidR="00000000" w:rsidRDefault="00053E90">
            <w:pPr>
              <w:tabs>
                <w:tab w:val="left" w:pos="540"/>
              </w:tabs>
              <w:jc w:val="both"/>
              <w:rPr>
                <w:sz w:val="28"/>
                <w:szCs w:val="28"/>
                <w:lang w:val="ro-RO"/>
              </w:rPr>
            </w:pPr>
            <w:r>
              <w:rPr>
                <w:sz w:val="28"/>
                <w:szCs w:val="28"/>
                <w:lang w:val="ro-RO"/>
              </w:rPr>
              <w:t xml:space="preserve">        </w:t>
            </w:r>
            <w:r>
              <w:rPr>
                <w:sz w:val="28"/>
                <w:szCs w:val="28"/>
                <w:lang w:val="ro-RO"/>
              </w:rPr>
              <w:t xml:space="preserve">Dacă să ne referim la practica europeană, există cadru normativ pentru astfel de produse, şi anume Directiva 2010/35/UE a Parlamentului European şi a Consiliului din 16 iunie 2010 privind echipamentele sub presiune transportabile. </w:t>
            </w:r>
          </w:p>
          <w:p w:rsidR="00000000" w:rsidRDefault="00053E90">
            <w:pPr>
              <w:jc w:val="both"/>
              <w:rPr>
                <w:sz w:val="28"/>
                <w:szCs w:val="28"/>
                <w:lang w:val="ro-RO"/>
              </w:rPr>
            </w:pPr>
            <w:r>
              <w:rPr>
                <w:sz w:val="28"/>
                <w:szCs w:val="28"/>
                <w:lang w:val="ro-RO"/>
              </w:rPr>
              <w:t xml:space="preserve">        Decizia nr.768/2</w:t>
            </w:r>
            <w:r>
              <w:rPr>
                <w:sz w:val="28"/>
                <w:szCs w:val="28"/>
                <w:lang w:val="ro-RO"/>
              </w:rPr>
              <w:t xml:space="preserve">008/CE a Parlamentului European </w:t>
            </w:r>
            <w:r>
              <w:rPr>
                <w:sz w:val="28"/>
                <w:szCs w:val="28"/>
                <w:lang w:val="ro-RO"/>
              </w:rPr>
              <w:t>ș</w:t>
            </w:r>
            <w:r>
              <w:rPr>
                <w:sz w:val="28"/>
                <w:szCs w:val="28"/>
                <w:lang w:val="ro-RO"/>
              </w:rPr>
              <w:t>i a Consiliului din 9 iulie 2008 privind un cadru comun pentru comercializarea produselor, stabile</w:t>
            </w:r>
            <w:r>
              <w:rPr>
                <w:sz w:val="28"/>
                <w:szCs w:val="28"/>
                <w:lang w:val="ro-RO"/>
              </w:rPr>
              <w:t>ș</w:t>
            </w:r>
            <w:r>
              <w:rPr>
                <w:sz w:val="28"/>
                <w:szCs w:val="28"/>
                <w:lang w:val="ro-RO"/>
              </w:rPr>
              <w:t>te un cadru general de natură orizontală pentru legisla</w:t>
            </w:r>
            <w:r>
              <w:rPr>
                <w:sz w:val="28"/>
                <w:szCs w:val="28"/>
                <w:lang w:val="ro-RO"/>
              </w:rPr>
              <w:t>ț</w:t>
            </w:r>
            <w:r>
              <w:rPr>
                <w:sz w:val="28"/>
                <w:szCs w:val="28"/>
                <w:lang w:val="ro-RO"/>
              </w:rPr>
              <w:t>ia viitoare de armonizare a condi</w:t>
            </w:r>
            <w:r>
              <w:rPr>
                <w:sz w:val="28"/>
                <w:szCs w:val="28"/>
                <w:lang w:val="ro-RO"/>
              </w:rPr>
              <w:t>ț</w:t>
            </w:r>
            <w:r>
              <w:rPr>
                <w:sz w:val="28"/>
                <w:szCs w:val="28"/>
                <w:lang w:val="ro-RO"/>
              </w:rPr>
              <w:t>iilor de comercializare a produsel</w:t>
            </w:r>
            <w:r>
              <w:rPr>
                <w:sz w:val="28"/>
                <w:szCs w:val="28"/>
                <w:lang w:val="ro-RO"/>
              </w:rPr>
              <w:t xml:space="preserve">or. Acest cadru se aplică </w:t>
            </w:r>
            <w:r>
              <w:rPr>
                <w:sz w:val="28"/>
                <w:szCs w:val="28"/>
                <w:lang w:val="ro-RO"/>
              </w:rPr>
              <w:t>ș</w:t>
            </w:r>
            <w:r>
              <w:rPr>
                <w:sz w:val="28"/>
                <w:szCs w:val="28"/>
                <w:lang w:val="ro-RO"/>
              </w:rPr>
              <w:t>i sectorului echipamentelor sub presiune transportabile, în conformitate cu obiectivele normelor de armonizare privind libera circula</w:t>
            </w:r>
            <w:r>
              <w:rPr>
                <w:sz w:val="28"/>
                <w:szCs w:val="28"/>
                <w:lang w:val="ro-RO"/>
              </w:rPr>
              <w:t>ț</w:t>
            </w:r>
            <w:r>
              <w:rPr>
                <w:sz w:val="28"/>
                <w:szCs w:val="28"/>
                <w:lang w:val="ro-RO"/>
              </w:rPr>
              <w:t>ie a produselor.</w:t>
            </w:r>
          </w:p>
          <w:p w:rsidR="00000000" w:rsidRDefault="00053E90">
            <w:pPr>
              <w:tabs>
                <w:tab w:val="left" w:pos="567"/>
              </w:tabs>
              <w:autoSpaceDE w:val="0"/>
              <w:autoSpaceDN w:val="0"/>
              <w:adjustRightInd w:val="0"/>
              <w:jc w:val="both"/>
              <w:rPr>
                <w:rFonts w:eastAsia="Times New Roman"/>
                <w:sz w:val="28"/>
                <w:szCs w:val="28"/>
                <w:lang w:val="ro-RO" w:eastAsia="ru-RU"/>
              </w:rPr>
            </w:pPr>
            <w:r>
              <w:rPr>
                <w:sz w:val="28"/>
                <w:szCs w:val="28"/>
                <w:lang w:val="ro-RO"/>
              </w:rPr>
              <w:tab/>
            </w:r>
            <w:r>
              <w:rPr>
                <w:rFonts w:eastAsia="Times New Roman"/>
                <w:sz w:val="28"/>
                <w:szCs w:val="28"/>
                <w:lang w:val="ro-RO" w:eastAsia="ru-RU"/>
              </w:rPr>
              <w:t>Activitatea de reglementare tehnică constituie prerogativa statului şi reprez</w:t>
            </w:r>
            <w:r>
              <w:rPr>
                <w:rFonts w:eastAsia="Times New Roman"/>
                <w:sz w:val="28"/>
                <w:szCs w:val="28"/>
                <w:lang w:val="ro-RO" w:eastAsia="ru-RU"/>
              </w:rPr>
              <w:t xml:space="preserve">intă un ansamblu de acţiuni întreprinse de autorităţile abilitate, în scopul stabilirii cerinţelor  </w:t>
            </w:r>
            <w:r>
              <w:rPr>
                <w:rFonts w:eastAsia="EUAlbertina-Regular-Identity-H"/>
                <w:sz w:val="28"/>
                <w:szCs w:val="28"/>
                <w:lang w:val="ro-RO"/>
              </w:rPr>
              <w:t xml:space="preserve">care se aplică la </w:t>
            </w:r>
            <w:r>
              <w:rPr>
                <w:rFonts w:eastAsia="Arial Unicode MS"/>
                <w:sz w:val="28"/>
                <w:szCs w:val="28"/>
                <w:lang w:val="ro-RO" w:eastAsia="ro-RO"/>
              </w:rPr>
              <w:t xml:space="preserve">proiectate, fabricate </w:t>
            </w:r>
            <w:r>
              <w:rPr>
                <w:rFonts w:eastAsia="Arial Unicode MS"/>
                <w:sz w:val="28"/>
                <w:szCs w:val="28"/>
                <w:lang w:val="ro-RO" w:eastAsia="ro-RO"/>
              </w:rPr>
              <w:t>ș</w:t>
            </w:r>
            <w:r>
              <w:rPr>
                <w:rFonts w:eastAsia="Arial Unicode MS"/>
                <w:sz w:val="28"/>
                <w:szCs w:val="28"/>
                <w:lang w:val="ro-RO" w:eastAsia="ro-RO"/>
              </w:rPr>
              <w:t>i documentate în a</w:t>
            </w:r>
            <w:r>
              <w:rPr>
                <w:rFonts w:eastAsia="Arial Unicode MS"/>
                <w:sz w:val="28"/>
                <w:szCs w:val="28"/>
                <w:lang w:val="ro-RO" w:eastAsia="ro-RO"/>
              </w:rPr>
              <w:t>ș</w:t>
            </w:r>
            <w:r>
              <w:rPr>
                <w:rFonts w:eastAsia="Arial Unicode MS"/>
                <w:sz w:val="28"/>
                <w:szCs w:val="28"/>
                <w:lang w:val="ro-RO" w:eastAsia="ro-RO"/>
              </w:rPr>
              <w:t>a fel încît să se garanteze securitatea lor atunci când sînt puse în func</w:t>
            </w:r>
            <w:r>
              <w:rPr>
                <w:rFonts w:eastAsia="Arial Unicode MS"/>
                <w:sz w:val="28"/>
                <w:szCs w:val="28"/>
                <w:lang w:val="ro-RO" w:eastAsia="ro-RO"/>
              </w:rPr>
              <w:t>ț</w:t>
            </w:r>
            <w:r>
              <w:rPr>
                <w:rFonts w:eastAsia="Arial Unicode MS"/>
                <w:sz w:val="28"/>
                <w:szCs w:val="28"/>
                <w:lang w:val="ro-RO" w:eastAsia="ro-RO"/>
              </w:rPr>
              <w:t>iune în conformitate c</w:t>
            </w:r>
            <w:r>
              <w:rPr>
                <w:rFonts w:eastAsia="Arial Unicode MS"/>
                <w:sz w:val="28"/>
                <w:szCs w:val="28"/>
                <w:lang w:val="ro-RO" w:eastAsia="ro-RO"/>
              </w:rPr>
              <w:t>u instruc</w:t>
            </w:r>
            <w:r>
              <w:rPr>
                <w:rFonts w:eastAsia="Arial Unicode MS"/>
                <w:sz w:val="28"/>
                <w:szCs w:val="28"/>
                <w:lang w:val="ro-RO" w:eastAsia="ro-RO"/>
              </w:rPr>
              <w:t>ț</w:t>
            </w:r>
            <w:r>
              <w:rPr>
                <w:rFonts w:eastAsia="Arial Unicode MS"/>
                <w:sz w:val="28"/>
                <w:szCs w:val="28"/>
                <w:lang w:val="ro-RO" w:eastAsia="ro-RO"/>
              </w:rPr>
              <w:t>iunile producătorului sau în condi</w:t>
            </w:r>
            <w:r>
              <w:rPr>
                <w:rFonts w:eastAsia="Arial Unicode MS"/>
                <w:sz w:val="28"/>
                <w:szCs w:val="28"/>
                <w:lang w:val="ro-RO" w:eastAsia="ro-RO"/>
              </w:rPr>
              <w:t>ț</w:t>
            </w:r>
            <w:r>
              <w:rPr>
                <w:rFonts w:eastAsia="Arial Unicode MS"/>
                <w:sz w:val="28"/>
                <w:szCs w:val="28"/>
                <w:lang w:val="ro-RO" w:eastAsia="ro-RO"/>
              </w:rPr>
              <w:t>ii care pot fi în mod rezonabil prevăzute.</w:t>
            </w:r>
          </w:p>
          <w:p w:rsidR="00000000" w:rsidRDefault="00053E90">
            <w:pPr>
              <w:tabs>
                <w:tab w:val="left" w:pos="567"/>
              </w:tabs>
              <w:jc w:val="both"/>
              <w:rPr>
                <w:rFonts w:eastAsia="Times New Roman"/>
                <w:sz w:val="28"/>
                <w:szCs w:val="28"/>
                <w:lang w:val="it-IT" w:eastAsia="ru-RU"/>
              </w:rPr>
            </w:pPr>
            <w:r>
              <w:rPr>
                <w:rFonts w:eastAsia="Times New Roman"/>
                <w:sz w:val="28"/>
                <w:szCs w:val="28"/>
                <w:lang w:val="ro-RO" w:eastAsia="ru-RU"/>
              </w:rPr>
              <w:t xml:space="preserve">       Legea nr.420-XVI din 22.12.2006 privind activitatea de reglementare tehnică</w:t>
            </w:r>
            <w:r>
              <w:rPr>
                <w:rFonts w:eastAsia="Times New Roman"/>
                <w:bCs/>
                <w:sz w:val="28"/>
                <w:szCs w:val="28"/>
                <w:lang w:val="ro-RO" w:eastAsia="ru-RU"/>
              </w:rPr>
              <w:t xml:space="preserve"> stabileşte cerinţele generale faţă de conţinutul şi modul de elaborare, publicare şi </w:t>
            </w:r>
            <w:r>
              <w:rPr>
                <w:rFonts w:eastAsia="Times New Roman"/>
                <w:bCs/>
                <w:sz w:val="28"/>
                <w:szCs w:val="28"/>
                <w:lang w:val="ro-RO" w:eastAsia="ru-RU"/>
              </w:rPr>
              <w:t>aplicare a reglementărilor tehnice pentru a asigura transparenţa procesului de reglementare şi circulaţia liberă a produselor şi serviciilor, stabileşte drepturile şi obligaţiile autorităţilor de reglementare, precum şi cerinţele faţă de supravegherea pieţ</w:t>
            </w:r>
            <w:r>
              <w:rPr>
                <w:rFonts w:eastAsia="Times New Roman"/>
                <w:bCs/>
                <w:sz w:val="28"/>
                <w:szCs w:val="28"/>
                <w:lang w:val="ro-RO" w:eastAsia="ru-RU"/>
              </w:rPr>
              <w:t>ei în scopul protecţiei pieţei interne de produse periculoase, falsificate şi neconforme cerinţelor prescrise şi/sau declarate.</w:t>
            </w:r>
          </w:p>
          <w:p w:rsidR="00000000" w:rsidRDefault="00053E90">
            <w:pPr>
              <w:tabs>
                <w:tab w:val="left" w:pos="567"/>
              </w:tabs>
              <w:jc w:val="both"/>
              <w:rPr>
                <w:rFonts w:eastAsia="Times New Roman"/>
                <w:sz w:val="28"/>
                <w:szCs w:val="28"/>
                <w:lang w:val="it-IT" w:eastAsia="ru-RU"/>
              </w:rPr>
            </w:pPr>
            <w:r>
              <w:rPr>
                <w:rFonts w:eastAsia="Times New Roman"/>
                <w:sz w:val="28"/>
                <w:szCs w:val="28"/>
                <w:lang w:val="it-IT" w:eastAsia="ru-RU"/>
              </w:rPr>
              <w:t xml:space="preserve">       </w:t>
            </w:r>
            <w:r>
              <w:rPr>
                <w:rFonts w:eastAsia="Times New Roman"/>
                <w:sz w:val="28"/>
                <w:szCs w:val="28"/>
                <w:lang w:val="ro-RO" w:eastAsia="ru-RU"/>
              </w:rPr>
              <w:t xml:space="preserve">Legea nr.235 din 1 decembrie 2011 privind activităţile de acreditare si de evaluare a conformităţii </w:t>
            </w:r>
            <w:r>
              <w:rPr>
                <w:rFonts w:eastAsia="Times New Roman"/>
                <w:sz w:val="28"/>
                <w:szCs w:val="28"/>
                <w:lang w:val="it-IT" w:eastAsia="ru-RU"/>
              </w:rPr>
              <w:t>stabileşte cadrul leg</w:t>
            </w:r>
            <w:r>
              <w:rPr>
                <w:rFonts w:eastAsia="Times New Roman"/>
                <w:sz w:val="28"/>
                <w:szCs w:val="28"/>
                <w:lang w:val="it-IT" w:eastAsia="ru-RU"/>
              </w:rPr>
              <w:t>al pentru activitatea de acreditare a organismelor de evaluare a conformităţii, realizată cu titlu obligatoriu sau voluntar, pentru plasarea produselor pe piaţă şi pentru activitatea de evaluare a conformităţii, indiferent de faptul că această evaluare est</w:t>
            </w:r>
            <w:r>
              <w:rPr>
                <w:rFonts w:eastAsia="Times New Roman"/>
                <w:sz w:val="28"/>
                <w:szCs w:val="28"/>
                <w:lang w:val="it-IT" w:eastAsia="ru-RU"/>
              </w:rPr>
              <w:t xml:space="preserve">e obligatorie sau nu la produsele introduse pe piaţă şi/sau utilizate în Republica Moldova. </w:t>
            </w:r>
          </w:p>
          <w:p w:rsidR="00000000" w:rsidRDefault="00053E90">
            <w:pPr>
              <w:tabs>
                <w:tab w:val="left" w:pos="567"/>
              </w:tabs>
              <w:ind w:left="360"/>
              <w:jc w:val="both"/>
              <w:rPr>
                <w:rFonts w:eastAsia="Times New Roman"/>
                <w:sz w:val="28"/>
                <w:szCs w:val="28"/>
                <w:lang w:val="it-IT" w:eastAsia="ru-RU"/>
              </w:rPr>
            </w:pPr>
            <w:r>
              <w:rPr>
                <w:rFonts w:eastAsia="Times New Roman"/>
                <w:bCs/>
                <w:sz w:val="28"/>
                <w:szCs w:val="28"/>
                <w:lang w:val="it-IT" w:eastAsia="ru-RU"/>
              </w:rPr>
              <w:lastRenderedPageBreak/>
              <w:t xml:space="preserve">  La articolul 18 al </w:t>
            </w:r>
            <w:r>
              <w:rPr>
                <w:rFonts w:eastAsia="Times New Roman"/>
                <w:sz w:val="28"/>
                <w:szCs w:val="28"/>
                <w:lang w:val="ro-RO" w:eastAsia="ru-RU"/>
              </w:rPr>
              <w:t xml:space="preserve">Legii nr.235 din 1 decembrie 2011: </w:t>
            </w:r>
          </w:p>
          <w:p w:rsidR="00000000" w:rsidRDefault="00053E90">
            <w:pPr>
              <w:tabs>
                <w:tab w:val="left" w:pos="567"/>
                <w:tab w:val="left" w:pos="851"/>
              </w:tabs>
              <w:jc w:val="both"/>
              <w:rPr>
                <w:rFonts w:eastAsia="Times New Roman"/>
                <w:sz w:val="28"/>
                <w:szCs w:val="28"/>
                <w:lang w:val="it-IT" w:eastAsia="ru-RU"/>
              </w:rPr>
            </w:pPr>
            <w:r>
              <w:rPr>
                <w:rFonts w:eastAsia="Times New Roman"/>
                <w:sz w:val="28"/>
                <w:szCs w:val="28"/>
                <w:lang w:val="it-IT" w:eastAsia="ru-RU"/>
              </w:rPr>
              <w:t xml:space="preserve">„(1) Evaluarea conformităţii cu </w:t>
            </w:r>
            <w:r>
              <w:rPr>
                <w:rFonts w:eastAsia="Times New Roman"/>
                <w:sz w:val="28"/>
                <w:szCs w:val="28"/>
                <w:lang w:val="it-IT" w:eastAsia="ru-RU"/>
              </w:rPr>
              <w:t>titlu obligatoriu se realizează pentru produsele din domeniile prevăzute la anexa nr.3, care este parte integrantă din prezenta lege, precum şi pentru produsele neincluse în domeniile din această anexă, pentru care există cerinţe esenţiale prevăzute în reg</w:t>
            </w:r>
            <w:r>
              <w:rPr>
                <w:rFonts w:eastAsia="Times New Roman"/>
                <w:sz w:val="28"/>
                <w:szCs w:val="28"/>
                <w:lang w:val="it-IT" w:eastAsia="ru-RU"/>
              </w:rPr>
              <w:t xml:space="preserve">lementările tehnice respective, în conformitate cu art.4 alin.(6) din Legea nr.420-XVI din 22 decembrie 2006 privind activitatea de reglementare tehnică.” </w:t>
            </w:r>
          </w:p>
          <w:p w:rsidR="00000000" w:rsidRDefault="00053E90">
            <w:pPr>
              <w:tabs>
                <w:tab w:val="left" w:pos="567"/>
              </w:tabs>
              <w:jc w:val="both"/>
              <w:rPr>
                <w:rFonts w:eastAsia="Times New Roman"/>
                <w:sz w:val="28"/>
                <w:szCs w:val="28"/>
                <w:lang w:eastAsia="ru-RU"/>
              </w:rPr>
            </w:pPr>
            <w:r>
              <w:rPr>
                <w:rFonts w:eastAsia="Times New Roman"/>
                <w:bCs/>
                <w:sz w:val="28"/>
                <w:szCs w:val="28"/>
                <w:lang w:val="it-IT" w:eastAsia="ru-RU"/>
              </w:rPr>
              <w:t xml:space="preserve">        </w:t>
            </w:r>
            <w:r>
              <w:rPr>
                <w:rFonts w:eastAsia="Times New Roman"/>
                <w:sz w:val="28"/>
                <w:szCs w:val="28"/>
                <w:lang w:val="it-IT" w:eastAsia="ru-RU"/>
              </w:rPr>
              <w:t xml:space="preserve">Anexa nr.3 la </w:t>
            </w:r>
            <w:r>
              <w:rPr>
                <w:rFonts w:eastAsia="Times New Roman"/>
                <w:sz w:val="28"/>
                <w:szCs w:val="28"/>
                <w:lang w:val="ro-RO" w:eastAsia="ru-RU"/>
              </w:rPr>
              <w:t xml:space="preserve">Legea nr.235 din 1 decembrie 2011 stabileşte expres  </w:t>
            </w:r>
            <w:r>
              <w:rPr>
                <w:rFonts w:eastAsia="Times New Roman"/>
                <w:sz w:val="28"/>
                <w:szCs w:val="28"/>
                <w:lang w:val="pt-BR" w:eastAsia="ru-RU"/>
              </w:rPr>
              <w:t>Lista domeniilor reglemen</w:t>
            </w:r>
            <w:r>
              <w:rPr>
                <w:rFonts w:eastAsia="Times New Roman"/>
                <w:sz w:val="28"/>
                <w:szCs w:val="28"/>
                <w:lang w:val="pt-BR" w:eastAsia="ru-RU"/>
              </w:rPr>
              <w:t xml:space="preserve">tate, unde la pct. </w:t>
            </w:r>
            <w:r>
              <w:rPr>
                <w:rFonts w:eastAsia="Times New Roman"/>
                <w:bCs/>
                <w:sz w:val="28"/>
                <w:szCs w:val="28"/>
                <w:lang w:val="pt-BR" w:eastAsia="ru-RU"/>
              </w:rPr>
              <w:t>25</w:t>
            </w:r>
            <w:r>
              <w:rPr>
                <w:rFonts w:eastAsia="Times New Roman"/>
                <w:sz w:val="28"/>
                <w:szCs w:val="28"/>
                <w:lang w:val="pt-BR" w:eastAsia="ru-RU"/>
              </w:rPr>
              <w:t xml:space="preserve"> este specificat “E</w:t>
            </w:r>
            <w:r>
              <w:rPr>
                <w:rFonts w:eastAsia="Arial Unicode MS"/>
                <w:bCs/>
                <w:sz w:val="28"/>
                <w:szCs w:val="28"/>
                <w:lang w:val="ro-RO" w:eastAsia="ro-RO"/>
              </w:rPr>
              <w:t>chipamente sub presiune transportabile</w:t>
            </w:r>
            <w:r>
              <w:rPr>
                <w:rFonts w:eastAsia="Times New Roman"/>
                <w:sz w:val="28"/>
                <w:szCs w:val="28"/>
                <w:lang w:eastAsia="ru-RU"/>
              </w:rPr>
              <w:t>”.</w:t>
            </w:r>
          </w:p>
          <w:p w:rsidR="00000000" w:rsidRDefault="00053E90">
            <w:pPr>
              <w:tabs>
                <w:tab w:val="left" w:pos="567"/>
              </w:tabs>
              <w:jc w:val="both"/>
              <w:rPr>
                <w:rFonts w:eastAsia="Times New Roman"/>
                <w:sz w:val="28"/>
                <w:szCs w:val="28"/>
              </w:rPr>
            </w:pPr>
            <w:r>
              <w:rPr>
                <w:rFonts w:eastAsia="Times New Roman"/>
                <w:bCs/>
                <w:sz w:val="28"/>
                <w:szCs w:val="28"/>
                <w:lang w:val="ro-RO" w:eastAsia="ru-RU"/>
              </w:rPr>
              <w:t xml:space="preserve">        În acest context se poate de menţionat </w:t>
            </w:r>
            <w:r>
              <w:rPr>
                <w:rFonts w:eastAsia="Times New Roman"/>
                <w:bCs/>
                <w:sz w:val="28"/>
                <w:szCs w:val="28"/>
                <w:lang w:val="ro-RO" w:eastAsia="ru-RU"/>
              </w:rPr>
              <w:t>ș</w:t>
            </w:r>
            <w:r>
              <w:rPr>
                <w:rFonts w:eastAsia="Times New Roman"/>
                <w:bCs/>
                <w:sz w:val="28"/>
                <w:szCs w:val="28"/>
                <w:lang w:val="ro-RO" w:eastAsia="ru-RU"/>
              </w:rPr>
              <w:t>i Legea nr.7 din 26.02.2016</w:t>
            </w:r>
            <w:r>
              <w:rPr>
                <w:rFonts w:eastAsia="Times New Roman"/>
                <w:sz w:val="28"/>
                <w:szCs w:val="28"/>
                <w:lang w:val="ro-RO"/>
              </w:rPr>
              <w:t xml:space="preserve"> </w:t>
            </w:r>
            <w:r>
              <w:rPr>
                <w:rFonts w:eastAsia="Times New Roman"/>
                <w:sz w:val="28"/>
                <w:szCs w:val="28"/>
              </w:rPr>
              <w:t>privind supravegherea pieţei în ceea ce priveşte comercializarea produselor nealimentare, care stab</w:t>
            </w:r>
            <w:r>
              <w:rPr>
                <w:rFonts w:eastAsia="Times New Roman"/>
                <w:sz w:val="28"/>
                <w:szCs w:val="28"/>
              </w:rPr>
              <w:t>ileşte cadrul legal pentru supravegherea pieţei în ceea ce priveşte produsele nealimentare pentru a asigura că respectivele produse îndeplinesc cerinţele care oferă un nivel înalt de protecţie a intereselor publice, precum sănătatea şi siguranţa în general</w:t>
            </w:r>
            <w:r>
              <w:rPr>
                <w:rFonts w:eastAsia="Times New Roman"/>
                <w:sz w:val="28"/>
                <w:szCs w:val="28"/>
              </w:rPr>
              <w:t>, sănătatea şi siguranţa la locul de muncă, protecţia consumatorilor, protecţia mediului şi securitatea.</w:t>
            </w:r>
          </w:p>
          <w:p w:rsidR="00000000" w:rsidRDefault="00053E90">
            <w:pPr>
              <w:tabs>
                <w:tab w:val="left" w:pos="540"/>
              </w:tabs>
              <w:ind w:firstLine="522"/>
              <w:jc w:val="both"/>
              <w:rPr>
                <w:rFonts w:eastAsia="Times New Roman"/>
                <w:sz w:val="28"/>
                <w:szCs w:val="28"/>
                <w:lang w:val="ro-RO" w:eastAsia="ru-RU"/>
              </w:rPr>
            </w:pPr>
            <w:r>
              <w:rPr>
                <w:rFonts w:eastAsia="Times New Roman"/>
                <w:sz w:val="28"/>
                <w:szCs w:val="28"/>
                <w:lang w:val="ro-RO" w:eastAsia="ru-RU"/>
              </w:rPr>
              <w:t>În Anexă proiectului Legii men</w:t>
            </w:r>
            <w:r>
              <w:rPr>
                <w:rFonts w:eastAsia="Times New Roman"/>
                <w:sz w:val="28"/>
                <w:szCs w:val="28"/>
                <w:lang w:val="ro-RO" w:eastAsia="ru-RU"/>
              </w:rPr>
              <w:t>ț</w:t>
            </w:r>
            <w:r>
              <w:rPr>
                <w:rFonts w:eastAsia="Times New Roman"/>
                <w:sz w:val="28"/>
                <w:szCs w:val="28"/>
                <w:lang w:val="ro-RO" w:eastAsia="ru-RU"/>
              </w:rPr>
              <w:t>ionate este specificat „</w:t>
            </w:r>
            <w:r>
              <w:rPr>
                <w:rFonts w:eastAsia="Times New Roman"/>
                <w:caps/>
                <w:sz w:val="28"/>
                <w:szCs w:val="28"/>
                <w:lang w:val="ro-RO" w:eastAsia="ru-RU"/>
              </w:rPr>
              <w:t xml:space="preserve">Lista </w:t>
            </w:r>
            <w:r>
              <w:rPr>
                <w:rFonts w:eastAsia="Times New Roman"/>
                <w:sz w:val="28"/>
                <w:szCs w:val="28"/>
                <w:lang w:val="ro-RO" w:eastAsia="ru-RU"/>
              </w:rPr>
              <w:t>autorităţilor responsabile de supraveghere a pieţei în domeniile reglementate”.</w:t>
            </w:r>
          </w:p>
          <w:p w:rsidR="00000000" w:rsidRDefault="00053E90">
            <w:pPr>
              <w:tabs>
                <w:tab w:val="left" w:pos="360"/>
              </w:tabs>
              <w:jc w:val="both"/>
              <w:rPr>
                <w:rFonts w:eastAsia="Times New Roman"/>
                <w:sz w:val="28"/>
                <w:szCs w:val="28"/>
                <w:lang w:val="ro-RO" w:eastAsia="ru-RU"/>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3076"/>
              <w:gridCol w:w="1910"/>
              <w:gridCol w:w="3052"/>
            </w:tblGrid>
            <w:tr w:rsidR="00000000">
              <w:trPr>
                <w:trHeight w:val="28"/>
                <w:jc w:val="center"/>
              </w:trPr>
              <w:tc>
                <w:tcPr>
                  <w:tcW w:w="1768" w:type="dxa"/>
                  <w:tcBorders>
                    <w:top w:val="single" w:sz="4" w:space="0" w:color="auto"/>
                    <w:left w:val="single" w:sz="4" w:space="0" w:color="auto"/>
                    <w:bottom w:val="single" w:sz="4" w:space="0" w:color="auto"/>
                    <w:right w:val="single" w:sz="4" w:space="0" w:color="auto"/>
                  </w:tcBorders>
                </w:tcPr>
                <w:p w:rsidR="00000000" w:rsidRDefault="00053E90">
                  <w:pPr>
                    <w:rPr>
                      <w:rFonts w:eastAsia="Times New Roman"/>
                      <w:sz w:val="28"/>
                      <w:szCs w:val="28"/>
                      <w:lang w:val="ro-RO" w:eastAsia="ro-RO"/>
                    </w:rPr>
                  </w:pPr>
                  <w:r>
                    <w:rPr>
                      <w:rFonts w:eastAsia="Times New Roman"/>
                      <w:sz w:val="28"/>
                      <w:szCs w:val="28"/>
                      <w:lang w:val="ro-RO" w:eastAsia="ro-RO"/>
                    </w:rPr>
                    <w:t>Nr.</w:t>
                  </w:r>
                </w:p>
                <w:p w:rsidR="00000000" w:rsidRDefault="00053E90">
                  <w:pPr>
                    <w:rPr>
                      <w:rFonts w:eastAsia="Times New Roman"/>
                      <w:sz w:val="28"/>
                      <w:szCs w:val="28"/>
                      <w:lang w:val="ro-RO" w:eastAsia="ro-RO"/>
                    </w:rPr>
                  </w:pPr>
                  <w:r>
                    <w:rPr>
                      <w:rFonts w:eastAsia="Times New Roman"/>
                      <w:sz w:val="28"/>
                      <w:szCs w:val="28"/>
                      <w:lang w:val="ro-RO" w:eastAsia="ro-RO"/>
                    </w:rPr>
                    <w:t>crt.</w:t>
                  </w:r>
                </w:p>
                <w:p w:rsidR="00000000" w:rsidRDefault="00053E90">
                  <w:pPr>
                    <w:rPr>
                      <w:rFonts w:eastAsia="Times New Roman"/>
                      <w:sz w:val="28"/>
                      <w:szCs w:val="28"/>
                      <w:lang w:val="ro-RO" w:eastAsia="ro-RO"/>
                    </w:rPr>
                  </w:pPr>
                </w:p>
              </w:tc>
              <w:tc>
                <w:tcPr>
                  <w:tcW w:w="3076"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eastAsia="ro-RO"/>
                    </w:rPr>
                  </w:pPr>
                  <w:r>
                    <w:rPr>
                      <w:rFonts w:eastAsia="Times New Roman"/>
                      <w:sz w:val="28"/>
                      <w:szCs w:val="28"/>
                      <w:lang w:val="ro-RO" w:eastAsia="ro-RO"/>
                    </w:rPr>
                    <w:t>Domeniul reglementat</w:t>
                  </w:r>
                </w:p>
                <w:p w:rsidR="00000000" w:rsidRDefault="00053E90">
                  <w:pPr>
                    <w:jc w:val="center"/>
                    <w:rPr>
                      <w:rFonts w:eastAsia="Times New Roman"/>
                      <w:sz w:val="28"/>
                      <w:szCs w:val="28"/>
                      <w:lang w:val="ro-RO" w:eastAsia="ro-RO"/>
                    </w:rPr>
                  </w:pPr>
                  <w:r>
                    <w:rPr>
                      <w:rFonts w:eastAsia="Times New Roman"/>
                      <w:sz w:val="28"/>
                      <w:szCs w:val="28"/>
                      <w:lang w:val="ro-RO" w:eastAsia="ro-RO"/>
                    </w:rPr>
                    <w:t>(Grupul de produse)</w:t>
                  </w:r>
                </w:p>
              </w:tc>
              <w:tc>
                <w:tcPr>
                  <w:tcW w:w="1910" w:type="dxa"/>
                  <w:tcBorders>
                    <w:top w:val="single" w:sz="4" w:space="0" w:color="auto"/>
                    <w:left w:val="single" w:sz="4" w:space="0" w:color="auto"/>
                    <w:bottom w:val="single" w:sz="4" w:space="0" w:color="auto"/>
                    <w:right w:val="single" w:sz="4" w:space="0" w:color="auto"/>
                  </w:tcBorders>
                  <w:hideMark/>
                </w:tcPr>
                <w:p w:rsidR="00000000" w:rsidRDefault="00053E90">
                  <w:pPr>
                    <w:ind w:firstLine="57"/>
                    <w:jc w:val="center"/>
                    <w:rPr>
                      <w:rFonts w:eastAsia="Times New Roman"/>
                      <w:sz w:val="28"/>
                      <w:szCs w:val="28"/>
                      <w:lang w:val="ro-RO" w:eastAsia="ro-RO"/>
                    </w:rPr>
                  </w:pPr>
                  <w:r>
                    <w:rPr>
                      <w:rFonts w:eastAsia="Times New Roman"/>
                      <w:sz w:val="28"/>
                      <w:szCs w:val="28"/>
                      <w:lang w:val="ro-RO" w:eastAsia="ro-RO"/>
                    </w:rPr>
                    <w:t>Autoritatea</w:t>
                  </w:r>
                </w:p>
                <w:p w:rsidR="00000000" w:rsidRDefault="00053E90">
                  <w:pPr>
                    <w:ind w:firstLine="57"/>
                    <w:jc w:val="center"/>
                    <w:rPr>
                      <w:rFonts w:eastAsia="Times New Roman"/>
                      <w:sz w:val="28"/>
                      <w:szCs w:val="28"/>
                      <w:lang w:val="ro-RO" w:eastAsia="ro-RO"/>
                    </w:rPr>
                  </w:pPr>
                  <w:r>
                    <w:rPr>
                      <w:rFonts w:eastAsia="Times New Roman"/>
                      <w:sz w:val="28"/>
                      <w:szCs w:val="28"/>
                      <w:lang w:val="ro-RO" w:eastAsia="ro-RO"/>
                    </w:rPr>
                    <w:t>de reglementare</w:t>
                  </w:r>
                </w:p>
              </w:tc>
              <w:tc>
                <w:tcPr>
                  <w:tcW w:w="3052"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eastAsia="ro-RO"/>
                    </w:rPr>
                  </w:pPr>
                  <w:r>
                    <w:rPr>
                      <w:rFonts w:eastAsia="Times New Roman"/>
                      <w:sz w:val="28"/>
                      <w:szCs w:val="28"/>
                      <w:lang w:val="ro-RO" w:eastAsia="ro-RO"/>
                    </w:rPr>
                    <w:t>Autoritatea</w:t>
                  </w:r>
                </w:p>
                <w:p w:rsidR="00000000" w:rsidRDefault="00053E90">
                  <w:pPr>
                    <w:jc w:val="center"/>
                    <w:rPr>
                      <w:rFonts w:eastAsia="Times New Roman"/>
                      <w:sz w:val="28"/>
                      <w:szCs w:val="28"/>
                      <w:lang w:val="ro-RO" w:eastAsia="ro-RO"/>
                    </w:rPr>
                  </w:pPr>
                  <w:r>
                    <w:rPr>
                      <w:rFonts w:eastAsia="Times New Roman"/>
                      <w:sz w:val="28"/>
                      <w:szCs w:val="28"/>
                      <w:lang w:val="ro-RO" w:eastAsia="ro-RO"/>
                    </w:rPr>
                    <w:t>de supraveghere a pieţei</w:t>
                  </w:r>
                </w:p>
              </w:tc>
            </w:tr>
            <w:tr w:rsidR="00000000">
              <w:trPr>
                <w:trHeight w:val="28"/>
                <w:jc w:val="center"/>
              </w:trPr>
              <w:tc>
                <w:tcPr>
                  <w:tcW w:w="1768" w:type="dxa"/>
                  <w:tcBorders>
                    <w:top w:val="single" w:sz="4" w:space="0" w:color="auto"/>
                    <w:left w:val="single" w:sz="4" w:space="0" w:color="auto"/>
                    <w:bottom w:val="single" w:sz="4" w:space="0" w:color="auto"/>
                    <w:right w:val="single" w:sz="4" w:space="0" w:color="auto"/>
                  </w:tcBorders>
                  <w:hideMark/>
                </w:tcPr>
                <w:p w:rsidR="00000000" w:rsidRDefault="00053E90">
                  <w:pPr>
                    <w:rPr>
                      <w:rFonts w:eastAsia="Times New Roman"/>
                      <w:sz w:val="28"/>
                      <w:szCs w:val="28"/>
                      <w:lang w:val="ro-RO" w:eastAsia="ro-RO"/>
                    </w:rPr>
                  </w:pPr>
                  <w:r>
                    <w:rPr>
                      <w:rFonts w:eastAsia="Times New Roman"/>
                      <w:sz w:val="28"/>
                      <w:szCs w:val="28"/>
                      <w:lang w:val="ro-RO" w:eastAsia="ro-RO"/>
                    </w:rPr>
                    <w:t>1</w:t>
                  </w:r>
                </w:p>
              </w:tc>
              <w:tc>
                <w:tcPr>
                  <w:tcW w:w="3076"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eastAsia="ro-RO"/>
                    </w:rPr>
                  </w:pPr>
                  <w:r>
                    <w:rPr>
                      <w:rFonts w:eastAsia="Times New Roman"/>
                      <w:sz w:val="28"/>
                      <w:szCs w:val="28"/>
                      <w:lang w:val="ro-RO" w:eastAsia="ro-RO"/>
                    </w:rPr>
                    <w:t>2</w:t>
                  </w:r>
                </w:p>
              </w:tc>
              <w:tc>
                <w:tcPr>
                  <w:tcW w:w="1910"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eastAsia="ro-RO"/>
                    </w:rPr>
                  </w:pPr>
                  <w:r>
                    <w:rPr>
                      <w:rFonts w:eastAsia="Times New Roman"/>
                      <w:sz w:val="28"/>
                      <w:szCs w:val="28"/>
                      <w:lang w:val="ro-RO" w:eastAsia="ro-RO"/>
                    </w:rPr>
                    <w:t>4</w:t>
                  </w:r>
                </w:p>
              </w:tc>
              <w:tc>
                <w:tcPr>
                  <w:tcW w:w="3052"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eastAsia="ro-RO"/>
                    </w:rPr>
                  </w:pPr>
                  <w:r>
                    <w:rPr>
                      <w:rFonts w:eastAsia="Times New Roman"/>
                      <w:sz w:val="28"/>
                      <w:szCs w:val="28"/>
                      <w:lang w:val="ro-RO" w:eastAsia="ro-RO"/>
                    </w:rPr>
                    <w:t>5</w:t>
                  </w:r>
                </w:p>
              </w:tc>
            </w:tr>
            <w:tr w:rsidR="00000000">
              <w:trPr>
                <w:trHeight w:val="1726"/>
                <w:jc w:val="center"/>
              </w:trPr>
              <w:tc>
                <w:tcPr>
                  <w:tcW w:w="1768" w:type="dxa"/>
                  <w:tcBorders>
                    <w:top w:val="single" w:sz="4" w:space="0" w:color="auto"/>
                    <w:left w:val="single" w:sz="4" w:space="0" w:color="auto"/>
                    <w:bottom w:val="single" w:sz="4" w:space="0" w:color="auto"/>
                    <w:right w:val="single" w:sz="4" w:space="0" w:color="auto"/>
                  </w:tcBorders>
                  <w:hideMark/>
                </w:tcPr>
                <w:p w:rsidR="00000000" w:rsidRDefault="00053E90">
                  <w:pPr>
                    <w:ind w:left="360"/>
                    <w:rPr>
                      <w:rFonts w:eastAsia="Times New Roman"/>
                      <w:sz w:val="28"/>
                      <w:szCs w:val="28"/>
                      <w:lang w:val="ro-RO" w:eastAsia="ru-RU"/>
                    </w:rPr>
                  </w:pPr>
                  <w:r>
                    <w:rPr>
                      <w:rFonts w:eastAsia="Times New Roman"/>
                      <w:sz w:val="28"/>
                      <w:szCs w:val="28"/>
                      <w:lang w:val="ro-RO" w:eastAsia="ru-RU"/>
                    </w:rPr>
                    <w:t>16.</w:t>
                  </w:r>
                </w:p>
              </w:tc>
              <w:tc>
                <w:tcPr>
                  <w:tcW w:w="3076" w:type="dxa"/>
                  <w:tcBorders>
                    <w:top w:val="single" w:sz="4" w:space="0" w:color="auto"/>
                    <w:left w:val="single" w:sz="4" w:space="0" w:color="auto"/>
                    <w:bottom w:val="single" w:sz="4" w:space="0" w:color="auto"/>
                    <w:right w:val="single" w:sz="4" w:space="0" w:color="auto"/>
                  </w:tcBorders>
                  <w:hideMark/>
                </w:tcPr>
                <w:p w:rsidR="00000000" w:rsidRDefault="00053E90">
                  <w:pPr>
                    <w:rPr>
                      <w:rFonts w:eastAsia="Times New Roman"/>
                      <w:sz w:val="28"/>
                      <w:szCs w:val="28"/>
                      <w:lang w:val="ro-RO" w:eastAsia="ro-RO"/>
                    </w:rPr>
                  </w:pPr>
                  <w:r>
                    <w:rPr>
                      <w:rFonts w:eastAsia="Times New Roman"/>
                      <w:sz w:val="28"/>
                      <w:szCs w:val="28"/>
                      <w:lang w:val="pt-BR" w:eastAsia="ru-RU"/>
                    </w:rPr>
                    <w:t>E</w:t>
                  </w:r>
                  <w:r>
                    <w:rPr>
                      <w:rFonts w:eastAsia="Arial Unicode MS"/>
                      <w:bCs/>
                      <w:sz w:val="28"/>
                      <w:szCs w:val="28"/>
                      <w:lang w:val="ro-RO" w:eastAsia="ro-RO"/>
                    </w:rPr>
                    <w:t>chipamente sub presiune transportabile</w:t>
                  </w:r>
                </w:p>
              </w:tc>
              <w:tc>
                <w:tcPr>
                  <w:tcW w:w="1910" w:type="dxa"/>
                  <w:tcBorders>
                    <w:top w:val="single" w:sz="4" w:space="0" w:color="auto"/>
                    <w:left w:val="single" w:sz="4" w:space="0" w:color="auto"/>
                    <w:bottom w:val="single" w:sz="4" w:space="0" w:color="auto"/>
                    <w:right w:val="single" w:sz="4" w:space="0" w:color="auto"/>
                  </w:tcBorders>
                </w:tcPr>
                <w:p w:rsidR="00000000" w:rsidRDefault="00053E90">
                  <w:pPr>
                    <w:rPr>
                      <w:rFonts w:eastAsia="Times New Roman"/>
                      <w:sz w:val="28"/>
                      <w:szCs w:val="28"/>
                      <w:lang w:val="ro-RO" w:eastAsia="ro-RO"/>
                    </w:rPr>
                  </w:pPr>
                  <w:r>
                    <w:rPr>
                      <w:rFonts w:eastAsia="Times New Roman"/>
                      <w:sz w:val="28"/>
                      <w:szCs w:val="28"/>
                      <w:lang w:val="ro-RO" w:eastAsia="ro-RO"/>
                    </w:rPr>
                    <w:t>Ministerul Economiei</w:t>
                  </w:r>
                </w:p>
                <w:p w:rsidR="00000000" w:rsidRDefault="00053E90">
                  <w:pPr>
                    <w:rPr>
                      <w:rFonts w:eastAsia="Times New Roman"/>
                      <w:sz w:val="28"/>
                      <w:szCs w:val="28"/>
                      <w:lang w:val="ro-RO" w:eastAsia="ro-RO"/>
                    </w:rPr>
                  </w:pPr>
                </w:p>
              </w:tc>
              <w:tc>
                <w:tcPr>
                  <w:tcW w:w="3052" w:type="dxa"/>
                  <w:tcBorders>
                    <w:top w:val="single" w:sz="4" w:space="0" w:color="auto"/>
                    <w:left w:val="single" w:sz="4" w:space="0" w:color="auto"/>
                    <w:bottom w:val="single" w:sz="4" w:space="0" w:color="auto"/>
                    <w:right w:val="single" w:sz="4" w:space="0" w:color="auto"/>
                  </w:tcBorders>
                  <w:hideMark/>
                </w:tcPr>
                <w:p w:rsidR="00000000" w:rsidRDefault="00053E90">
                  <w:pPr>
                    <w:rPr>
                      <w:rFonts w:eastAsia="Times New Roman"/>
                      <w:sz w:val="28"/>
                      <w:szCs w:val="28"/>
                      <w:lang w:val="ro-RO" w:eastAsia="ro-RO"/>
                    </w:rPr>
                  </w:pPr>
                  <w:r>
                    <w:rPr>
                      <w:rFonts w:eastAsia="Times New Roman"/>
                      <w:sz w:val="28"/>
                      <w:szCs w:val="28"/>
                      <w:lang w:val="ro-RO" w:eastAsia="ro-RO"/>
                    </w:rPr>
                    <w:t xml:space="preserve">Inspectoratul </w:t>
                  </w:r>
                  <w:r>
                    <w:rPr>
                      <w:rFonts w:eastAsia="Times New Roman"/>
                      <w:sz w:val="28"/>
                      <w:szCs w:val="28"/>
                      <w:lang w:val="ro-RO" w:eastAsia="ro-RO"/>
                    </w:rPr>
                    <w:t xml:space="preserve">Principal de Stat pentru Supravegherea Tehnică a Obiectelor Industriale Periculoase </w:t>
                  </w:r>
                </w:p>
              </w:tc>
            </w:tr>
          </w:tbl>
          <w:p w:rsidR="00000000" w:rsidRDefault="00053E90">
            <w:pPr>
              <w:jc w:val="both"/>
              <w:rPr>
                <w:sz w:val="28"/>
                <w:szCs w:val="28"/>
              </w:rPr>
            </w:pPr>
            <w:r>
              <w:rPr>
                <w:b/>
                <w:sz w:val="28"/>
                <w:szCs w:val="28"/>
                <w:lang w:val="ro-RO"/>
              </w:rPr>
              <w:t xml:space="preserve"> c)</w:t>
            </w:r>
            <w:r>
              <w:rPr>
                <w:rFonts w:eastAsia="Times New Roman"/>
                <w:sz w:val="28"/>
                <w:szCs w:val="28"/>
                <w:lang w:val="ro-RO" w:eastAsia="ru-RU"/>
              </w:rPr>
              <w:t xml:space="preserve"> </w:t>
            </w:r>
            <w:r>
              <w:rPr>
                <w:sz w:val="28"/>
                <w:szCs w:val="28"/>
                <w:lang w:val="ro-RO"/>
              </w:rPr>
              <w:t>Pentru a îmbunătă</w:t>
            </w:r>
            <w:r>
              <w:rPr>
                <w:sz w:val="28"/>
                <w:szCs w:val="28"/>
                <w:lang w:val="ro-RO"/>
              </w:rPr>
              <w:t>ț</w:t>
            </w:r>
            <w:r>
              <w:rPr>
                <w:sz w:val="28"/>
                <w:szCs w:val="28"/>
                <w:lang w:val="ro-RO"/>
              </w:rPr>
              <w:t>i siguran</w:t>
            </w:r>
            <w:r>
              <w:rPr>
                <w:sz w:val="28"/>
                <w:szCs w:val="28"/>
                <w:lang w:val="ro-RO"/>
              </w:rPr>
              <w:t>ț</w:t>
            </w:r>
            <w:r>
              <w:rPr>
                <w:sz w:val="28"/>
                <w:szCs w:val="28"/>
                <w:lang w:val="ro-RO"/>
              </w:rPr>
              <w:t xml:space="preserve">a echipamentelor sub presiune transportabile aprobate pentru transportul interior de mărfuri periculoase </w:t>
            </w:r>
            <w:r>
              <w:rPr>
                <w:sz w:val="28"/>
                <w:szCs w:val="28"/>
                <w:lang w:val="ro-RO"/>
              </w:rPr>
              <w:t>ș</w:t>
            </w:r>
            <w:r>
              <w:rPr>
                <w:sz w:val="28"/>
                <w:szCs w:val="28"/>
                <w:lang w:val="ro-RO"/>
              </w:rPr>
              <w:t>i pentru a asigura libera circul</w:t>
            </w:r>
            <w:r>
              <w:rPr>
                <w:sz w:val="28"/>
                <w:szCs w:val="28"/>
                <w:lang w:val="ro-RO"/>
              </w:rPr>
              <w:t>a</w:t>
            </w:r>
            <w:r>
              <w:rPr>
                <w:sz w:val="28"/>
                <w:szCs w:val="28"/>
                <w:lang w:val="ro-RO"/>
              </w:rPr>
              <w:t>ț</w:t>
            </w:r>
            <w:r>
              <w:rPr>
                <w:sz w:val="28"/>
                <w:szCs w:val="28"/>
                <w:lang w:val="ro-RO"/>
              </w:rPr>
              <w:t>ie a echipamentelor respective, inclusiv introducerea pe pia</w:t>
            </w:r>
            <w:r>
              <w:rPr>
                <w:sz w:val="28"/>
                <w:szCs w:val="28"/>
                <w:lang w:val="ro-RO"/>
              </w:rPr>
              <w:t>ț</w:t>
            </w:r>
            <w:r>
              <w:rPr>
                <w:sz w:val="28"/>
                <w:szCs w:val="28"/>
                <w:lang w:val="ro-RO"/>
              </w:rPr>
              <w:t>ă, punerea la dispozi</w:t>
            </w:r>
            <w:r>
              <w:rPr>
                <w:sz w:val="28"/>
                <w:szCs w:val="28"/>
                <w:lang w:val="ro-RO"/>
              </w:rPr>
              <w:t>ț</w:t>
            </w:r>
            <w:r>
              <w:rPr>
                <w:sz w:val="28"/>
                <w:szCs w:val="28"/>
                <w:lang w:val="ro-RO"/>
              </w:rPr>
              <w:t>ie pe pia</w:t>
            </w:r>
            <w:r>
              <w:rPr>
                <w:sz w:val="28"/>
                <w:szCs w:val="28"/>
                <w:lang w:val="ro-RO"/>
              </w:rPr>
              <w:t>ț</w:t>
            </w:r>
            <w:r>
              <w:rPr>
                <w:sz w:val="28"/>
                <w:szCs w:val="28"/>
                <w:lang w:val="ro-RO"/>
              </w:rPr>
              <w:t xml:space="preserve">ă </w:t>
            </w:r>
            <w:r>
              <w:rPr>
                <w:sz w:val="28"/>
                <w:szCs w:val="28"/>
                <w:lang w:val="ro-RO"/>
              </w:rPr>
              <w:t>ș</w:t>
            </w:r>
            <w:r>
              <w:rPr>
                <w:sz w:val="28"/>
                <w:szCs w:val="28"/>
                <w:lang w:val="ro-RO"/>
              </w:rPr>
              <w:t>i utilizarea acestora pe teritoriul Uniunii, este necesar să se prevadă norme cu privire la obliga</w:t>
            </w:r>
            <w:r>
              <w:rPr>
                <w:sz w:val="28"/>
                <w:szCs w:val="28"/>
                <w:lang w:val="ro-RO"/>
              </w:rPr>
              <w:t>ț</w:t>
            </w:r>
            <w:r>
              <w:rPr>
                <w:sz w:val="28"/>
                <w:szCs w:val="28"/>
                <w:lang w:val="ro-RO"/>
              </w:rPr>
              <w:t>iile diver</w:t>
            </w:r>
            <w:r>
              <w:rPr>
                <w:sz w:val="28"/>
                <w:szCs w:val="28"/>
                <w:lang w:val="ro-RO"/>
              </w:rPr>
              <w:t>ș</w:t>
            </w:r>
            <w:r>
              <w:rPr>
                <w:sz w:val="28"/>
                <w:szCs w:val="28"/>
                <w:lang w:val="ro-RO"/>
              </w:rPr>
              <w:t xml:space="preserve">ilor operatori </w:t>
            </w:r>
            <w:r>
              <w:rPr>
                <w:sz w:val="28"/>
                <w:szCs w:val="28"/>
                <w:lang w:val="ro-RO"/>
              </w:rPr>
              <w:t>ș</w:t>
            </w:r>
            <w:r>
              <w:rPr>
                <w:sz w:val="28"/>
                <w:szCs w:val="28"/>
                <w:lang w:val="ro-RO"/>
              </w:rPr>
              <w:t>i cerin</w:t>
            </w:r>
            <w:r>
              <w:rPr>
                <w:sz w:val="28"/>
                <w:szCs w:val="28"/>
                <w:lang w:val="ro-RO"/>
              </w:rPr>
              <w:t>ț</w:t>
            </w:r>
            <w:r>
              <w:rPr>
                <w:sz w:val="28"/>
                <w:szCs w:val="28"/>
                <w:lang w:val="ro-RO"/>
              </w:rPr>
              <w:t>ele care ar trebui îndep</w:t>
            </w:r>
            <w:r>
              <w:rPr>
                <w:sz w:val="28"/>
                <w:szCs w:val="28"/>
                <w:lang w:val="ro-RO"/>
              </w:rPr>
              <w:t xml:space="preserve">linite de echipamentele în cauză. </w:t>
            </w:r>
          </w:p>
          <w:p w:rsidR="00000000" w:rsidRDefault="00053E90">
            <w:pPr>
              <w:tabs>
                <w:tab w:val="left" w:pos="570"/>
              </w:tabs>
              <w:jc w:val="both"/>
              <w:rPr>
                <w:sz w:val="28"/>
                <w:szCs w:val="28"/>
              </w:rPr>
            </w:pPr>
            <w:r>
              <w:rPr>
                <w:sz w:val="28"/>
                <w:szCs w:val="28"/>
              </w:rPr>
              <w:t xml:space="preserve">        În interesul siguran</w:t>
            </w:r>
            <w:r>
              <w:rPr>
                <w:sz w:val="28"/>
                <w:szCs w:val="28"/>
              </w:rPr>
              <w:t>ț</w:t>
            </w:r>
            <w:r>
              <w:rPr>
                <w:sz w:val="28"/>
                <w:szCs w:val="28"/>
              </w:rPr>
              <w:t xml:space="preserve">ei transportului </w:t>
            </w:r>
            <w:r>
              <w:rPr>
                <w:sz w:val="28"/>
                <w:szCs w:val="28"/>
              </w:rPr>
              <w:t>ș</w:t>
            </w:r>
            <w:r>
              <w:rPr>
                <w:sz w:val="28"/>
                <w:szCs w:val="28"/>
              </w:rPr>
              <w:t>i al liberei circula</w:t>
            </w:r>
            <w:r>
              <w:rPr>
                <w:sz w:val="28"/>
                <w:szCs w:val="28"/>
              </w:rPr>
              <w:t>ț</w:t>
            </w:r>
            <w:r>
              <w:rPr>
                <w:sz w:val="28"/>
                <w:szCs w:val="28"/>
              </w:rPr>
              <w:t>ii a echipamentelor sub presiune transportabile, se definesc în mod clar obliga</w:t>
            </w:r>
            <w:r>
              <w:rPr>
                <w:sz w:val="28"/>
                <w:szCs w:val="28"/>
              </w:rPr>
              <w:t>ț</w:t>
            </w:r>
            <w:r>
              <w:rPr>
                <w:sz w:val="28"/>
                <w:szCs w:val="28"/>
              </w:rPr>
              <w:t>iile agen</w:t>
            </w:r>
            <w:r>
              <w:rPr>
                <w:sz w:val="28"/>
                <w:szCs w:val="28"/>
              </w:rPr>
              <w:t>ț</w:t>
            </w:r>
            <w:r>
              <w:rPr>
                <w:sz w:val="28"/>
                <w:szCs w:val="28"/>
              </w:rPr>
              <w:t>ilor economici, producătorilor, importatorilor, distribuitorilo</w:t>
            </w:r>
            <w:r>
              <w:rPr>
                <w:sz w:val="28"/>
                <w:szCs w:val="28"/>
              </w:rPr>
              <w:t xml:space="preserve">r </w:t>
            </w:r>
            <w:r>
              <w:rPr>
                <w:sz w:val="28"/>
                <w:szCs w:val="28"/>
              </w:rPr>
              <w:t>ș</w:t>
            </w:r>
            <w:r>
              <w:rPr>
                <w:sz w:val="28"/>
                <w:szCs w:val="28"/>
              </w:rPr>
              <w:t xml:space="preserve">i a proprietarilor de echipamente sub presiune transportabile. Producătorii asigură că echipamentelor sub presiune transportabile au fost proiectate, fabricate </w:t>
            </w:r>
            <w:r>
              <w:rPr>
                <w:sz w:val="28"/>
                <w:szCs w:val="28"/>
              </w:rPr>
              <w:t>ș</w:t>
            </w:r>
            <w:r>
              <w:rPr>
                <w:sz w:val="28"/>
                <w:szCs w:val="28"/>
              </w:rPr>
              <w:t>i documentate în conformitate cu cerin</w:t>
            </w:r>
            <w:r>
              <w:rPr>
                <w:sz w:val="28"/>
                <w:szCs w:val="28"/>
              </w:rPr>
              <w:t>ț</w:t>
            </w:r>
            <w:r>
              <w:rPr>
                <w:sz w:val="28"/>
                <w:szCs w:val="28"/>
              </w:rPr>
              <w:t xml:space="preserve">ele prevăzute de directivă. </w:t>
            </w:r>
          </w:p>
          <w:p w:rsidR="00000000" w:rsidRDefault="00053E90">
            <w:pPr>
              <w:tabs>
                <w:tab w:val="left" w:pos="555"/>
              </w:tabs>
              <w:jc w:val="both"/>
              <w:rPr>
                <w:sz w:val="28"/>
                <w:szCs w:val="28"/>
              </w:rPr>
            </w:pPr>
            <w:r>
              <w:rPr>
                <w:sz w:val="28"/>
                <w:szCs w:val="28"/>
              </w:rPr>
              <w:t xml:space="preserve">        În raport cu atr</w:t>
            </w:r>
            <w:r>
              <w:rPr>
                <w:sz w:val="28"/>
                <w:szCs w:val="28"/>
              </w:rPr>
              <w:t>ibu</w:t>
            </w:r>
            <w:r>
              <w:rPr>
                <w:sz w:val="28"/>
                <w:szCs w:val="28"/>
              </w:rPr>
              <w:t>ț</w:t>
            </w:r>
            <w:r>
              <w:rPr>
                <w:sz w:val="28"/>
                <w:szCs w:val="28"/>
              </w:rPr>
              <w:t>iile care le revin în cadrul lan</w:t>
            </w:r>
            <w:r>
              <w:rPr>
                <w:sz w:val="28"/>
                <w:szCs w:val="28"/>
              </w:rPr>
              <w:t>ț</w:t>
            </w:r>
            <w:r>
              <w:rPr>
                <w:sz w:val="28"/>
                <w:szCs w:val="28"/>
              </w:rPr>
              <w:t>ului aprovizionării, agen</w:t>
            </w:r>
            <w:r>
              <w:rPr>
                <w:sz w:val="28"/>
                <w:szCs w:val="28"/>
              </w:rPr>
              <w:t>ț</w:t>
            </w:r>
            <w:r>
              <w:rPr>
                <w:sz w:val="28"/>
                <w:szCs w:val="28"/>
              </w:rPr>
              <w:t xml:space="preserve">ii economici răspund de conformitatea echipamentelor sub presiune transportabile </w:t>
            </w:r>
            <w:r>
              <w:rPr>
                <w:sz w:val="28"/>
                <w:szCs w:val="28"/>
              </w:rPr>
              <w:t>ș</w:t>
            </w:r>
            <w:r>
              <w:rPr>
                <w:sz w:val="28"/>
                <w:szCs w:val="28"/>
              </w:rPr>
              <w:t>i că ele sînt conforme cu normele privind siguran</w:t>
            </w:r>
            <w:r>
              <w:rPr>
                <w:sz w:val="28"/>
                <w:szCs w:val="28"/>
              </w:rPr>
              <w:t>ț</w:t>
            </w:r>
            <w:r>
              <w:rPr>
                <w:sz w:val="28"/>
                <w:szCs w:val="28"/>
              </w:rPr>
              <w:t xml:space="preserve">a </w:t>
            </w:r>
            <w:r>
              <w:rPr>
                <w:sz w:val="28"/>
                <w:szCs w:val="28"/>
              </w:rPr>
              <w:t>ș</w:t>
            </w:r>
            <w:r>
              <w:rPr>
                <w:sz w:val="28"/>
                <w:szCs w:val="28"/>
              </w:rPr>
              <w:t>i accesul pe pia</w:t>
            </w:r>
            <w:r>
              <w:rPr>
                <w:sz w:val="28"/>
                <w:szCs w:val="28"/>
              </w:rPr>
              <w:t>ț</w:t>
            </w:r>
            <w:r>
              <w:rPr>
                <w:sz w:val="28"/>
                <w:szCs w:val="28"/>
              </w:rPr>
              <w:t>ă.</w:t>
            </w:r>
          </w:p>
          <w:p w:rsidR="00000000" w:rsidRDefault="00053E90">
            <w:pPr>
              <w:tabs>
                <w:tab w:val="left" w:pos="540"/>
              </w:tabs>
              <w:jc w:val="both"/>
              <w:rPr>
                <w:sz w:val="28"/>
                <w:szCs w:val="28"/>
                <w:lang w:val="ro-RO"/>
              </w:rPr>
            </w:pPr>
            <w:r>
              <w:rPr>
                <w:sz w:val="28"/>
                <w:szCs w:val="28"/>
              </w:rPr>
              <w:t xml:space="preserve">        Echipamentele sub presiune tra</w:t>
            </w:r>
            <w:r>
              <w:rPr>
                <w:sz w:val="28"/>
                <w:szCs w:val="28"/>
              </w:rPr>
              <w:t>nsportabile trebuie să poarte un marcaj prin care se indică conformitatea, pentru a asigura libera circula</w:t>
            </w:r>
            <w:r>
              <w:rPr>
                <w:sz w:val="28"/>
                <w:szCs w:val="28"/>
              </w:rPr>
              <w:t>ț</w:t>
            </w:r>
            <w:r>
              <w:rPr>
                <w:sz w:val="28"/>
                <w:szCs w:val="28"/>
              </w:rPr>
              <w:t xml:space="preserve">ie </w:t>
            </w:r>
            <w:r>
              <w:rPr>
                <w:sz w:val="28"/>
                <w:szCs w:val="28"/>
              </w:rPr>
              <w:t>ș</w:t>
            </w:r>
            <w:r>
              <w:rPr>
                <w:sz w:val="28"/>
                <w:szCs w:val="28"/>
              </w:rPr>
              <w:t>i libera utilizare a acestora.</w:t>
            </w:r>
            <w:r>
              <w:rPr>
                <w:sz w:val="28"/>
                <w:szCs w:val="28"/>
                <w:lang w:val="ro-RO"/>
              </w:rPr>
              <w:t xml:space="preserve"> </w:t>
            </w:r>
          </w:p>
          <w:p w:rsidR="00000000" w:rsidRDefault="00053E90">
            <w:pPr>
              <w:tabs>
                <w:tab w:val="left" w:pos="540"/>
              </w:tabs>
              <w:jc w:val="both"/>
              <w:rPr>
                <w:sz w:val="28"/>
                <w:szCs w:val="28"/>
                <w:lang w:val="ro-RO"/>
              </w:rPr>
            </w:pPr>
            <w:r>
              <w:rPr>
                <w:sz w:val="28"/>
                <w:szCs w:val="28"/>
                <w:lang w:val="ro-RO"/>
              </w:rPr>
              <w:t xml:space="preserve">        Directiva 2010/35/UE a Parlamentului European şi a Consiliului din 16 iunie 2010 privind echipamentele su</w:t>
            </w:r>
            <w:r>
              <w:rPr>
                <w:sz w:val="28"/>
                <w:szCs w:val="28"/>
                <w:lang w:val="ro-RO"/>
              </w:rPr>
              <w:t>b</w:t>
            </w:r>
            <w:bookmarkStart w:id="0" w:name="_GoBack"/>
            <w:bookmarkEnd w:id="0"/>
            <w:r>
              <w:rPr>
                <w:sz w:val="28"/>
                <w:szCs w:val="28"/>
                <w:lang w:val="ro-RO"/>
              </w:rPr>
              <w:t xml:space="preserve"> presiune transportabile prevede marcajul ,,pi’’. </w:t>
            </w:r>
          </w:p>
          <w:p w:rsidR="00000000" w:rsidRDefault="00053E90">
            <w:pPr>
              <w:tabs>
                <w:tab w:val="left" w:pos="578"/>
              </w:tabs>
              <w:jc w:val="both"/>
              <w:rPr>
                <w:sz w:val="28"/>
                <w:szCs w:val="28"/>
              </w:rPr>
            </w:pPr>
            <w:r>
              <w:rPr>
                <w:sz w:val="28"/>
                <w:szCs w:val="28"/>
              </w:rPr>
              <w:t xml:space="preserve">        Prezenta directivă nu se va aplica echipamentelor sub presiune transportabile care au fost introduse pe pia</w:t>
            </w:r>
            <w:r>
              <w:rPr>
                <w:sz w:val="28"/>
                <w:szCs w:val="28"/>
              </w:rPr>
              <w:t>ț</w:t>
            </w:r>
            <w:r>
              <w:rPr>
                <w:sz w:val="28"/>
                <w:szCs w:val="28"/>
              </w:rPr>
              <w:t>ă pînă a fi pusă în vigoare reglementarea men</w:t>
            </w:r>
            <w:r>
              <w:rPr>
                <w:sz w:val="28"/>
                <w:szCs w:val="28"/>
              </w:rPr>
              <w:t>ț</w:t>
            </w:r>
            <w:r>
              <w:rPr>
                <w:sz w:val="28"/>
                <w:szCs w:val="28"/>
              </w:rPr>
              <w:t xml:space="preserve">ionată </w:t>
            </w:r>
            <w:r>
              <w:rPr>
                <w:sz w:val="28"/>
                <w:szCs w:val="28"/>
              </w:rPr>
              <w:t>ș</w:t>
            </w:r>
            <w:r>
              <w:rPr>
                <w:sz w:val="28"/>
                <w:szCs w:val="28"/>
              </w:rPr>
              <w:t>i care nu au făcut obiectul unei r</w:t>
            </w:r>
            <w:r>
              <w:rPr>
                <w:sz w:val="28"/>
                <w:szCs w:val="28"/>
              </w:rPr>
              <w:t>eevaluări a conformită</w:t>
            </w:r>
            <w:r>
              <w:rPr>
                <w:sz w:val="28"/>
                <w:szCs w:val="28"/>
              </w:rPr>
              <w:t>ț</w:t>
            </w:r>
            <w:r>
              <w:rPr>
                <w:sz w:val="28"/>
                <w:szCs w:val="28"/>
              </w:rPr>
              <w:t>ii.</w:t>
            </w:r>
          </w:p>
          <w:p w:rsidR="00000000" w:rsidRDefault="00053E90">
            <w:pPr>
              <w:tabs>
                <w:tab w:val="left" w:pos="578"/>
              </w:tabs>
              <w:jc w:val="both"/>
              <w:rPr>
                <w:sz w:val="28"/>
                <w:szCs w:val="28"/>
              </w:rPr>
            </w:pPr>
            <w:r>
              <w:rPr>
                <w:sz w:val="28"/>
                <w:szCs w:val="28"/>
              </w:rPr>
              <w:lastRenderedPageBreak/>
              <w:t xml:space="preserve">        În măsura în care echipamentele sub presiune transportabile existente care nu au făcut obiectul unei evaluări a conformită</w:t>
            </w:r>
            <w:r>
              <w:rPr>
                <w:sz w:val="28"/>
                <w:szCs w:val="28"/>
              </w:rPr>
              <w:t>ț</w:t>
            </w:r>
            <w:r>
              <w:rPr>
                <w:sz w:val="28"/>
                <w:szCs w:val="28"/>
              </w:rPr>
              <w:t>ii cu reglementarea tehnică, pentru ca să beneficieze de libera circula</w:t>
            </w:r>
            <w:r>
              <w:rPr>
                <w:sz w:val="28"/>
                <w:szCs w:val="28"/>
              </w:rPr>
              <w:t>ț</w:t>
            </w:r>
            <w:r>
              <w:rPr>
                <w:sz w:val="28"/>
                <w:szCs w:val="28"/>
              </w:rPr>
              <w:t xml:space="preserve">ie </w:t>
            </w:r>
            <w:r>
              <w:rPr>
                <w:sz w:val="28"/>
                <w:szCs w:val="28"/>
              </w:rPr>
              <w:t>ș</w:t>
            </w:r>
            <w:r>
              <w:rPr>
                <w:sz w:val="28"/>
                <w:szCs w:val="28"/>
              </w:rPr>
              <w:t>i libera utilizare, ac</w:t>
            </w:r>
            <w:r>
              <w:rPr>
                <w:sz w:val="28"/>
                <w:szCs w:val="28"/>
              </w:rPr>
              <w:t>estea ar trebui să facă obiectul unei reevaluări a conformită</w:t>
            </w:r>
            <w:r>
              <w:rPr>
                <w:sz w:val="28"/>
                <w:szCs w:val="28"/>
              </w:rPr>
              <w:t>ț</w:t>
            </w:r>
            <w:r>
              <w:rPr>
                <w:sz w:val="28"/>
                <w:szCs w:val="28"/>
              </w:rPr>
              <w:t>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234"/>
            </w:tblGrid>
            <w:tr w:rsidR="0000000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00000" w:rsidRDefault="00053E90">
                  <w:pPr>
                    <w:tabs>
                      <w:tab w:val="left" w:pos="563"/>
                    </w:tabs>
                    <w:jc w:val="both"/>
                    <w:rPr>
                      <w:sz w:val="28"/>
                      <w:szCs w:val="28"/>
                    </w:rPr>
                  </w:pPr>
                  <w:r>
                    <w:rPr>
                      <w:sz w:val="28"/>
                      <w:szCs w:val="28"/>
                    </w:rPr>
                    <w:t xml:space="preserve">       Se vor stabili cerin</w:t>
                  </w:r>
                  <w:r>
                    <w:rPr>
                      <w:sz w:val="28"/>
                      <w:szCs w:val="28"/>
                    </w:rPr>
                    <w:t>ț</w:t>
                  </w:r>
                  <w:r>
                    <w:rPr>
                      <w:sz w:val="28"/>
                      <w:szCs w:val="28"/>
                    </w:rPr>
                    <w:t>e aplicabile autorită</w:t>
                  </w:r>
                  <w:r>
                    <w:rPr>
                      <w:sz w:val="28"/>
                      <w:szCs w:val="28"/>
                    </w:rPr>
                    <w:t>ț</w:t>
                  </w:r>
                  <w:r>
                    <w:rPr>
                      <w:sz w:val="28"/>
                      <w:szCs w:val="28"/>
                    </w:rPr>
                    <w:t xml:space="preserve">ilor responsabile cu evaluarea, notificarea </w:t>
                  </w:r>
                  <w:r>
                    <w:rPr>
                      <w:sz w:val="28"/>
                      <w:szCs w:val="28"/>
                    </w:rPr>
                    <w:t>ș</w:t>
                  </w:r>
                  <w:r>
                    <w:rPr>
                      <w:sz w:val="28"/>
                      <w:szCs w:val="28"/>
                    </w:rPr>
                    <w:t>i monitorizarea organismelor notificate, pentru a se asigura un nivel coerent al calită</w:t>
                  </w:r>
                  <w:r>
                    <w:rPr>
                      <w:sz w:val="28"/>
                      <w:szCs w:val="28"/>
                    </w:rPr>
                    <w:t>ț</w:t>
                  </w:r>
                  <w:r>
                    <w:rPr>
                      <w:sz w:val="28"/>
                      <w:szCs w:val="28"/>
                    </w:rPr>
                    <w:t>ii în c</w:t>
                  </w:r>
                  <w:r>
                    <w:rPr>
                      <w:sz w:val="28"/>
                      <w:szCs w:val="28"/>
                    </w:rPr>
                    <w:t>eea ce prive</w:t>
                  </w:r>
                  <w:r>
                    <w:rPr>
                      <w:sz w:val="28"/>
                      <w:szCs w:val="28"/>
                    </w:rPr>
                    <w:t>ș</w:t>
                  </w:r>
                  <w:r>
                    <w:rPr>
                      <w:sz w:val="28"/>
                      <w:szCs w:val="28"/>
                    </w:rPr>
                    <w:t>te performan</w:t>
                  </w:r>
                  <w:r>
                    <w:rPr>
                      <w:sz w:val="28"/>
                      <w:szCs w:val="28"/>
                    </w:rPr>
                    <w:t>ț</w:t>
                  </w:r>
                  <w:r>
                    <w:rPr>
                      <w:sz w:val="28"/>
                      <w:szCs w:val="28"/>
                    </w:rPr>
                    <w:t>a organismelor notificate.</w:t>
                  </w:r>
                </w:p>
              </w:tc>
            </w:tr>
            <w:tr w:rsidR="00000000">
              <w:tc>
                <w:tcPr>
                  <w:tcW w:w="11234" w:type="dxa"/>
                  <w:tcBorders>
                    <w:top w:val="single" w:sz="6" w:space="0" w:color="FFFFFF"/>
                    <w:left w:val="single" w:sz="6" w:space="0" w:color="FFFFFF"/>
                    <w:bottom w:val="single" w:sz="6" w:space="0" w:color="FFFFFF"/>
                    <w:right w:val="single" w:sz="6" w:space="0" w:color="FFFFFF"/>
                  </w:tcBorders>
                  <w:tcMar>
                    <w:top w:w="0" w:type="dxa"/>
                    <w:left w:w="108" w:type="dxa"/>
                    <w:bottom w:w="0" w:type="dxa"/>
                    <w:right w:w="108" w:type="dxa"/>
                  </w:tcMar>
                </w:tcPr>
                <w:p w:rsidR="00000000" w:rsidRDefault="00053E90">
                  <w:pPr>
                    <w:tabs>
                      <w:tab w:val="left" w:pos="586"/>
                    </w:tabs>
                    <w:jc w:val="both"/>
                    <w:rPr>
                      <w:sz w:val="28"/>
                      <w:szCs w:val="28"/>
                    </w:rPr>
                  </w:pPr>
                  <w:r>
                    <w:rPr>
                      <w:sz w:val="28"/>
                      <w:szCs w:val="28"/>
                    </w:rPr>
                    <w:t xml:space="preserve">       Statele membre trebuie să poată lua măsurile necesare pentru a limita sau </w:t>
                  </w:r>
                  <w:proofErr w:type="gramStart"/>
                  <w:r>
                    <w:rPr>
                      <w:sz w:val="28"/>
                      <w:szCs w:val="28"/>
                    </w:rPr>
                    <w:t>a</w:t>
                  </w:r>
                  <w:proofErr w:type="gramEnd"/>
                  <w:r>
                    <w:rPr>
                      <w:sz w:val="28"/>
                      <w:szCs w:val="28"/>
                    </w:rPr>
                    <w:t xml:space="preserve"> interzice introducerea pe pia</w:t>
                  </w:r>
                  <w:r>
                    <w:rPr>
                      <w:sz w:val="28"/>
                      <w:szCs w:val="28"/>
                    </w:rPr>
                    <w:t>ț</w:t>
                  </w:r>
                  <w:r>
                    <w:rPr>
                      <w:sz w:val="28"/>
                      <w:szCs w:val="28"/>
                    </w:rPr>
                    <w:t xml:space="preserve">ă </w:t>
                  </w:r>
                  <w:r>
                    <w:rPr>
                      <w:sz w:val="28"/>
                      <w:szCs w:val="28"/>
                    </w:rPr>
                    <w:t>ș</w:t>
                  </w:r>
                  <w:r>
                    <w:rPr>
                      <w:sz w:val="28"/>
                      <w:szCs w:val="28"/>
                    </w:rPr>
                    <w:t xml:space="preserve">i utilizarea echipamentelor, în cazul în care aceste echipamente prezintă un </w:t>
                  </w:r>
                  <w:r>
                    <w:rPr>
                      <w:sz w:val="28"/>
                      <w:szCs w:val="28"/>
                    </w:rPr>
                    <w:t>risc pentru siguran</w:t>
                  </w:r>
                  <w:r>
                    <w:rPr>
                      <w:sz w:val="28"/>
                      <w:szCs w:val="28"/>
                    </w:rPr>
                    <w:t>ț</w:t>
                  </w:r>
                  <w:r>
                    <w:rPr>
                      <w:sz w:val="28"/>
                      <w:szCs w:val="28"/>
                    </w:rPr>
                    <w:t>ă în anumite situa</w:t>
                  </w:r>
                  <w:r>
                    <w:rPr>
                      <w:sz w:val="28"/>
                      <w:szCs w:val="28"/>
                    </w:rPr>
                    <w:t>ț</w:t>
                  </w:r>
                  <w:r>
                    <w:rPr>
                      <w:sz w:val="28"/>
                      <w:szCs w:val="28"/>
                    </w:rPr>
                    <w:t>ii specificate, inclusiv în situa</w:t>
                  </w:r>
                  <w:r>
                    <w:rPr>
                      <w:sz w:val="28"/>
                      <w:szCs w:val="28"/>
                    </w:rPr>
                    <w:t>ț</w:t>
                  </w:r>
                  <w:r>
                    <w:rPr>
                      <w:sz w:val="28"/>
                      <w:szCs w:val="28"/>
                    </w:rPr>
                    <w:t>iile în care echipamentele respective sunt în conformitate cu dispozi</w:t>
                  </w:r>
                  <w:r>
                    <w:rPr>
                      <w:sz w:val="28"/>
                      <w:szCs w:val="28"/>
                    </w:rPr>
                    <w:t>ț</w:t>
                  </w:r>
                  <w:r>
                    <w:rPr>
                      <w:sz w:val="28"/>
                      <w:szCs w:val="28"/>
                    </w:rPr>
                    <w:t>iile prezentei directive.</w:t>
                  </w:r>
                </w:p>
                <w:p w:rsidR="00000000" w:rsidRDefault="00053E90">
                  <w:pPr>
                    <w:rPr>
                      <w:b/>
                      <w:bCs/>
                      <w:i/>
                      <w:sz w:val="28"/>
                      <w:szCs w:val="28"/>
                      <w:lang w:val="ro-MD"/>
                    </w:rPr>
                  </w:pPr>
                  <w:r>
                    <w:rPr>
                      <w:b/>
                      <w:sz w:val="28"/>
                      <w:szCs w:val="28"/>
                    </w:rPr>
                    <w:t>d)</w:t>
                  </w:r>
                  <w:r>
                    <w:rPr>
                      <w:rFonts w:eastAsia="Times New Roman"/>
                      <w:b/>
                      <w:i/>
                      <w:iCs/>
                      <w:sz w:val="28"/>
                      <w:szCs w:val="28"/>
                      <w:lang w:eastAsia="ru-RU"/>
                    </w:rPr>
                    <w:t xml:space="preserve"> </w:t>
                  </w:r>
                  <w:r>
                    <w:rPr>
                      <w:bCs/>
                      <w:sz w:val="28"/>
                      <w:szCs w:val="28"/>
                      <w:u w:val="single"/>
                      <w:lang w:val="ro-MD"/>
                    </w:rPr>
                    <w:t>Impacturile negative sau costurile intervenţiei statului:</w:t>
                  </w:r>
                </w:p>
                <w:p w:rsidR="00000000" w:rsidRDefault="00053E90">
                  <w:pPr>
                    <w:pStyle w:val="NormalWeb"/>
                    <w:ind w:firstLine="0"/>
                    <w:rPr>
                      <w:rFonts w:eastAsia="Times New Roman"/>
                      <w:bCs/>
                      <w:sz w:val="28"/>
                      <w:szCs w:val="28"/>
                      <w:lang w:val="ro-RO" w:eastAsia="ru-RU"/>
                    </w:rPr>
                  </w:pPr>
                  <w:r>
                    <w:rPr>
                      <w:rFonts w:eastAsia="Times New Roman"/>
                      <w:bCs/>
                      <w:sz w:val="28"/>
                      <w:szCs w:val="28"/>
                      <w:lang w:val="ro-MD" w:eastAsia="ru-RU"/>
                    </w:rPr>
                    <w:t>Aprobarea</w:t>
                  </w:r>
                  <w:r>
                    <w:rPr>
                      <w:sz w:val="28"/>
                      <w:szCs w:val="28"/>
                      <w:lang w:val="ro-RO"/>
                    </w:rPr>
                    <w:t xml:space="preserve"> proiectului Hotă</w:t>
                  </w:r>
                  <w:r>
                    <w:rPr>
                      <w:sz w:val="28"/>
                      <w:szCs w:val="28"/>
                      <w:lang w:val="ro-RO"/>
                    </w:rPr>
                    <w:t xml:space="preserve">rârii Guvernului cu privire la aprobarea Reglementării tehnice privind </w:t>
                  </w:r>
                  <w:r>
                    <w:rPr>
                      <w:rFonts w:eastAsia="Arial Unicode MS"/>
                      <w:bCs/>
                      <w:sz w:val="28"/>
                      <w:szCs w:val="28"/>
                      <w:lang w:val="ro-RO" w:eastAsia="ro-RO"/>
                    </w:rPr>
                    <w:t xml:space="preserve">echipamente sub presiune transportabile </w:t>
                  </w:r>
                  <w:r>
                    <w:rPr>
                      <w:rFonts w:eastAsia="Times New Roman"/>
                      <w:bCs/>
                      <w:sz w:val="28"/>
                      <w:szCs w:val="28"/>
                      <w:lang w:val="ro-MD" w:eastAsia="ru-RU"/>
                    </w:rPr>
                    <w:t>nu presupune instituirea unor cheltuieli din partea statului, î</w:t>
                  </w:r>
                  <w:r>
                    <w:rPr>
                      <w:rFonts w:eastAsia="Times New Roman"/>
                      <w:bCs/>
                      <w:sz w:val="28"/>
                      <w:szCs w:val="28"/>
                      <w:lang w:val="ro-RO" w:eastAsia="ru-RU"/>
                    </w:rPr>
                    <w:t>n linii generale costurile sînt legate în primul rînd de elaborarea documentului p</w:t>
                  </w:r>
                  <w:r>
                    <w:rPr>
                      <w:rFonts w:eastAsia="Times New Roman"/>
                      <w:bCs/>
                      <w:sz w:val="28"/>
                      <w:szCs w:val="28"/>
                      <w:lang w:val="ro-RO" w:eastAsia="ru-RU"/>
                    </w:rPr>
                    <w:t>ropriu zis, însă aceste costuri sînt nesemnificative şi se referă la:</w:t>
                  </w:r>
                </w:p>
                <w:p w:rsidR="00000000" w:rsidRDefault="00053E90">
                  <w:pPr>
                    <w:rPr>
                      <w:rFonts w:eastAsia="Times New Roman"/>
                      <w:bCs/>
                      <w:sz w:val="28"/>
                      <w:szCs w:val="28"/>
                      <w:lang w:val="ro-MD" w:eastAsia="ru-RU"/>
                    </w:rPr>
                  </w:pPr>
                  <w:r>
                    <w:rPr>
                      <w:rFonts w:eastAsia="Times New Roman"/>
                      <w:bCs/>
                      <w:sz w:val="28"/>
                      <w:szCs w:val="28"/>
                      <w:lang w:val="ro-RO" w:eastAsia="ru-RU"/>
                    </w:rPr>
                    <w:t>- c</w:t>
                  </w:r>
                  <w:r>
                    <w:rPr>
                      <w:rFonts w:eastAsia="Times New Roman"/>
                      <w:bCs/>
                      <w:sz w:val="28"/>
                      <w:szCs w:val="28"/>
                      <w:lang w:val="ro-MD" w:eastAsia="ru-RU"/>
                    </w:rPr>
                    <w:t>heltuielile ce ţin de publicarea actului normativ în Monitorul Oficial;</w:t>
                  </w:r>
                </w:p>
                <w:p w:rsidR="00000000" w:rsidRDefault="00053E90">
                  <w:pPr>
                    <w:jc w:val="both"/>
                    <w:rPr>
                      <w:rFonts w:eastAsia="Times New Roman"/>
                      <w:sz w:val="28"/>
                      <w:szCs w:val="28"/>
                      <w:lang w:val="ro-RO" w:eastAsia="ru-RU"/>
                    </w:rPr>
                  </w:pPr>
                  <w:r>
                    <w:rPr>
                      <w:rFonts w:eastAsia="Times New Roman"/>
                      <w:sz w:val="28"/>
                      <w:szCs w:val="28"/>
                      <w:lang w:val="ro-MD" w:eastAsia="ru-RU"/>
                    </w:rPr>
                    <w:t>- costurile ce ţin de elaborarea şi procedura de aprobare a proiectului menţionat</w:t>
                  </w:r>
                  <w:r>
                    <w:rPr>
                      <w:rFonts w:eastAsia="Times New Roman"/>
                      <w:sz w:val="28"/>
                      <w:szCs w:val="28"/>
                      <w:lang w:val="ro-RO" w:eastAsia="ru-RU"/>
                    </w:rPr>
                    <w:t>;</w:t>
                  </w:r>
                </w:p>
                <w:p w:rsidR="00000000" w:rsidRDefault="00053E90">
                  <w:pPr>
                    <w:jc w:val="both"/>
                    <w:rPr>
                      <w:rFonts w:eastAsia="Times New Roman"/>
                      <w:sz w:val="28"/>
                      <w:szCs w:val="28"/>
                      <w:lang w:val="ro-MD" w:eastAsia="ru-RU"/>
                    </w:rPr>
                  </w:pPr>
                  <w:r>
                    <w:rPr>
                      <w:rFonts w:eastAsia="Times New Roman"/>
                      <w:sz w:val="28"/>
                      <w:szCs w:val="28"/>
                      <w:lang w:val="ro-MD" w:eastAsia="ru-RU"/>
                    </w:rPr>
                    <w:t xml:space="preserve">- costuri esenţiale de </w:t>
                  </w:r>
                  <w:r>
                    <w:rPr>
                      <w:rFonts w:eastAsia="Times New Roman"/>
                      <w:sz w:val="28"/>
                      <w:szCs w:val="28"/>
                      <w:lang w:val="ro-MD" w:eastAsia="ru-RU"/>
                    </w:rPr>
                    <w:t xml:space="preserve">implementare nu putem anticipa, ţinînd cont de faptul că organele de stat abilitate îşi vor exercita ca mai înainte atribuţiile funcţionale care le revin. </w:t>
                  </w:r>
                </w:p>
                <w:p w:rsidR="00000000" w:rsidRDefault="00053E90">
                  <w:pPr>
                    <w:tabs>
                      <w:tab w:val="left" w:pos="900"/>
                    </w:tabs>
                    <w:jc w:val="both"/>
                    <w:rPr>
                      <w:rFonts w:eastAsia="Times New Roman"/>
                      <w:sz w:val="28"/>
                      <w:szCs w:val="28"/>
                      <w:lang w:val="ro-RO" w:eastAsia="ru-RU"/>
                    </w:rPr>
                  </w:pPr>
                  <w:r>
                    <w:rPr>
                      <w:rFonts w:eastAsia="Times New Roman"/>
                      <w:sz w:val="28"/>
                      <w:szCs w:val="28"/>
                      <w:lang w:val="ro-RO" w:eastAsia="ru-RU"/>
                    </w:rPr>
                    <w:t>Aprobarea proiectului propus nu va avea impact negativ asupra activităţii de întreprinzător, generîn</w:t>
                  </w:r>
                  <w:r>
                    <w:rPr>
                      <w:rFonts w:eastAsia="Times New Roman"/>
                      <w:sz w:val="28"/>
                      <w:szCs w:val="28"/>
                      <w:lang w:val="ro-RO" w:eastAsia="ru-RU"/>
                    </w:rPr>
                    <w:t xml:space="preserve">d cheltuieli din partea acestora doar la etapa executării procedurilor de evaluare a conformităţii necesare pentru asigurarea prevederilor reglementărilor tehnice aplicabile. </w:t>
                  </w:r>
                </w:p>
                <w:p w:rsidR="00000000" w:rsidRDefault="00053E90">
                  <w:pPr>
                    <w:tabs>
                      <w:tab w:val="left" w:pos="900"/>
                    </w:tabs>
                    <w:jc w:val="both"/>
                    <w:rPr>
                      <w:rFonts w:eastAsia="Times New Roman"/>
                      <w:sz w:val="28"/>
                      <w:szCs w:val="28"/>
                      <w:lang w:val="ro-RO" w:eastAsia="ru-RU"/>
                    </w:rPr>
                  </w:pPr>
                  <w:r>
                    <w:rPr>
                      <w:rFonts w:eastAsia="Times New Roman"/>
                      <w:sz w:val="28"/>
                      <w:szCs w:val="28"/>
                      <w:lang w:val="ro-RO" w:eastAsia="ru-RU"/>
                    </w:rPr>
                    <w:t>Dar totodată în cazul procedurilor de evaluare, agenţii economici au 2 posibilit</w:t>
                  </w:r>
                  <w:r>
                    <w:rPr>
                      <w:rFonts w:eastAsia="Times New Roman"/>
                      <w:sz w:val="28"/>
                      <w:szCs w:val="28"/>
                      <w:lang w:val="ro-RO" w:eastAsia="ru-RU"/>
                    </w:rPr>
                    <w:t>ăţi:</w:t>
                  </w:r>
                </w:p>
                <w:p w:rsidR="00000000" w:rsidRDefault="00053E90">
                  <w:pPr>
                    <w:numPr>
                      <w:ilvl w:val="0"/>
                      <w:numId w:val="6"/>
                    </w:numPr>
                    <w:tabs>
                      <w:tab w:val="left" w:pos="567"/>
                      <w:tab w:val="left" w:pos="900"/>
                    </w:tabs>
                    <w:ind w:left="0" w:firstLine="540"/>
                    <w:jc w:val="both"/>
                    <w:rPr>
                      <w:rFonts w:eastAsia="Times New Roman"/>
                      <w:sz w:val="28"/>
                      <w:szCs w:val="28"/>
                      <w:lang w:val="ro-RO" w:eastAsia="ru-RU"/>
                    </w:rPr>
                  </w:pPr>
                  <w:r>
                    <w:rPr>
                      <w:rFonts w:eastAsia="Times New Roman"/>
                      <w:sz w:val="28"/>
                      <w:szCs w:val="28"/>
                      <w:lang w:val="ro-RO" w:eastAsia="ru-RU"/>
                    </w:rPr>
                    <w:t xml:space="preserve">pentru produsele din statele membre UE nu vor fi nevoie să se efectueze procedurile de evaluare a conformităţii, deoarece produsele din domeniul armonizat sînt introduse pe piaţă cu marcajul </w:t>
                  </w:r>
                  <w:r>
                    <w:rPr>
                      <w:sz w:val="28"/>
                      <w:szCs w:val="28"/>
                      <w:lang w:val="ro-RO"/>
                    </w:rPr>
                    <w:t>,,pi’’</w:t>
                  </w:r>
                  <w:r>
                    <w:rPr>
                      <w:rFonts w:eastAsia="Times New Roman"/>
                      <w:sz w:val="28"/>
                      <w:szCs w:val="28"/>
                      <w:lang w:val="ro-RO" w:eastAsia="ru-RU"/>
                    </w:rPr>
                    <w:t xml:space="preserve"> care presupune recunoaşterea evaluării efectuate de c</w:t>
                  </w:r>
                  <w:r>
                    <w:rPr>
                      <w:rFonts w:eastAsia="Times New Roman"/>
                      <w:sz w:val="28"/>
                      <w:szCs w:val="28"/>
                      <w:lang w:val="ro-RO" w:eastAsia="ru-RU"/>
                    </w:rPr>
                    <w:t>ătre producător;</w:t>
                  </w:r>
                </w:p>
                <w:p w:rsidR="00000000" w:rsidRDefault="00053E90">
                  <w:pPr>
                    <w:tabs>
                      <w:tab w:val="left" w:pos="567"/>
                    </w:tabs>
                    <w:jc w:val="both"/>
                    <w:rPr>
                      <w:bCs/>
                      <w:i/>
                      <w:sz w:val="28"/>
                      <w:szCs w:val="28"/>
                      <w:lang w:val="ro-MD"/>
                    </w:rPr>
                  </w:pPr>
                  <w:r>
                    <w:rPr>
                      <w:rFonts w:eastAsia="Times New Roman"/>
                      <w:sz w:val="28"/>
                      <w:szCs w:val="28"/>
                      <w:lang w:val="ro-RO" w:eastAsia="ru-RU"/>
                    </w:rPr>
                    <w:tab/>
                    <w:t>b) produsele importate din alte state decît din UE vor fi supuse procedurilor de evaluare a conformităţii.</w:t>
                  </w:r>
                </w:p>
                <w:p w:rsidR="00000000" w:rsidRDefault="00053E90">
                  <w:pPr>
                    <w:ind w:firstLine="581"/>
                    <w:rPr>
                      <w:bCs/>
                      <w:sz w:val="28"/>
                      <w:szCs w:val="28"/>
                      <w:u w:val="single"/>
                      <w:lang w:val="ro-MD"/>
                    </w:rPr>
                  </w:pPr>
                  <w:r>
                    <w:rPr>
                      <w:bCs/>
                      <w:sz w:val="28"/>
                      <w:szCs w:val="28"/>
                      <w:u w:val="single"/>
                      <w:lang w:val="ro-MD"/>
                    </w:rPr>
                    <w:t>Impacturile pozitive sau beneficiile intervenţiei statului:</w:t>
                  </w:r>
                </w:p>
                <w:p w:rsidR="00000000" w:rsidRDefault="00053E90">
                  <w:pPr>
                    <w:ind w:firstLine="581"/>
                    <w:jc w:val="both"/>
                    <w:rPr>
                      <w:sz w:val="28"/>
                      <w:szCs w:val="28"/>
                      <w:lang w:val="ro-MD"/>
                    </w:rPr>
                  </w:pPr>
                  <w:r>
                    <w:rPr>
                      <w:sz w:val="28"/>
                      <w:szCs w:val="28"/>
                      <w:lang w:val="ro-MD"/>
                    </w:rPr>
                    <w:t xml:space="preserve">Intervenţia statului prin elaborarea şi aprobarea proiectului </w:t>
                  </w:r>
                  <w:r>
                    <w:rPr>
                      <w:sz w:val="28"/>
                      <w:szCs w:val="28"/>
                    </w:rPr>
                    <w:t>Hotărîrii</w:t>
                  </w:r>
                  <w:r>
                    <w:rPr>
                      <w:sz w:val="28"/>
                      <w:szCs w:val="28"/>
                    </w:rPr>
                    <w:t xml:space="preserve"> Guvernului men</w:t>
                  </w:r>
                  <w:r>
                    <w:rPr>
                      <w:sz w:val="28"/>
                      <w:szCs w:val="28"/>
                    </w:rPr>
                    <w:t>ț</w:t>
                  </w:r>
                  <w:r>
                    <w:rPr>
                      <w:sz w:val="28"/>
                      <w:szCs w:val="28"/>
                    </w:rPr>
                    <w:t xml:space="preserve">ionat </w:t>
                  </w:r>
                  <w:r>
                    <w:rPr>
                      <w:sz w:val="28"/>
                      <w:szCs w:val="28"/>
                      <w:lang w:val="ro-MD"/>
                    </w:rPr>
                    <w:t>va avea ca efect corelarea cadrului normativ în domeniul securită</w:t>
                  </w:r>
                  <w:r>
                    <w:rPr>
                      <w:sz w:val="28"/>
                      <w:szCs w:val="28"/>
                      <w:lang w:val="ro-MD"/>
                    </w:rPr>
                    <w:t>ț</w:t>
                  </w:r>
                  <w:r>
                    <w:rPr>
                      <w:sz w:val="28"/>
                      <w:szCs w:val="28"/>
                      <w:lang w:val="ro-MD"/>
                    </w:rPr>
                    <w:t>ii industriale.</w:t>
                  </w:r>
                </w:p>
                <w:p w:rsidR="00000000" w:rsidRDefault="00053E90">
                  <w:pPr>
                    <w:tabs>
                      <w:tab w:val="left" w:pos="562"/>
                    </w:tabs>
                    <w:ind w:firstLine="581"/>
                    <w:jc w:val="both"/>
                    <w:rPr>
                      <w:sz w:val="28"/>
                      <w:szCs w:val="28"/>
                      <w:lang w:val="ro-MD"/>
                    </w:rPr>
                  </w:pPr>
                  <w:r>
                    <w:rPr>
                      <w:sz w:val="28"/>
                      <w:szCs w:val="28"/>
                      <w:lang w:val="ro-MD"/>
                    </w:rPr>
                    <w:t>De asemenea, prin acţiunile propuse, statul creează un mecanism de interacţiune dintre agenţii economici, care proiectează, construiesc/montează, instal</w:t>
                  </w:r>
                  <w:r>
                    <w:rPr>
                      <w:sz w:val="28"/>
                      <w:szCs w:val="28"/>
                      <w:lang w:val="ro-MD"/>
                    </w:rPr>
                    <w:t>ează, recep</w:t>
                  </w:r>
                  <w:r>
                    <w:rPr>
                      <w:sz w:val="28"/>
                      <w:szCs w:val="28"/>
                      <w:lang w:val="ro-MD"/>
                    </w:rPr>
                    <w:t>ț</w:t>
                  </w:r>
                  <w:r>
                    <w:rPr>
                      <w:sz w:val="28"/>
                      <w:szCs w:val="28"/>
                      <w:lang w:val="ro-MD"/>
                    </w:rPr>
                    <w:t>ionează, exploatează, etc, pe de o parte şi instituţiile de stat abilitate cu func</w:t>
                  </w:r>
                  <w:r>
                    <w:rPr>
                      <w:sz w:val="28"/>
                      <w:szCs w:val="28"/>
                      <w:lang w:val="ro-MD"/>
                    </w:rPr>
                    <w:t>ț</w:t>
                  </w:r>
                  <w:r>
                    <w:rPr>
                      <w:sz w:val="28"/>
                      <w:szCs w:val="28"/>
                      <w:lang w:val="ro-MD"/>
                    </w:rPr>
                    <w:t xml:space="preserve">ii de reglementare, monitorizare, control </w:t>
                  </w:r>
                  <w:r>
                    <w:rPr>
                      <w:sz w:val="28"/>
                      <w:szCs w:val="28"/>
                      <w:lang w:val="ro-MD"/>
                    </w:rPr>
                    <w:t>ș</w:t>
                  </w:r>
                  <w:r>
                    <w:rPr>
                      <w:sz w:val="28"/>
                      <w:szCs w:val="28"/>
                      <w:lang w:val="ro-MD"/>
                    </w:rPr>
                    <w:t xml:space="preserve">i supraveghere de stat, pe de altă parte. </w:t>
                  </w:r>
                </w:p>
                <w:p w:rsidR="00000000" w:rsidRDefault="00053E90">
                  <w:pPr>
                    <w:jc w:val="both"/>
                    <w:rPr>
                      <w:sz w:val="28"/>
                      <w:szCs w:val="28"/>
                      <w:lang w:val="ro-MD"/>
                    </w:rPr>
                  </w:pPr>
                  <w:r>
                    <w:rPr>
                      <w:sz w:val="28"/>
                      <w:szCs w:val="28"/>
                      <w:lang w:val="ro-MD"/>
                    </w:rPr>
                    <w:t xml:space="preserve">         În rezultat, se va mări </w:t>
                  </w:r>
                  <w:r>
                    <w:rPr>
                      <w:sz w:val="28"/>
                      <w:szCs w:val="28"/>
                      <w:lang w:val="ro-MD"/>
                    </w:rPr>
                    <w:t xml:space="preserve">capacitatea de reacţie în cazul depistării unor eventuale avarii </w:t>
                  </w:r>
                  <w:r>
                    <w:rPr>
                      <w:sz w:val="28"/>
                      <w:szCs w:val="28"/>
                      <w:lang w:val="ro-MD"/>
                    </w:rPr>
                    <w:t>ș</w:t>
                  </w:r>
                  <w:r>
                    <w:rPr>
                      <w:sz w:val="28"/>
                      <w:szCs w:val="28"/>
                      <w:lang w:val="ro-MD"/>
                    </w:rPr>
                    <w:t xml:space="preserve">i/sau incidente, precum şi minimizarea cheltuielilor de recuperare a prejudiciului posibil cauzat. </w:t>
                  </w:r>
                </w:p>
                <w:p w:rsidR="00000000" w:rsidRDefault="00053E90">
                  <w:pPr>
                    <w:pStyle w:val="NoSpacing"/>
                    <w:tabs>
                      <w:tab w:val="left" w:pos="562"/>
                    </w:tabs>
                    <w:jc w:val="both"/>
                    <w:rPr>
                      <w:rFonts w:ascii="Times New Roman" w:hAnsi="Times New Roman" w:cs="Times New Roman"/>
                      <w:sz w:val="28"/>
                      <w:szCs w:val="28"/>
                      <w:lang w:val="ro-RO"/>
                    </w:rPr>
                  </w:pPr>
                  <w:r>
                    <w:rPr>
                      <w:rFonts w:ascii="Times New Roman" w:hAnsi="Times New Roman" w:cs="Times New Roman"/>
                      <w:sz w:val="28"/>
                      <w:szCs w:val="28"/>
                    </w:rPr>
                    <w:t xml:space="preserve">        Necesitatea elabor</w:t>
                  </w:r>
                  <w:r>
                    <w:rPr>
                      <w:rFonts w:ascii="Times New Roman" w:hAnsi="Times New Roman" w:cs="Times New Roman"/>
                      <w:sz w:val="28"/>
                      <w:szCs w:val="28"/>
                      <w:lang w:val="ro-RO"/>
                    </w:rPr>
                    <w:t>ării proiectului Hotărîrii Guvernului discutat a apărut ca rezul</w:t>
                  </w:r>
                  <w:r>
                    <w:rPr>
                      <w:rFonts w:ascii="Times New Roman" w:hAnsi="Times New Roman" w:cs="Times New Roman"/>
                      <w:sz w:val="28"/>
                      <w:szCs w:val="28"/>
                      <w:lang w:val="ro-RO"/>
                    </w:rPr>
                    <w:t>tat a lipsei prevederilor legale în ceea ce prive</w:t>
                  </w:r>
                  <w:r>
                    <w:rPr>
                      <w:rFonts w:ascii="Times New Roman" w:hAnsi="Times New Roman" w:cs="Times New Roman"/>
                      <w:sz w:val="28"/>
                      <w:szCs w:val="28"/>
                      <w:lang w:val="ro-RO"/>
                    </w:rPr>
                    <w:t>ș</w:t>
                  </w:r>
                  <w:r>
                    <w:rPr>
                      <w:rFonts w:ascii="Times New Roman" w:hAnsi="Times New Roman" w:cs="Times New Roman"/>
                      <w:sz w:val="28"/>
                      <w:szCs w:val="28"/>
                      <w:lang w:val="ro-RO"/>
                    </w:rPr>
                    <w:t>te modul de alimentare a popula</w:t>
                  </w:r>
                  <w:r>
                    <w:rPr>
                      <w:rFonts w:ascii="Times New Roman" w:hAnsi="Times New Roman" w:cs="Times New Roman"/>
                      <w:sz w:val="28"/>
                      <w:szCs w:val="28"/>
                      <w:lang w:val="ro-RO"/>
                    </w:rPr>
                    <w:t>ț</w:t>
                  </w:r>
                  <w:r>
                    <w:rPr>
                      <w:rFonts w:ascii="Times New Roman" w:hAnsi="Times New Roman" w:cs="Times New Roman"/>
                      <w:sz w:val="28"/>
                      <w:szCs w:val="28"/>
                      <w:lang w:val="ro-RO"/>
                    </w:rPr>
                    <w:t>iei cu gaze lichefiate, inclusiv prin intermediul buteliilor de uz casnic. Lipse</w:t>
                  </w:r>
                  <w:r>
                    <w:rPr>
                      <w:rFonts w:ascii="Times New Roman" w:hAnsi="Times New Roman" w:cs="Times New Roman"/>
                      <w:sz w:val="28"/>
                      <w:szCs w:val="28"/>
                      <w:lang w:val="ro-RO"/>
                    </w:rPr>
                    <w:t>ș</w:t>
                  </w:r>
                  <w:r>
                    <w:rPr>
                      <w:rFonts w:ascii="Times New Roman" w:hAnsi="Times New Roman" w:cs="Times New Roman"/>
                      <w:sz w:val="28"/>
                      <w:szCs w:val="28"/>
                      <w:lang w:val="ro-RO"/>
                    </w:rPr>
                    <w:t>te reglementarea activită</w:t>
                  </w:r>
                  <w:r>
                    <w:rPr>
                      <w:rFonts w:ascii="Times New Roman" w:hAnsi="Times New Roman" w:cs="Times New Roman"/>
                      <w:sz w:val="28"/>
                      <w:szCs w:val="28"/>
                      <w:lang w:val="ro-RO"/>
                    </w:rPr>
                    <w:t>ț</w:t>
                  </w:r>
                  <w:r>
                    <w:rPr>
                      <w:rFonts w:ascii="Times New Roman" w:hAnsi="Times New Roman" w:cs="Times New Roman"/>
                      <w:sz w:val="28"/>
                      <w:szCs w:val="28"/>
                      <w:lang w:val="ro-RO"/>
                    </w:rPr>
                    <w:t>ii agen</w:t>
                  </w:r>
                  <w:r>
                    <w:rPr>
                      <w:rFonts w:ascii="Times New Roman" w:hAnsi="Times New Roman" w:cs="Times New Roman"/>
                      <w:sz w:val="28"/>
                      <w:szCs w:val="28"/>
                      <w:lang w:val="ro-RO"/>
                    </w:rPr>
                    <w:t>ț</w:t>
                  </w:r>
                  <w:r>
                    <w:rPr>
                      <w:rFonts w:ascii="Times New Roman" w:hAnsi="Times New Roman" w:cs="Times New Roman"/>
                      <w:sz w:val="28"/>
                      <w:szCs w:val="28"/>
                      <w:lang w:val="ro-RO"/>
                    </w:rPr>
                    <w:t>ilor economici din lan</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ul de aprovizionare </w:t>
                  </w:r>
                  <w:r>
                    <w:rPr>
                      <w:rFonts w:ascii="Times New Roman" w:hAnsi="Times New Roman" w:cs="Times New Roman"/>
                      <w:sz w:val="28"/>
                      <w:szCs w:val="28"/>
                      <w:lang w:val="ro-RO"/>
                    </w:rPr>
                    <w:t>ș</w:t>
                  </w:r>
                  <w:r>
                    <w:rPr>
                      <w:rFonts w:ascii="Times New Roman" w:hAnsi="Times New Roman" w:cs="Times New Roman"/>
                      <w:sz w:val="28"/>
                      <w:szCs w:val="28"/>
                      <w:lang w:val="ro-RO"/>
                    </w:rPr>
                    <w:t>i exploatare. A</w:t>
                  </w:r>
                  <w:r>
                    <w:rPr>
                      <w:rFonts w:ascii="Times New Roman" w:hAnsi="Times New Roman" w:cs="Times New Roman"/>
                      <w:sz w:val="28"/>
                      <w:szCs w:val="28"/>
                      <w:lang w:val="ro-RO"/>
                    </w:rPr>
                    <w:t xml:space="preserve">stfel, cazurile exploziilor buteliilor de uz casnic în locuri cu posibile aglomerări de persoane, ca exemplu, ”La soacra” a impulsionat elaborarea proiectului respectiv. </w:t>
                  </w:r>
                </w:p>
                <w:p w:rsidR="00000000" w:rsidRDefault="00053E90">
                  <w:pPr>
                    <w:pStyle w:val="NoSpacing"/>
                    <w:tabs>
                      <w:tab w:val="left" w:pos="547"/>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Un caz de explozie a buteliilor cu gaze s-a produs în cafeneaua “La Soacra“, </w:t>
                  </w:r>
                  <w:r>
                    <w:rPr>
                      <w:rFonts w:ascii="Times New Roman" w:hAnsi="Times New Roman" w:cs="Times New Roman"/>
                      <w:sz w:val="28"/>
                      <w:szCs w:val="28"/>
                      <w:lang w:val="ro-RO"/>
                    </w:rPr>
                    <w:t>amplasat pe teritoriul ÎM “Pia</w:t>
                  </w:r>
                  <w:r>
                    <w:rPr>
                      <w:rFonts w:ascii="Times New Roman" w:hAnsi="Times New Roman" w:cs="Times New Roman"/>
                      <w:sz w:val="28"/>
                      <w:szCs w:val="28"/>
                      <w:lang w:val="ro-RO"/>
                    </w:rPr>
                    <w:t>ț</w:t>
                  </w:r>
                  <w:r>
                    <w:rPr>
                      <w:rFonts w:ascii="Times New Roman" w:hAnsi="Times New Roman" w:cs="Times New Roman"/>
                      <w:sz w:val="28"/>
                      <w:szCs w:val="28"/>
                      <w:lang w:val="ro-RO"/>
                    </w:rPr>
                    <w:t>a Centrală“, pe data de 09.01.2016, în urma cărui 13 persoane au primit arsuri cu diferite grade de afectare, dintre care 4 persoane au decedat ulterior în institu</w:t>
                  </w:r>
                  <w:r>
                    <w:rPr>
                      <w:rFonts w:ascii="Times New Roman" w:hAnsi="Times New Roman" w:cs="Times New Roman"/>
                      <w:sz w:val="28"/>
                      <w:szCs w:val="28"/>
                      <w:lang w:val="ro-RO"/>
                    </w:rPr>
                    <w:t>ț</w:t>
                  </w:r>
                  <w:r>
                    <w:rPr>
                      <w:rFonts w:ascii="Times New Roman" w:hAnsi="Times New Roman" w:cs="Times New Roman"/>
                      <w:sz w:val="28"/>
                      <w:szCs w:val="28"/>
                      <w:lang w:val="ro-RO"/>
                    </w:rPr>
                    <w:t>iile medicale.</w:t>
                  </w:r>
                </w:p>
                <w:p w:rsidR="00000000" w:rsidRDefault="00053E90">
                  <w:pPr>
                    <w:pStyle w:val="NoSpacing"/>
                    <w:tabs>
                      <w:tab w:val="left" w:pos="562"/>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fel, este de men</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ionat </w:t>
                  </w:r>
                  <w:r>
                    <w:rPr>
                      <w:rFonts w:ascii="Times New Roman" w:hAnsi="Times New Roman" w:cs="Times New Roman"/>
                      <w:sz w:val="28"/>
                      <w:szCs w:val="28"/>
                      <w:lang w:val="ro-RO"/>
                    </w:rPr>
                    <w:t>ș</w:t>
                  </w:r>
                  <w:r>
                    <w:rPr>
                      <w:rFonts w:ascii="Times New Roman" w:hAnsi="Times New Roman" w:cs="Times New Roman"/>
                      <w:sz w:val="28"/>
                      <w:szCs w:val="28"/>
                      <w:lang w:val="ro-RO"/>
                    </w:rPr>
                    <w:t>i cazul exp</w:t>
                  </w:r>
                  <w:r>
                    <w:rPr>
                      <w:rFonts w:ascii="Times New Roman" w:hAnsi="Times New Roman" w:cs="Times New Roman"/>
                      <w:sz w:val="28"/>
                      <w:szCs w:val="28"/>
                      <w:lang w:val="ro-RO"/>
                    </w:rPr>
                    <w:t>loziei buteliei cu gaze în Centrul Comercial “JUMBO“, în bucătăria cafenelei “Славянский Трактир“, pe data de 14.02.2008, care s-a finisat cu traumatizarea a 13 persoane, iar prejudiciul material a constituit 124250 lei.</w:t>
                  </w:r>
                </w:p>
                <w:p w:rsidR="00000000" w:rsidRDefault="00053E90">
                  <w:pPr>
                    <w:pStyle w:val="NoSpacing"/>
                    <w:ind w:firstLine="58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În acela</w:t>
                  </w:r>
                  <w:r>
                    <w:rPr>
                      <w:rFonts w:ascii="Times New Roman" w:hAnsi="Times New Roman" w:cs="Times New Roman"/>
                      <w:sz w:val="28"/>
                      <w:szCs w:val="28"/>
                      <w:lang w:val="ro-RO"/>
                    </w:rPr>
                    <w:t>ș</w:t>
                  </w:r>
                  <w:r>
                    <w:rPr>
                      <w:rFonts w:ascii="Times New Roman" w:hAnsi="Times New Roman" w:cs="Times New Roman"/>
                      <w:sz w:val="28"/>
                      <w:szCs w:val="28"/>
                      <w:lang w:val="ro-RO"/>
                    </w:rPr>
                    <w:t>i timp, alimentarea buteli</w:t>
                  </w:r>
                  <w:r>
                    <w:rPr>
                      <w:rFonts w:ascii="Times New Roman" w:hAnsi="Times New Roman" w:cs="Times New Roman"/>
                      <w:sz w:val="28"/>
                      <w:szCs w:val="28"/>
                      <w:lang w:val="ro-RO"/>
                    </w:rPr>
                    <w:t>ilor cu gaze se practică la orice punct de alimentare sau sta</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ie PECO, fără a fi efectuată procedura de testare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 înlăturare a depunerilor din interior. Datorită acestor factori, au loc scurgeri de gaze din cauza mecanismului uzat, ce favorizează pericol </w:t>
                  </w:r>
                  <w:r>
                    <w:rPr>
                      <w:rFonts w:ascii="Times New Roman" w:hAnsi="Times New Roman" w:cs="Times New Roman"/>
                      <w:sz w:val="28"/>
                      <w:szCs w:val="28"/>
                      <w:lang w:val="ro-RO"/>
                    </w:rPr>
                    <w:t>real de deflagra</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ie </w:t>
                  </w:r>
                  <w:r>
                    <w:rPr>
                      <w:rFonts w:ascii="Times New Roman" w:hAnsi="Times New Roman" w:cs="Times New Roman"/>
                      <w:sz w:val="28"/>
                      <w:szCs w:val="28"/>
                      <w:lang w:val="ro-RO"/>
                    </w:rPr>
                    <w:t>ș</w:t>
                  </w:r>
                  <w:r>
                    <w:rPr>
                      <w:rFonts w:ascii="Times New Roman" w:hAnsi="Times New Roman" w:cs="Times New Roman"/>
                      <w:sz w:val="28"/>
                      <w:szCs w:val="28"/>
                      <w:lang w:val="ro-RO"/>
                    </w:rPr>
                    <w:t>i incendiu, punînd în pericol via</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a </w:t>
                  </w:r>
                  <w:r>
                    <w:rPr>
                      <w:rFonts w:ascii="Times New Roman" w:hAnsi="Times New Roman" w:cs="Times New Roman"/>
                      <w:sz w:val="28"/>
                      <w:szCs w:val="28"/>
                      <w:lang w:val="ro-RO"/>
                    </w:rPr>
                    <w:t>ș</w:t>
                  </w:r>
                  <w:r>
                    <w:rPr>
                      <w:rFonts w:ascii="Times New Roman" w:hAnsi="Times New Roman" w:cs="Times New Roman"/>
                      <w:sz w:val="28"/>
                      <w:szCs w:val="28"/>
                      <w:lang w:val="ro-RO"/>
                    </w:rPr>
                    <w:t>i sănătatea persoanelor.</w:t>
                  </w:r>
                </w:p>
                <w:p w:rsidR="00000000" w:rsidRDefault="00053E90">
                  <w:pPr>
                    <w:tabs>
                      <w:tab w:val="left" w:pos="589"/>
                    </w:tabs>
                    <w:jc w:val="both"/>
                    <w:rPr>
                      <w:sz w:val="28"/>
                      <w:szCs w:val="28"/>
                    </w:rPr>
                  </w:pPr>
                  <w:r>
                    <w:rPr>
                      <w:sz w:val="26"/>
                      <w:szCs w:val="26"/>
                    </w:rPr>
                    <w:t xml:space="preserve">         </w:t>
                  </w:r>
                  <w:r>
                    <w:rPr>
                      <w:sz w:val="28"/>
                      <w:szCs w:val="28"/>
                    </w:rPr>
                    <w:t xml:space="preserve">Două cazuri de avarii au fost provocate de starea tehnică avariată </w:t>
                  </w:r>
                  <w:proofErr w:type="gramStart"/>
                  <w:r>
                    <w:rPr>
                      <w:sz w:val="28"/>
                      <w:szCs w:val="28"/>
                    </w:rPr>
                    <w:t>a</w:t>
                  </w:r>
                  <w:proofErr w:type="gramEnd"/>
                  <w:r>
                    <w:rPr>
                      <w:sz w:val="28"/>
                      <w:szCs w:val="28"/>
                    </w:rPr>
                    <w:t xml:space="preserve"> autocisternelor, destinate pentru transportarea gazelor lichefiate. Autocisternele nu au trecut</w:t>
                  </w:r>
                  <w:r>
                    <w:rPr>
                      <w:sz w:val="28"/>
                      <w:szCs w:val="28"/>
                    </w:rPr>
                    <w:t xml:space="preserve"> verificarea tehnică anuală periodică, prevăzută în instrucţiunile uzinei producătoare. La cisterna care aparţine întreprinderii SRL „Rapira Petrol” lipsesc clapete de siguranţă contra suprapresiunii. La cisterna</w:t>
                  </w:r>
                  <w:r>
                    <w:rPr>
                      <w:b/>
                      <w:sz w:val="28"/>
                      <w:szCs w:val="28"/>
                    </w:rPr>
                    <w:t xml:space="preserve"> </w:t>
                  </w:r>
                  <w:r>
                    <w:rPr>
                      <w:sz w:val="28"/>
                      <w:szCs w:val="28"/>
                    </w:rPr>
                    <w:t>întreprinderii individuale „Jomiru I.N.” su</w:t>
                  </w:r>
                  <w:r>
                    <w:rPr>
                      <w:sz w:val="28"/>
                      <w:szCs w:val="28"/>
                    </w:rPr>
                    <w:t xml:space="preserve">papele au fost blocate şi nu s-au efectuat lucrările de reparaţie, profilaxie şi controlul utilajului tehnologic </w:t>
                  </w:r>
                  <w:proofErr w:type="gramStart"/>
                  <w:r>
                    <w:rPr>
                      <w:sz w:val="28"/>
                      <w:szCs w:val="28"/>
                    </w:rPr>
                    <w:t>a</w:t>
                  </w:r>
                  <w:proofErr w:type="gramEnd"/>
                  <w:r>
                    <w:rPr>
                      <w:sz w:val="28"/>
                      <w:szCs w:val="28"/>
                    </w:rPr>
                    <w:t xml:space="preserve"> autocisternelor.</w:t>
                  </w:r>
                </w:p>
                <w:p w:rsidR="00000000" w:rsidRDefault="00053E90">
                  <w:pPr>
                    <w:pStyle w:val="PlainText"/>
                    <w:tabs>
                      <w:tab w:val="left" w:pos="574"/>
                    </w:tabs>
                    <w:jc w:val="both"/>
                    <w:rPr>
                      <w:rFonts w:ascii="Times New Roman" w:hAnsi="Times New Roman"/>
                      <w:sz w:val="28"/>
                      <w:szCs w:val="28"/>
                    </w:rPr>
                  </w:pPr>
                  <w:r>
                    <w:rPr>
                      <w:rFonts w:ascii="Times New Roman" w:hAnsi="Times New Roman"/>
                      <w:sz w:val="28"/>
                      <w:szCs w:val="28"/>
                    </w:rPr>
                    <w:t xml:space="preserve">        Este de menţionat faptul că avaria din or. Cahul era la un pas de catastrofă tehnogenă. Totodată, </w:t>
                  </w:r>
                  <w:r>
                    <w:rPr>
                      <w:rFonts w:ascii="Times New Roman" w:hAnsi="Times New Roman" w:cs="Times New Roman"/>
                      <w:sz w:val="28"/>
                      <w:szCs w:val="28"/>
                    </w:rPr>
                    <w:t>în rezultatul avar</w:t>
                  </w:r>
                  <w:r>
                    <w:rPr>
                      <w:rFonts w:ascii="Times New Roman" w:hAnsi="Times New Roman" w:cs="Times New Roman"/>
                      <w:sz w:val="28"/>
                      <w:szCs w:val="28"/>
                    </w:rPr>
                    <w:t>iei din mun. Chişinău la Î.I. „Jomiru I.N.” doi oameni au căpătat arsuri şi efectiv s-au creat circumstanţe ce puteau duce la explozie.</w:t>
                  </w:r>
                </w:p>
                <w:p w:rsidR="00000000" w:rsidRDefault="00053E90">
                  <w:pPr>
                    <w:pStyle w:val="PlainText"/>
                    <w:tabs>
                      <w:tab w:val="left" w:pos="529"/>
                    </w:tabs>
                    <w:jc w:val="both"/>
                    <w:rPr>
                      <w:rFonts w:ascii="Times New Roman" w:hAnsi="Times New Roman"/>
                      <w:sz w:val="28"/>
                      <w:szCs w:val="28"/>
                    </w:rPr>
                  </w:pPr>
                  <w:r>
                    <w:rPr>
                      <w:rFonts w:ascii="Times New Roman" w:hAnsi="Times New Roman"/>
                      <w:sz w:val="28"/>
                      <w:szCs w:val="28"/>
                    </w:rPr>
                    <w:t xml:space="preserve">        La verificarea  </w:t>
                  </w:r>
                  <w:r>
                    <w:rPr>
                      <w:rFonts w:ascii="Times New Roman" w:hAnsi="Times New Roman" w:cs="Times New Roman"/>
                      <w:sz w:val="28"/>
                      <w:szCs w:val="28"/>
                    </w:rPr>
                    <w:t xml:space="preserve">autocisternei </w:t>
                  </w:r>
                  <w:r>
                    <w:rPr>
                      <w:rFonts w:ascii="Times New Roman" w:hAnsi="Times New Roman"/>
                      <w:sz w:val="28"/>
                      <w:szCs w:val="28"/>
                    </w:rPr>
                    <w:t>reţinute la postul vamal Cahul a fost depistat faptul decupării nervurilor de rigi</w:t>
                  </w:r>
                  <w:r>
                    <w:rPr>
                      <w:rFonts w:ascii="Times New Roman" w:hAnsi="Times New Roman"/>
                      <w:sz w:val="28"/>
                      <w:szCs w:val="28"/>
                    </w:rPr>
                    <w:t xml:space="preserve">dizare în interiorul cisternei,  ce creează pericol real legat de reducerea esenţială a rezistenţei mecanice a acestui recipient sub presiune. </w:t>
                  </w:r>
                </w:p>
                <w:p w:rsidR="00000000" w:rsidRDefault="00053E90">
                  <w:pPr>
                    <w:pStyle w:val="PlainText"/>
                    <w:tabs>
                      <w:tab w:val="left" w:pos="544"/>
                    </w:tabs>
                    <w:jc w:val="both"/>
                    <w:rPr>
                      <w:rFonts w:ascii="Times New Roman" w:hAnsi="Times New Roman"/>
                      <w:sz w:val="28"/>
                      <w:szCs w:val="28"/>
                    </w:rPr>
                  </w:pPr>
                  <w:r>
                    <w:rPr>
                      <w:rFonts w:ascii="Times New Roman" w:hAnsi="Times New Roman"/>
                      <w:sz w:val="28"/>
                      <w:szCs w:val="28"/>
                    </w:rPr>
                    <w:t xml:space="preserve">       Urmează de constatat că faptele sus menţionate au devenit posibile în urma situaţiei, la care înregistrar</w:t>
                  </w:r>
                  <w:r>
                    <w:rPr>
                      <w:rFonts w:ascii="Times New Roman" w:hAnsi="Times New Roman"/>
                      <w:sz w:val="28"/>
                      <w:szCs w:val="28"/>
                    </w:rPr>
                    <w:t>ea de Stat în inspecţia rutieră a vehiculelor, destinate pentru transportarea gazelor lichefiate şi eliberarea de către</w:t>
                  </w:r>
                  <w:r>
                    <w:rPr>
                      <w:rFonts w:ascii="Times New Roman" w:hAnsi="Times New Roman"/>
                      <w:b/>
                      <w:sz w:val="28"/>
                      <w:szCs w:val="28"/>
                    </w:rPr>
                    <w:t xml:space="preserve"> </w:t>
                  </w:r>
                  <w:r>
                    <w:rPr>
                      <w:rFonts w:ascii="Times New Roman" w:hAnsi="Times New Roman"/>
                      <w:sz w:val="28"/>
                      <w:szCs w:val="28"/>
                    </w:rPr>
                    <w:t xml:space="preserve">Ministerul Transporturilor şi Infrastructurii Drumurilor a certificatelor de agreare pentru aceste vehicule sînt executate cu ignorarea </w:t>
                  </w:r>
                  <w:r>
                    <w:rPr>
                      <w:rFonts w:ascii="Times New Roman" w:hAnsi="Times New Roman"/>
                      <w:sz w:val="28"/>
                      <w:szCs w:val="28"/>
                    </w:rPr>
                    <w:t xml:space="preserve">de către proprietari a cerinţelor </w:t>
                  </w:r>
                  <w:r>
                    <w:rPr>
                      <w:rFonts w:ascii="Times New Roman" w:hAnsi="Times New Roman" w:cs="Times New Roman"/>
                      <w:sz w:val="28"/>
                      <w:szCs w:val="28"/>
                    </w:rPr>
                    <w:t>Legii nr.116 din 18.05.2012 privind securitatea industrială a obiectelor industriale periculoase.</w:t>
                  </w:r>
                </w:p>
                <w:p w:rsidR="00000000" w:rsidRDefault="00053E90">
                  <w:pPr>
                    <w:pStyle w:val="PlainText"/>
                    <w:tabs>
                      <w:tab w:val="left" w:pos="559"/>
                    </w:tabs>
                    <w:jc w:val="both"/>
                    <w:rPr>
                      <w:rFonts w:ascii="Times New Roman" w:hAnsi="Times New Roman"/>
                      <w:sz w:val="28"/>
                      <w:szCs w:val="28"/>
                    </w:rPr>
                  </w:pPr>
                  <w:r>
                    <w:rPr>
                      <w:rFonts w:ascii="Times New Roman" w:hAnsi="Times New Roman"/>
                      <w:sz w:val="28"/>
                      <w:szCs w:val="28"/>
                    </w:rPr>
                    <w:t xml:space="preserve">        Folosind posibilitatea utilizării necontrolate a OIP, unii proprietari ale autocisternelor înregistrîndu-le la poliţ</w:t>
                  </w:r>
                  <w:r>
                    <w:rPr>
                      <w:rFonts w:ascii="Times New Roman" w:hAnsi="Times New Roman"/>
                      <w:sz w:val="28"/>
                      <w:szCs w:val="28"/>
                    </w:rPr>
                    <w:t xml:space="preserve">ia rutieră şi obţinînd certificatul de agreare, ascund existenţa OIP, de fapt, scoţînd aceste OIP de sub acţiunea  supravegherii tehnice de stat.    </w:t>
                  </w:r>
                </w:p>
                <w:p w:rsidR="00000000" w:rsidRDefault="00053E90">
                  <w:pPr>
                    <w:pStyle w:val="PlainText"/>
                    <w:tabs>
                      <w:tab w:val="left" w:pos="574"/>
                    </w:tabs>
                    <w:jc w:val="both"/>
                    <w:rPr>
                      <w:rFonts w:ascii="Times New Roman" w:hAnsi="Times New Roman"/>
                      <w:sz w:val="28"/>
                      <w:szCs w:val="28"/>
                    </w:rPr>
                  </w:pPr>
                  <w:r>
                    <w:rPr>
                      <w:rFonts w:ascii="Times New Roman" w:hAnsi="Times New Roman"/>
                      <w:sz w:val="28"/>
                      <w:szCs w:val="28"/>
                    </w:rPr>
                    <w:t xml:space="preserve">       Astfel, mişcarea liberă a autocisternelor cu gaze lichefiate fără executarea prealabilă a cerin</w:t>
                  </w:r>
                  <w:r>
                    <w:rPr>
                      <w:rFonts w:ascii="Times New Roman" w:hAnsi="Times New Roman"/>
                      <w:sz w:val="28"/>
                      <w:szCs w:val="28"/>
                    </w:rPr>
                    <w:t>ț</w:t>
                  </w:r>
                  <w:r>
                    <w:rPr>
                      <w:rFonts w:ascii="Times New Roman" w:hAnsi="Times New Roman"/>
                      <w:sz w:val="28"/>
                      <w:szCs w:val="28"/>
                    </w:rPr>
                    <w:t>elo</w:t>
                  </w:r>
                  <w:r>
                    <w:rPr>
                      <w:rFonts w:ascii="Times New Roman" w:hAnsi="Times New Roman"/>
                      <w:sz w:val="28"/>
                      <w:szCs w:val="28"/>
                    </w:rPr>
                    <w:t xml:space="preserve">r obligatorii pentru OIP majorează gradul de risc la exploatarea lor şi transformă aceste obiecte în surse mobile de pericol sporit. </w:t>
                  </w:r>
                </w:p>
                <w:p w:rsidR="00000000" w:rsidRDefault="00053E90">
                  <w:pPr>
                    <w:pStyle w:val="PlainText"/>
                    <w:tabs>
                      <w:tab w:val="left" w:pos="544"/>
                    </w:tabs>
                    <w:jc w:val="both"/>
                    <w:rPr>
                      <w:rFonts w:ascii="Times New Roman" w:hAnsi="Times New Roman" w:cs="Times New Roman"/>
                      <w:sz w:val="28"/>
                      <w:szCs w:val="28"/>
                    </w:rPr>
                  </w:pPr>
                  <w:r>
                    <w:rPr>
                      <w:rFonts w:ascii="Times New Roman" w:hAnsi="Times New Roman"/>
                      <w:sz w:val="28"/>
                      <w:szCs w:val="28"/>
                    </w:rPr>
                    <w:t xml:space="preserve">       </w:t>
                  </w:r>
                  <w:r>
                    <w:rPr>
                      <w:sz w:val="28"/>
                      <w:szCs w:val="28"/>
                    </w:rPr>
                    <w:tab/>
                  </w:r>
                  <w:r>
                    <w:rPr>
                      <w:rFonts w:ascii="Times New Roman" w:hAnsi="Times New Roman" w:cs="Times New Roman"/>
                      <w:sz w:val="28"/>
                      <w:szCs w:val="28"/>
                    </w:rPr>
                    <w:t>În scopul, asigurării unui nivel înalt de plasare pe pia</w:t>
                  </w:r>
                  <w:r>
                    <w:rPr>
                      <w:rFonts w:ascii="Times New Roman" w:hAnsi="Times New Roman" w:cs="Times New Roman"/>
                      <w:sz w:val="28"/>
                      <w:szCs w:val="28"/>
                    </w:rPr>
                    <w:t>ț</w:t>
                  </w:r>
                  <w:r>
                    <w:rPr>
                      <w:rFonts w:ascii="Times New Roman" w:hAnsi="Times New Roman" w:cs="Times New Roman"/>
                      <w:sz w:val="28"/>
                      <w:szCs w:val="28"/>
                    </w:rPr>
                    <w:t>a internă a echipamentelor sub presiune transportabile im</w:t>
                  </w:r>
                  <w:r>
                    <w:rPr>
                      <w:rFonts w:ascii="Times New Roman" w:hAnsi="Times New Roman" w:cs="Times New Roman"/>
                      <w:sz w:val="28"/>
                      <w:szCs w:val="28"/>
                    </w:rPr>
                    <w:t>portate din tările ter</w:t>
                  </w:r>
                  <w:r>
                    <w:rPr>
                      <w:rFonts w:ascii="Times New Roman" w:hAnsi="Times New Roman" w:cs="Times New Roman"/>
                      <w:sz w:val="28"/>
                      <w:szCs w:val="28"/>
                    </w:rPr>
                    <w:t>ț</w:t>
                  </w:r>
                  <w:r>
                    <w:rPr>
                      <w:rFonts w:ascii="Times New Roman" w:hAnsi="Times New Roman" w:cs="Times New Roman"/>
                      <w:sz w:val="28"/>
                      <w:szCs w:val="28"/>
                    </w:rPr>
                    <w:t>e, agentul economic va fi nevoit să aloce aproximativ 1550-4990 lei în dependenţă de complexitatea produsului evaluat. Informa</w:t>
                  </w:r>
                  <w:r>
                    <w:rPr>
                      <w:rFonts w:ascii="Times New Roman" w:hAnsi="Times New Roman" w:cs="Times New Roman"/>
                      <w:sz w:val="28"/>
                      <w:szCs w:val="28"/>
                    </w:rPr>
                    <w:t>ț</w:t>
                  </w:r>
                  <w:r>
                    <w:rPr>
                      <w:rFonts w:ascii="Times New Roman" w:hAnsi="Times New Roman" w:cs="Times New Roman"/>
                      <w:sz w:val="28"/>
                      <w:szCs w:val="28"/>
                    </w:rPr>
                    <w:t xml:space="preserve">ia prezentată de </w:t>
                  </w:r>
                  <w:r>
                    <w:rPr>
                      <w:rFonts w:ascii="Times New Roman" w:hAnsi="Times New Roman" w:cs="Times New Roman"/>
                      <w:b/>
                      <w:sz w:val="28"/>
                      <w:szCs w:val="28"/>
                    </w:rPr>
                    <w:t xml:space="preserve">Î.S. „CTSIC” </w:t>
                  </w:r>
                  <w:r>
                    <w:rPr>
                      <w:rFonts w:ascii="Times New Roman" w:hAnsi="Times New Roman" w:cs="Times New Roman"/>
                      <w:sz w:val="28"/>
                      <w:szCs w:val="28"/>
                    </w:rPr>
                    <w:t xml:space="preserve">comunică că pe parcursul anilor 2013-2017 au fost </w:t>
                  </w:r>
                  <w:r>
                    <w:rPr>
                      <w:rFonts w:ascii="Times New Roman" w:hAnsi="Times New Roman" w:cs="Times New Roman"/>
                      <w:sz w:val="28"/>
                      <w:szCs w:val="28"/>
                    </w:rPr>
                    <w:t>eliberate 50 de avize de expertiză în domeniul securită</w:t>
                  </w:r>
                  <w:r>
                    <w:rPr>
                      <w:rFonts w:ascii="Times New Roman" w:hAnsi="Times New Roman" w:cs="Times New Roman"/>
                      <w:sz w:val="28"/>
                      <w:szCs w:val="28"/>
                    </w:rPr>
                    <w:t>ț</w:t>
                  </w:r>
                  <w:r>
                    <w:rPr>
                      <w:rFonts w:ascii="Times New Roman" w:hAnsi="Times New Roman" w:cs="Times New Roman"/>
                      <w:sz w:val="28"/>
                      <w:szCs w:val="28"/>
                    </w:rPr>
                    <w:t xml:space="preserve">ii industriale, din care 45 avize pozitive  </w:t>
                  </w:r>
                  <w:r>
                    <w:rPr>
                      <w:rFonts w:ascii="Times New Roman" w:hAnsi="Times New Roman" w:cs="Times New Roman"/>
                      <w:sz w:val="28"/>
                      <w:szCs w:val="28"/>
                    </w:rPr>
                    <w:t>ș</w:t>
                  </w:r>
                  <w:r>
                    <w:rPr>
                      <w:rFonts w:ascii="Times New Roman" w:hAnsi="Times New Roman" w:cs="Times New Roman"/>
                      <w:sz w:val="28"/>
                      <w:szCs w:val="28"/>
                    </w:rPr>
                    <w:t xml:space="preserve">i 5 avize negative care au fost scoase din uz.  </w:t>
                  </w:r>
                </w:p>
                <w:p w:rsidR="00000000" w:rsidRDefault="00053E90">
                  <w:pPr>
                    <w:pStyle w:val="NormalWeb"/>
                    <w:rPr>
                      <w:sz w:val="28"/>
                      <w:szCs w:val="28"/>
                      <w:lang w:val="ro-RO"/>
                    </w:rPr>
                  </w:pPr>
                  <w:r>
                    <w:rPr>
                      <w:sz w:val="28"/>
                      <w:szCs w:val="28"/>
                      <w:lang w:val="ro-RO"/>
                    </w:rPr>
                    <w:t>La fel conform datelor prezentate de către IPSSTOIP pe parcursul a ultimilor 6 ani au fost înregistrate 82</w:t>
                  </w:r>
                  <w:r>
                    <w:rPr>
                      <w:sz w:val="28"/>
                      <w:szCs w:val="28"/>
                      <w:lang w:val="ro-RO"/>
                    </w:rPr>
                    <w:t xml:space="preserve"> de autocisterne pentru transportarea</w:t>
                  </w:r>
                  <w:r>
                    <w:rPr>
                      <w:sz w:val="28"/>
                      <w:szCs w:val="28"/>
                      <w:lang w:val="ro-RO" w:eastAsia="ro-RO"/>
                    </w:rPr>
                    <w:t xml:space="preserve"> gazelor petroliere lichefiate.</w:t>
                  </w:r>
                  <w:r>
                    <w:rPr>
                      <w:sz w:val="28"/>
                      <w:szCs w:val="28"/>
                      <w:lang w:val="ro-RO"/>
                    </w:rPr>
                    <w:t xml:space="preserve"> T</w:t>
                  </w:r>
                  <w:r>
                    <w:rPr>
                      <w:sz w:val="28"/>
                      <w:szCs w:val="28"/>
                      <w:lang w:val="ro-RO" w:eastAsia="ro-RO"/>
                    </w:rPr>
                    <w:t>ermenul de exploatare fiind de 20 ani. La 12 autocisterne termenul de exploatare a fost depă</w:t>
                  </w:r>
                  <w:r>
                    <w:rPr>
                      <w:sz w:val="28"/>
                      <w:szCs w:val="28"/>
                      <w:lang w:val="ro-RO" w:eastAsia="ro-RO"/>
                    </w:rPr>
                    <w:t>ș</w:t>
                  </w:r>
                  <w:r>
                    <w:rPr>
                      <w:sz w:val="28"/>
                      <w:szCs w:val="28"/>
                      <w:lang w:val="ro-RO" w:eastAsia="ro-RO"/>
                    </w:rPr>
                    <w:t xml:space="preserve">it </w:t>
                  </w:r>
                  <w:r>
                    <w:rPr>
                      <w:sz w:val="28"/>
                      <w:szCs w:val="28"/>
                      <w:lang w:val="ro-RO" w:eastAsia="ro-RO"/>
                    </w:rPr>
                    <w:t>ș</w:t>
                  </w:r>
                  <w:r>
                    <w:rPr>
                      <w:sz w:val="28"/>
                      <w:szCs w:val="28"/>
                      <w:lang w:val="ro-RO" w:eastAsia="ro-RO"/>
                    </w:rPr>
                    <w:t>i au fost scoase din uz. Termenul de exploatare nu poate fi prelungit din considerentul c</w:t>
                  </w:r>
                  <w:r>
                    <w:rPr>
                      <w:sz w:val="28"/>
                      <w:szCs w:val="28"/>
                      <w:lang w:val="ro-RO" w:eastAsia="ro-RO"/>
                    </w:rPr>
                    <w:t xml:space="preserve">ă pot provoca </w:t>
                  </w:r>
                  <w:r>
                    <w:rPr>
                      <w:sz w:val="28"/>
                      <w:szCs w:val="28"/>
                      <w:lang w:val="ro-RO"/>
                    </w:rPr>
                    <w:t xml:space="preserve">avarii </w:t>
                  </w:r>
                  <w:r>
                    <w:rPr>
                      <w:sz w:val="28"/>
                      <w:szCs w:val="28"/>
                      <w:lang w:val="ro-RO"/>
                    </w:rPr>
                    <w:t>ș</w:t>
                  </w:r>
                  <w:r>
                    <w:rPr>
                      <w:sz w:val="28"/>
                      <w:szCs w:val="28"/>
                      <w:lang w:val="ro-RO"/>
                    </w:rPr>
                    <w:t xml:space="preserve">i polua mediul înconjurător. </w:t>
                  </w:r>
                </w:p>
                <w:p w:rsidR="00000000" w:rsidRDefault="00053E90">
                  <w:pPr>
                    <w:pStyle w:val="NoSpacing"/>
                    <w:tabs>
                      <w:tab w:val="left" w:pos="585"/>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domeniul chimic </w:t>
                  </w:r>
                  <w:r>
                    <w:rPr>
                      <w:rFonts w:ascii="Times New Roman" w:hAnsi="Times New Roman" w:cs="Times New Roman"/>
                      <w:sz w:val="28"/>
                      <w:szCs w:val="28"/>
                      <w:lang w:val="ro-RO"/>
                    </w:rPr>
                    <w:t>ș</w:t>
                  </w:r>
                  <w:r>
                    <w:rPr>
                      <w:rFonts w:ascii="Times New Roman" w:hAnsi="Times New Roman" w:cs="Times New Roman"/>
                      <w:sz w:val="28"/>
                      <w:szCs w:val="28"/>
                      <w:lang w:val="ro-RO"/>
                    </w:rPr>
                    <w:t>i tehnologic sînt înregistrate 12 recipiente sub presiune (instala</w:t>
                  </w:r>
                  <w:r>
                    <w:rPr>
                      <w:rFonts w:ascii="Times New Roman" w:hAnsi="Times New Roman" w:cs="Times New Roman"/>
                      <w:sz w:val="28"/>
                      <w:szCs w:val="28"/>
                      <w:lang w:val="ro-RO"/>
                    </w:rPr>
                    <w:t>ț</w:t>
                  </w:r>
                  <w:r>
                    <w:rPr>
                      <w:rFonts w:ascii="Times New Roman" w:hAnsi="Times New Roman" w:cs="Times New Roman"/>
                      <w:sz w:val="28"/>
                      <w:szCs w:val="28"/>
                      <w:lang w:val="ro-RO"/>
                    </w:rPr>
                    <w:t>ii cu amoniac transportabile).</w:t>
                  </w:r>
                </w:p>
                <w:p w:rsidR="00000000" w:rsidRDefault="00053E90">
                  <w:pPr>
                    <w:pStyle w:val="NoSpacing"/>
                    <w:tabs>
                      <w:tab w:val="left" w:pos="585"/>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Conform informa</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iei prezentate de Ministerul Transporturilor </w:t>
                  </w:r>
                  <w:r>
                    <w:rPr>
                      <w:rFonts w:ascii="Times New Roman" w:hAnsi="Times New Roman" w:cs="Times New Roman"/>
                      <w:sz w:val="28"/>
                      <w:szCs w:val="28"/>
                      <w:lang w:val="ro-RO"/>
                    </w:rPr>
                    <w:t>ș</w:t>
                  </w:r>
                  <w:r>
                    <w:rPr>
                      <w:rFonts w:ascii="Times New Roman" w:hAnsi="Times New Roman" w:cs="Times New Roman"/>
                      <w:sz w:val="28"/>
                      <w:szCs w:val="28"/>
                      <w:lang w:val="ro-RO"/>
                    </w:rPr>
                    <w:t>i Infrast</w:t>
                  </w:r>
                  <w:r>
                    <w:rPr>
                      <w:rFonts w:ascii="Times New Roman" w:hAnsi="Times New Roman" w:cs="Times New Roman"/>
                      <w:sz w:val="28"/>
                      <w:szCs w:val="28"/>
                      <w:lang w:val="ro-RO"/>
                    </w:rPr>
                    <w:t xml:space="preserve">ructurii Drumurilor parvenite de la Î.S. ”Calea Ferată din Moldova” privind numărul vagoanelor cisterne aflate în proprietate </w:t>
                  </w:r>
                  <w:r>
                    <w:rPr>
                      <w:rFonts w:ascii="Times New Roman" w:hAnsi="Times New Roman" w:cs="Times New Roman"/>
                      <w:sz w:val="28"/>
                      <w:szCs w:val="28"/>
                      <w:lang w:val="ro-RO"/>
                    </w:rPr>
                    <w:t>ș</w:t>
                  </w:r>
                  <w:r>
                    <w:rPr>
                      <w:rFonts w:ascii="Times New Roman" w:hAnsi="Times New Roman" w:cs="Times New Roman"/>
                      <w:sz w:val="28"/>
                      <w:szCs w:val="28"/>
                      <w:lang w:val="ro-RO"/>
                    </w:rPr>
                    <w:t>i în gestiune putem concluziona următoarele:</w:t>
                  </w:r>
                </w:p>
                <w:p w:rsidR="00000000" w:rsidRDefault="00053E90">
                  <w:pPr>
                    <w:rPr>
                      <w:sz w:val="28"/>
                      <w:szCs w:val="28"/>
                      <w:lang w:val="ro-RO"/>
                    </w:rPr>
                  </w:pPr>
                  <w:r>
                    <w:rPr>
                      <w:sz w:val="28"/>
                      <w:szCs w:val="28"/>
                      <w:lang w:val="ro-RO"/>
                    </w:rPr>
                    <w:t>Parcul de vagoane a CFM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73"/>
                    <w:gridCol w:w="1907"/>
                    <w:gridCol w:w="1805"/>
                    <w:gridCol w:w="1909"/>
                    <w:gridCol w:w="2114"/>
                  </w:tblGrid>
                  <w:tr w:rsidR="00000000">
                    <w:trPr>
                      <w:trHeight w:val="1020"/>
                    </w:trPr>
                    <w:tc>
                      <w:tcPr>
                        <w:tcW w:w="1487" w:type="pct"/>
                        <w:tcBorders>
                          <w:top w:val="single" w:sz="4" w:space="0" w:color="A6A6A6"/>
                          <w:left w:val="single" w:sz="4" w:space="0" w:color="A6A6A6"/>
                          <w:bottom w:val="single" w:sz="4" w:space="0" w:color="A6A6A6"/>
                          <w:right w:val="single" w:sz="4" w:space="0" w:color="A6A6A6"/>
                        </w:tcBorders>
                        <w:vAlign w:val="center"/>
                        <w:hideMark/>
                      </w:tcPr>
                      <w:p w:rsidR="00000000" w:rsidRDefault="00053E90">
                        <w:pPr>
                          <w:jc w:val="center"/>
                          <w:rPr>
                            <w:rFonts w:eastAsia="Times New Roman"/>
                            <w:sz w:val="28"/>
                            <w:szCs w:val="28"/>
                            <w:lang w:val="ro-RO" w:eastAsia="fr-FR"/>
                          </w:rPr>
                        </w:pPr>
                        <w:r>
                          <w:rPr>
                            <w:rFonts w:eastAsia="Times New Roman"/>
                            <w:sz w:val="28"/>
                            <w:szCs w:val="28"/>
                            <w:lang w:val="ro-RO" w:eastAsia="fr-FR"/>
                          </w:rPr>
                          <w:t>Tipul vagonului</w:t>
                        </w:r>
                      </w:p>
                    </w:tc>
                    <w:tc>
                      <w:tcPr>
                        <w:tcW w:w="866" w:type="pct"/>
                        <w:tcBorders>
                          <w:top w:val="single" w:sz="4" w:space="0" w:color="A6A6A6"/>
                          <w:left w:val="single" w:sz="4" w:space="0" w:color="A6A6A6"/>
                          <w:bottom w:val="single" w:sz="4" w:space="0" w:color="A6A6A6"/>
                          <w:right w:val="single" w:sz="4" w:space="0" w:color="A6A6A6"/>
                        </w:tcBorders>
                        <w:vAlign w:val="center"/>
                        <w:hideMark/>
                      </w:tcPr>
                      <w:p w:rsidR="00000000" w:rsidRDefault="00053E90">
                        <w:pPr>
                          <w:jc w:val="center"/>
                          <w:rPr>
                            <w:rFonts w:eastAsia="Times New Roman"/>
                            <w:sz w:val="28"/>
                            <w:szCs w:val="28"/>
                            <w:lang w:val="ro-RO" w:eastAsia="fr-FR"/>
                          </w:rPr>
                        </w:pPr>
                        <w:r>
                          <w:rPr>
                            <w:rFonts w:eastAsia="Times New Roman"/>
                            <w:sz w:val="28"/>
                            <w:szCs w:val="28"/>
                            <w:lang w:val="ro-RO" w:eastAsia="fr-FR"/>
                          </w:rPr>
                          <w:t>Vârsta maxima</w:t>
                        </w:r>
                      </w:p>
                    </w:tc>
                    <w:tc>
                      <w:tcPr>
                        <w:tcW w:w="820" w:type="pct"/>
                        <w:tcBorders>
                          <w:top w:val="single" w:sz="4" w:space="0" w:color="A6A6A6"/>
                          <w:left w:val="single" w:sz="4" w:space="0" w:color="A6A6A6"/>
                          <w:bottom w:val="single" w:sz="4" w:space="0" w:color="A6A6A6"/>
                          <w:right w:val="single" w:sz="4" w:space="0" w:color="A6A6A6"/>
                        </w:tcBorders>
                        <w:vAlign w:val="center"/>
                        <w:hideMark/>
                      </w:tcPr>
                      <w:p w:rsidR="00000000" w:rsidRDefault="00053E90">
                        <w:pPr>
                          <w:jc w:val="center"/>
                          <w:rPr>
                            <w:rFonts w:eastAsia="Times New Roman"/>
                            <w:sz w:val="28"/>
                            <w:szCs w:val="28"/>
                            <w:lang w:val="ro-RO" w:eastAsia="fr-FR"/>
                          </w:rPr>
                        </w:pPr>
                        <w:r>
                          <w:rPr>
                            <w:rFonts w:eastAsia="Times New Roman"/>
                            <w:sz w:val="28"/>
                            <w:szCs w:val="28"/>
                            <w:lang w:val="ro-RO" w:eastAsia="fr-FR"/>
                          </w:rPr>
                          <w:t>Număr de vagoane</w:t>
                        </w:r>
                      </w:p>
                    </w:tc>
                    <w:tc>
                      <w:tcPr>
                        <w:tcW w:w="867" w:type="pct"/>
                        <w:tcBorders>
                          <w:top w:val="single" w:sz="4" w:space="0" w:color="A6A6A6"/>
                          <w:left w:val="single" w:sz="4" w:space="0" w:color="A6A6A6"/>
                          <w:bottom w:val="single" w:sz="4" w:space="0" w:color="A6A6A6"/>
                          <w:right w:val="single" w:sz="4" w:space="0" w:color="A6A6A6"/>
                        </w:tcBorders>
                        <w:vAlign w:val="center"/>
                        <w:hideMark/>
                      </w:tcPr>
                      <w:p w:rsidR="00000000" w:rsidRDefault="00053E90">
                        <w:pPr>
                          <w:jc w:val="center"/>
                          <w:rPr>
                            <w:rFonts w:eastAsia="Times New Roman"/>
                            <w:sz w:val="28"/>
                            <w:szCs w:val="28"/>
                            <w:lang w:val="ro-RO" w:eastAsia="fr-FR"/>
                          </w:rPr>
                        </w:pPr>
                        <w:r>
                          <w:rPr>
                            <w:rFonts w:eastAsia="Times New Roman"/>
                            <w:sz w:val="28"/>
                            <w:szCs w:val="28"/>
                            <w:lang w:val="ro-RO" w:eastAsia="fr-FR"/>
                          </w:rPr>
                          <w:t>Din care, in folosin</w:t>
                        </w:r>
                        <w:r>
                          <w:rPr>
                            <w:rFonts w:eastAsia="Times New Roman"/>
                            <w:sz w:val="28"/>
                            <w:szCs w:val="28"/>
                            <w:lang w:val="ro-RO" w:eastAsia="fr-FR"/>
                          </w:rPr>
                          <w:t>ț</w:t>
                        </w:r>
                        <w:r>
                          <w:rPr>
                            <w:rFonts w:eastAsia="Times New Roman"/>
                            <w:sz w:val="28"/>
                            <w:szCs w:val="28"/>
                            <w:lang w:val="ro-RO" w:eastAsia="fr-FR"/>
                          </w:rPr>
                          <w:t>ă</w:t>
                        </w:r>
                      </w:p>
                    </w:tc>
                    <w:tc>
                      <w:tcPr>
                        <w:tcW w:w="960" w:type="pct"/>
                        <w:tcBorders>
                          <w:top w:val="single" w:sz="4" w:space="0" w:color="A6A6A6"/>
                          <w:left w:val="single" w:sz="4" w:space="0" w:color="A6A6A6"/>
                          <w:bottom w:val="single" w:sz="4" w:space="0" w:color="A6A6A6"/>
                          <w:right w:val="single" w:sz="4" w:space="0" w:color="A6A6A6"/>
                        </w:tcBorders>
                        <w:vAlign w:val="center"/>
                        <w:hideMark/>
                      </w:tcPr>
                      <w:p w:rsidR="00000000" w:rsidRDefault="00053E90">
                        <w:pPr>
                          <w:jc w:val="center"/>
                          <w:rPr>
                            <w:rFonts w:eastAsia="Times New Roman"/>
                            <w:sz w:val="28"/>
                            <w:szCs w:val="28"/>
                            <w:lang w:val="ro-RO" w:eastAsia="fr-FR"/>
                          </w:rPr>
                        </w:pPr>
                        <w:r>
                          <w:rPr>
                            <w:rFonts w:eastAsia="Times New Roman"/>
                            <w:sz w:val="28"/>
                            <w:szCs w:val="28"/>
                            <w:lang w:val="ro-RO" w:eastAsia="fr-FR"/>
                          </w:rPr>
                          <w:t>Din care, peste durata normală de exploatare</w:t>
                        </w:r>
                      </w:p>
                    </w:tc>
                  </w:tr>
                  <w:tr w:rsidR="00000000">
                    <w:tc>
                      <w:tcPr>
                        <w:tcW w:w="1487" w:type="pct"/>
                        <w:tcBorders>
                          <w:top w:val="single" w:sz="4" w:space="0" w:color="A6A6A6"/>
                          <w:left w:val="single" w:sz="4" w:space="0" w:color="A6A6A6"/>
                          <w:bottom w:val="single" w:sz="4" w:space="0" w:color="A6A6A6"/>
                          <w:right w:val="single" w:sz="4" w:space="0" w:color="A6A6A6"/>
                        </w:tcBorders>
                        <w:hideMark/>
                      </w:tcPr>
                      <w:p w:rsidR="00000000" w:rsidRDefault="00053E90">
                        <w:pPr>
                          <w:rPr>
                            <w:rFonts w:eastAsia="Times New Roman"/>
                            <w:b/>
                            <w:sz w:val="28"/>
                            <w:szCs w:val="28"/>
                            <w:lang w:val="ro-RO" w:eastAsia="fr-FR"/>
                          </w:rPr>
                        </w:pPr>
                        <w:r>
                          <w:rPr>
                            <w:rFonts w:eastAsia="Times New Roman"/>
                            <w:b/>
                            <w:sz w:val="28"/>
                            <w:szCs w:val="28"/>
                            <w:lang w:val="ro-RO" w:eastAsia="fr-FR"/>
                          </w:rPr>
                          <w:t>Cisterne</w:t>
                        </w:r>
                      </w:p>
                    </w:tc>
                    <w:tc>
                      <w:tcPr>
                        <w:tcW w:w="866"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30-32</w:t>
                        </w:r>
                      </w:p>
                    </w:tc>
                    <w:tc>
                      <w:tcPr>
                        <w:tcW w:w="82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599</w:t>
                        </w:r>
                      </w:p>
                    </w:tc>
                    <w:tc>
                      <w:tcPr>
                        <w:tcW w:w="867"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430</w:t>
                        </w:r>
                      </w:p>
                    </w:tc>
                    <w:tc>
                      <w:tcPr>
                        <w:tcW w:w="96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200</w:t>
                        </w:r>
                      </w:p>
                    </w:tc>
                  </w:tr>
                  <w:tr w:rsidR="00000000">
                    <w:tc>
                      <w:tcPr>
                        <w:tcW w:w="1487" w:type="pct"/>
                        <w:tcBorders>
                          <w:top w:val="single" w:sz="4" w:space="0" w:color="A6A6A6"/>
                          <w:left w:val="single" w:sz="4" w:space="0" w:color="A6A6A6"/>
                          <w:bottom w:val="single" w:sz="4" w:space="0" w:color="A6A6A6"/>
                          <w:right w:val="single" w:sz="4" w:space="0" w:color="A6A6A6"/>
                        </w:tcBorders>
                        <w:hideMark/>
                      </w:tcPr>
                      <w:p w:rsidR="00000000" w:rsidRDefault="00053E90">
                        <w:pPr>
                          <w:rPr>
                            <w:rFonts w:eastAsia="Times New Roman"/>
                            <w:sz w:val="28"/>
                            <w:szCs w:val="28"/>
                            <w:lang w:val="ro-RO" w:eastAsia="fr-FR"/>
                          </w:rPr>
                        </w:pPr>
                        <w:r>
                          <w:rPr>
                            <w:rFonts w:eastAsia="Times New Roman"/>
                            <w:sz w:val="28"/>
                            <w:szCs w:val="28"/>
                            <w:lang w:val="ro-RO" w:eastAsia="fr-FR"/>
                          </w:rPr>
                          <w:t>Vagoane frigorifice</w:t>
                        </w:r>
                      </w:p>
                    </w:tc>
                    <w:tc>
                      <w:tcPr>
                        <w:tcW w:w="866"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25</w:t>
                        </w:r>
                      </w:p>
                    </w:tc>
                    <w:tc>
                      <w:tcPr>
                        <w:tcW w:w="82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212</w:t>
                        </w:r>
                      </w:p>
                    </w:tc>
                    <w:tc>
                      <w:tcPr>
                        <w:tcW w:w="867"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20</w:t>
                        </w:r>
                      </w:p>
                    </w:tc>
                    <w:tc>
                      <w:tcPr>
                        <w:tcW w:w="96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99</w:t>
                        </w:r>
                      </w:p>
                    </w:tc>
                  </w:tr>
                  <w:tr w:rsidR="00000000">
                    <w:tc>
                      <w:tcPr>
                        <w:tcW w:w="1487" w:type="pct"/>
                        <w:tcBorders>
                          <w:top w:val="single" w:sz="4" w:space="0" w:color="A6A6A6"/>
                          <w:left w:val="single" w:sz="4" w:space="0" w:color="A6A6A6"/>
                          <w:bottom w:val="single" w:sz="4" w:space="0" w:color="A6A6A6"/>
                          <w:right w:val="single" w:sz="4" w:space="0" w:color="A6A6A6"/>
                        </w:tcBorders>
                        <w:hideMark/>
                      </w:tcPr>
                      <w:p w:rsidR="00000000" w:rsidRDefault="00053E90">
                        <w:pPr>
                          <w:rPr>
                            <w:rFonts w:eastAsia="Times New Roman"/>
                            <w:sz w:val="28"/>
                            <w:szCs w:val="28"/>
                            <w:lang w:val="ro-RO" w:eastAsia="fr-FR"/>
                          </w:rPr>
                        </w:pPr>
                        <w:r>
                          <w:rPr>
                            <w:rFonts w:eastAsia="Times New Roman"/>
                            <w:sz w:val="28"/>
                            <w:szCs w:val="28"/>
                            <w:lang w:val="ro-RO" w:eastAsia="fr-FR"/>
                          </w:rPr>
                          <w:lastRenderedPageBreak/>
                          <w:t>Altele</w:t>
                        </w:r>
                      </w:p>
                    </w:tc>
                    <w:tc>
                      <w:tcPr>
                        <w:tcW w:w="866"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25</w:t>
                        </w:r>
                      </w:p>
                    </w:tc>
                    <w:tc>
                      <w:tcPr>
                        <w:tcW w:w="82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253</w:t>
                        </w:r>
                      </w:p>
                    </w:tc>
                    <w:tc>
                      <w:tcPr>
                        <w:tcW w:w="867"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156</w:t>
                        </w:r>
                      </w:p>
                    </w:tc>
                    <w:tc>
                      <w:tcPr>
                        <w:tcW w:w="96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sz w:val="28"/>
                            <w:szCs w:val="28"/>
                            <w:lang w:val="ro-RO" w:eastAsia="fr-FR"/>
                          </w:rPr>
                        </w:pPr>
                        <w:r>
                          <w:rPr>
                            <w:rFonts w:eastAsia="Times New Roman"/>
                            <w:sz w:val="28"/>
                            <w:szCs w:val="28"/>
                            <w:lang w:val="ro-RO" w:eastAsia="fr-FR"/>
                          </w:rPr>
                          <w:t>97</w:t>
                        </w:r>
                      </w:p>
                    </w:tc>
                  </w:tr>
                  <w:tr w:rsidR="00000000">
                    <w:tc>
                      <w:tcPr>
                        <w:tcW w:w="1487"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TOTAL</w:t>
                        </w:r>
                      </w:p>
                    </w:tc>
                    <w:tc>
                      <w:tcPr>
                        <w:tcW w:w="866" w:type="pct"/>
                        <w:tcBorders>
                          <w:top w:val="single" w:sz="4" w:space="0" w:color="A6A6A6"/>
                          <w:left w:val="single" w:sz="4" w:space="0" w:color="A6A6A6"/>
                          <w:bottom w:val="single" w:sz="4" w:space="0" w:color="A6A6A6"/>
                          <w:right w:val="single" w:sz="4" w:space="0" w:color="A6A6A6"/>
                        </w:tcBorders>
                      </w:tcPr>
                      <w:p w:rsidR="00000000" w:rsidRDefault="00053E90">
                        <w:pPr>
                          <w:jc w:val="center"/>
                          <w:rPr>
                            <w:rFonts w:eastAsia="Times New Roman"/>
                            <w:b/>
                            <w:sz w:val="28"/>
                            <w:szCs w:val="28"/>
                            <w:lang w:val="ro-RO" w:eastAsia="fr-FR"/>
                          </w:rPr>
                        </w:pPr>
                      </w:p>
                    </w:tc>
                    <w:tc>
                      <w:tcPr>
                        <w:tcW w:w="82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1064</w:t>
                        </w:r>
                      </w:p>
                    </w:tc>
                    <w:tc>
                      <w:tcPr>
                        <w:tcW w:w="867"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606</w:t>
                        </w:r>
                      </w:p>
                    </w:tc>
                    <w:tc>
                      <w:tcPr>
                        <w:tcW w:w="960" w:type="pct"/>
                        <w:tcBorders>
                          <w:top w:val="single" w:sz="4" w:space="0" w:color="A6A6A6"/>
                          <w:left w:val="single" w:sz="4" w:space="0" w:color="A6A6A6"/>
                          <w:bottom w:val="single" w:sz="4" w:space="0" w:color="A6A6A6"/>
                          <w:right w:val="single" w:sz="4" w:space="0" w:color="A6A6A6"/>
                        </w:tcBorders>
                        <w:hideMark/>
                      </w:tcPr>
                      <w:p w:rsidR="00000000" w:rsidRDefault="00053E90">
                        <w:pPr>
                          <w:jc w:val="center"/>
                          <w:rPr>
                            <w:rFonts w:eastAsia="Times New Roman"/>
                            <w:b/>
                            <w:sz w:val="28"/>
                            <w:szCs w:val="28"/>
                            <w:lang w:val="ro-RO" w:eastAsia="fr-FR"/>
                          </w:rPr>
                        </w:pPr>
                        <w:r>
                          <w:rPr>
                            <w:rFonts w:eastAsia="Times New Roman"/>
                            <w:b/>
                            <w:sz w:val="28"/>
                            <w:szCs w:val="28"/>
                            <w:lang w:val="ro-RO" w:eastAsia="fr-FR"/>
                          </w:rPr>
                          <w:t>396</w:t>
                        </w:r>
                      </w:p>
                    </w:tc>
                  </w:tr>
                </w:tbl>
                <w:p w:rsidR="00000000" w:rsidRDefault="00053E90">
                  <w:pPr>
                    <w:rPr>
                      <w:sz w:val="28"/>
                      <w:szCs w:val="28"/>
                      <w:lang w:val="ro-RO"/>
                    </w:rPr>
                  </w:pPr>
                </w:p>
                <w:p w:rsidR="00000000" w:rsidRDefault="00053E90">
                  <w:pPr>
                    <w:pStyle w:val="ListParagraph"/>
                    <w:tabs>
                      <w:tab w:val="left" w:pos="562"/>
                    </w:tabs>
                    <w:ind w:left="14" w:firstLine="346"/>
                    <w:jc w:val="both"/>
                    <w:rPr>
                      <w:sz w:val="28"/>
                      <w:szCs w:val="28"/>
                      <w:lang w:val="ro-RO"/>
                    </w:rPr>
                  </w:pPr>
                  <w:r>
                    <w:rPr>
                      <w:sz w:val="28"/>
                      <w:szCs w:val="28"/>
                      <w:lang w:val="ro-RO"/>
                    </w:rPr>
                    <w:t xml:space="preserve">  În prezent, în structura parcului rulant feroviar </w:t>
                  </w:r>
                  <w:r>
                    <w:rPr>
                      <w:sz w:val="28"/>
                      <w:szCs w:val="28"/>
                      <w:lang w:val="ro-RO"/>
                    </w:rPr>
                    <w:t>sunt înregistrate 599 vagoane cisterne, ceea ce constituie cca. 8,51%.</w:t>
                  </w:r>
                </w:p>
                <w:p w:rsidR="00000000" w:rsidRDefault="00053E90">
                  <w:pPr>
                    <w:tabs>
                      <w:tab w:val="left" w:pos="562"/>
                    </w:tabs>
                    <w:jc w:val="both"/>
                    <w:rPr>
                      <w:sz w:val="28"/>
                      <w:szCs w:val="28"/>
                      <w:lang w:val="ro-RO"/>
                    </w:rPr>
                  </w:pPr>
                  <w:r>
                    <w:rPr>
                      <w:sz w:val="28"/>
                      <w:szCs w:val="28"/>
                      <w:lang w:val="ro-RO"/>
                    </w:rPr>
                    <w:t xml:space="preserve">       Doar 430 vagoane cisternă sunt în exploatare, ce reprezintă cca. 72%.</w:t>
                  </w:r>
                </w:p>
                <w:p w:rsidR="00000000" w:rsidRDefault="00053E90">
                  <w:pPr>
                    <w:jc w:val="both"/>
                    <w:rPr>
                      <w:sz w:val="28"/>
                      <w:szCs w:val="28"/>
                      <w:lang w:val="ro-RO"/>
                    </w:rPr>
                  </w:pPr>
                  <w:r>
                    <w:rPr>
                      <w:sz w:val="28"/>
                      <w:szCs w:val="28"/>
                      <w:lang w:val="ro-RO"/>
                    </w:rPr>
                    <w:t xml:space="preserve">       În cazul a 200 vagoane cisternă termenul de exploatare depă</w:t>
                  </w:r>
                  <w:r>
                    <w:rPr>
                      <w:sz w:val="28"/>
                      <w:szCs w:val="28"/>
                      <w:lang w:val="ro-RO"/>
                    </w:rPr>
                    <w:t>ș</w:t>
                  </w:r>
                  <w:r>
                    <w:rPr>
                      <w:sz w:val="28"/>
                      <w:szCs w:val="28"/>
                      <w:lang w:val="ro-RO"/>
                    </w:rPr>
                    <w:t>e</w:t>
                  </w:r>
                  <w:r>
                    <w:rPr>
                      <w:sz w:val="28"/>
                      <w:szCs w:val="28"/>
                      <w:lang w:val="ro-RO"/>
                    </w:rPr>
                    <w:t>ș</w:t>
                  </w:r>
                  <w:r>
                    <w:rPr>
                      <w:sz w:val="28"/>
                      <w:szCs w:val="28"/>
                      <w:lang w:val="ro-RO"/>
                    </w:rPr>
                    <w:t xml:space="preserve">te termenul normativ de exploatare, ce </w:t>
                  </w:r>
                  <w:r>
                    <w:rPr>
                      <w:sz w:val="28"/>
                      <w:szCs w:val="28"/>
                      <w:lang w:val="ro-RO"/>
                    </w:rPr>
                    <w:t xml:space="preserve">constituie cca. 33,4%.      </w:t>
                  </w:r>
                </w:p>
                <w:p w:rsidR="00000000" w:rsidRDefault="00053E90">
                  <w:pPr>
                    <w:tabs>
                      <w:tab w:val="left" w:pos="577"/>
                    </w:tabs>
                    <w:ind w:firstLine="567"/>
                    <w:jc w:val="both"/>
                    <w:rPr>
                      <w:sz w:val="28"/>
                      <w:szCs w:val="28"/>
                      <w:lang w:val="ro-RO"/>
                    </w:rPr>
                  </w:pPr>
                  <w:r>
                    <w:rPr>
                      <w:sz w:val="28"/>
                      <w:szCs w:val="28"/>
                      <w:lang w:val="ro-RO"/>
                    </w:rPr>
                    <w:t>Men</w:t>
                  </w:r>
                  <w:r>
                    <w:rPr>
                      <w:sz w:val="28"/>
                      <w:szCs w:val="28"/>
                      <w:lang w:val="ro-RO"/>
                    </w:rPr>
                    <w:t>ț</w:t>
                  </w:r>
                  <w:r>
                    <w:rPr>
                      <w:sz w:val="28"/>
                      <w:szCs w:val="28"/>
                      <w:lang w:val="ro-RO"/>
                    </w:rPr>
                    <w:t>ionăm că conform normativelor tehnice în vigoare termenul de exploatare al vagoanelor cisterne este de 30 ani.</w:t>
                  </w:r>
                </w:p>
                <w:p w:rsidR="00000000" w:rsidRDefault="00053E90">
                  <w:pPr>
                    <w:tabs>
                      <w:tab w:val="left" w:pos="577"/>
                    </w:tabs>
                    <w:ind w:firstLine="567"/>
                    <w:jc w:val="both"/>
                    <w:rPr>
                      <w:rFonts w:eastAsia="Times New Roman"/>
                      <w:b/>
                      <w:bCs/>
                      <w:sz w:val="28"/>
                      <w:szCs w:val="28"/>
                      <w:lang w:val="ro-RO"/>
                    </w:rPr>
                  </w:pPr>
                  <w:r>
                    <w:rPr>
                      <w:rFonts w:eastAsia="MS Mincho"/>
                      <w:sz w:val="28"/>
                      <w:szCs w:val="28"/>
                      <w:lang w:val="ro-RO" w:eastAsia="ja-JP"/>
                    </w:rPr>
                    <w:t xml:space="preserve">Conform datelor Î.S. ”CRIS ”REGISTRU” </w:t>
                  </w:r>
                  <w:r>
                    <w:rPr>
                      <w:sz w:val="28"/>
                      <w:szCs w:val="28"/>
                      <w:lang w:val="ro-RO"/>
                    </w:rPr>
                    <w:t>referitor la datele statistice cu privire la mijloacele de transport din r</w:t>
                  </w:r>
                  <w:r>
                    <w:rPr>
                      <w:sz w:val="28"/>
                      <w:szCs w:val="28"/>
                      <w:lang w:val="ro-RO"/>
                    </w:rPr>
                    <w:t>egistrul de stat al transporturilor, în perioada anilor 2005-2016</w:t>
                  </w:r>
                  <w:r>
                    <w:rPr>
                      <w:rFonts w:eastAsia="MS Mincho"/>
                      <w:sz w:val="28"/>
                      <w:szCs w:val="28"/>
                      <w:lang w:val="ro-RO" w:eastAsia="ja-JP"/>
                    </w:rPr>
                    <w:t xml:space="preserve"> în Republica Moldova au fost înmatriculate </w:t>
                  </w:r>
                  <w:r>
                    <w:rPr>
                      <w:rFonts w:eastAsia="MS Mincho"/>
                      <w:b/>
                      <w:sz w:val="28"/>
                      <w:szCs w:val="28"/>
                      <w:lang w:val="ro-RO" w:eastAsia="ja-JP"/>
                    </w:rPr>
                    <w:t>65283</w:t>
                  </w:r>
                  <w:r>
                    <w:rPr>
                      <w:rFonts w:eastAsia="MS Mincho"/>
                      <w:sz w:val="28"/>
                      <w:szCs w:val="28"/>
                      <w:lang w:val="ro-RO" w:eastAsia="ja-JP"/>
                    </w:rPr>
                    <w:t xml:space="preserve"> </w:t>
                  </w:r>
                  <w:r>
                    <w:rPr>
                      <w:rFonts w:eastAsia="MS Mincho"/>
                      <w:b/>
                      <w:sz w:val="28"/>
                      <w:szCs w:val="28"/>
                      <w:lang w:val="ro-RO" w:eastAsia="ja-JP"/>
                    </w:rPr>
                    <w:t>de a</w:t>
                  </w:r>
                  <w:r>
                    <w:rPr>
                      <w:rFonts w:eastAsia="Times New Roman"/>
                      <w:b/>
                      <w:bCs/>
                      <w:sz w:val="28"/>
                      <w:szCs w:val="28"/>
                      <w:lang w:val="ro-RO"/>
                    </w:rPr>
                    <w:t>utovehicule dotate cu sisteme de alimentare cu gaze,</w:t>
                  </w:r>
                </w:p>
                <w:p w:rsidR="00000000" w:rsidRDefault="00053E90">
                  <w:pPr>
                    <w:tabs>
                      <w:tab w:val="left" w:pos="577"/>
                    </w:tabs>
                    <w:ind w:firstLine="567"/>
                    <w:jc w:val="both"/>
                    <w:rPr>
                      <w:rFonts w:eastAsia="Times New Roman"/>
                      <w:b/>
                      <w:bCs/>
                      <w:sz w:val="28"/>
                      <w:szCs w:val="28"/>
                      <w:lang w:val="ro-RO"/>
                    </w:rPr>
                  </w:pPr>
                  <w:r>
                    <w:rPr>
                      <w:rFonts w:eastAsia="Times New Roman"/>
                      <w:b/>
                      <w:bCs/>
                      <w:sz w:val="28"/>
                      <w:szCs w:val="28"/>
                      <w:lang w:val="ro-RO"/>
                    </w:rPr>
                    <w:t xml:space="preserve">66 de cisterne </w:t>
                  </w:r>
                  <w:r>
                    <w:rPr>
                      <w:rFonts w:eastAsia="Times New Roman"/>
                      <w:b/>
                      <w:bCs/>
                      <w:sz w:val="28"/>
                      <w:szCs w:val="28"/>
                      <w:lang w:val="ro-RO"/>
                    </w:rPr>
                    <w:t>ș</w:t>
                  </w:r>
                  <w:r>
                    <w:rPr>
                      <w:rFonts w:eastAsia="Times New Roman"/>
                      <w:b/>
                      <w:bCs/>
                      <w:sz w:val="28"/>
                      <w:szCs w:val="28"/>
                      <w:lang w:val="ro-RO"/>
                    </w:rPr>
                    <w:t>i 130 de autocisterne utilizate pentru transportarea gazelor petroli</w:t>
                  </w:r>
                  <w:r>
                    <w:rPr>
                      <w:rFonts w:eastAsia="Times New Roman"/>
                      <w:b/>
                      <w:bCs/>
                      <w:sz w:val="28"/>
                      <w:szCs w:val="28"/>
                      <w:lang w:val="ro-RO"/>
                    </w:rPr>
                    <w:t>ere lichefiate.</w:t>
                  </w:r>
                </w:p>
                <w:p w:rsidR="00000000" w:rsidRDefault="00053E90">
                  <w:pPr>
                    <w:tabs>
                      <w:tab w:val="left" w:pos="577"/>
                    </w:tabs>
                    <w:ind w:firstLine="567"/>
                    <w:jc w:val="both"/>
                    <w:rPr>
                      <w:sz w:val="28"/>
                      <w:szCs w:val="28"/>
                      <w:lang w:val="ro-RO"/>
                    </w:rPr>
                  </w:pPr>
                  <w:r>
                    <w:rPr>
                      <w:rFonts w:eastAsia="Times New Roman"/>
                      <w:bCs/>
                      <w:sz w:val="28"/>
                      <w:szCs w:val="28"/>
                      <w:lang w:val="ro-RO"/>
                    </w:rPr>
                    <w:t xml:space="preserve">O analiza mai amplă a datelor statistice este prezentată în tabelul nr.1 </w:t>
                  </w:r>
                  <w:r>
                    <w:rPr>
                      <w:rFonts w:eastAsia="Times New Roman"/>
                      <w:bCs/>
                      <w:sz w:val="28"/>
                      <w:szCs w:val="28"/>
                      <w:lang w:val="ro-RO"/>
                    </w:rPr>
                    <w:t>ș</w:t>
                  </w:r>
                  <w:r>
                    <w:rPr>
                      <w:rFonts w:eastAsia="Times New Roman"/>
                      <w:bCs/>
                      <w:sz w:val="28"/>
                      <w:szCs w:val="28"/>
                      <w:lang w:val="ro-RO"/>
                    </w:rPr>
                    <w:t>i nr.2.</w:t>
                  </w:r>
                </w:p>
                <w:p w:rsidR="00000000" w:rsidRDefault="00053E90">
                  <w:pPr>
                    <w:tabs>
                      <w:tab w:val="left" w:pos="577"/>
                    </w:tabs>
                    <w:ind w:firstLine="567"/>
                    <w:jc w:val="both"/>
                    <w:rPr>
                      <w:sz w:val="28"/>
                      <w:szCs w:val="28"/>
                      <w:lang w:val="ro-RO"/>
                    </w:rPr>
                  </w:pPr>
                  <w:r>
                    <w:rPr>
                      <w:sz w:val="28"/>
                      <w:szCs w:val="28"/>
                      <w:lang w:val="ro-RO"/>
                    </w:rPr>
                    <w:t xml:space="preserve">                                                                                  </w:t>
                  </w:r>
                </w:p>
                <w:p w:rsidR="00000000" w:rsidRDefault="00053E90">
                  <w:pPr>
                    <w:tabs>
                      <w:tab w:val="left" w:pos="577"/>
                    </w:tabs>
                    <w:jc w:val="both"/>
                    <w:rPr>
                      <w:b/>
                      <w:sz w:val="28"/>
                      <w:szCs w:val="28"/>
                      <w:lang w:val="ro-RO"/>
                    </w:rPr>
                  </w:pPr>
                  <w:r>
                    <w:rPr>
                      <w:sz w:val="28"/>
                      <w:szCs w:val="28"/>
                      <w:lang w:val="ro-RO"/>
                    </w:rPr>
                    <w:t xml:space="preserve">        </w:t>
                  </w:r>
                  <w:r>
                    <w:rPr>
                      <w:b/>
                      <w:sz w:val="28"/>
                      <w:szCs w:val="28"/>
                      <w:lang w:val="ro-RO"/>
                    </w:rPr>
                    <w:t>Tabelul nr.1</w:t>
                  </w:r>
                </w:p>
                <w:tbl>
                  <w:tblPr>
                    <w:tblW w:w="8198" w:type="dxa"/>
                    <w:tblLook w:val="04A0" w:firstRow="1" w:lastRow="0" w:firstColumn="1" w:lastColumn="0" w:noHBand="0" w:noVBand="1"/>
                  </w:tblPr>
                  <w:tblGrid>
                    <w:gridCol w:w="3179"/>
                    <w:gridCol w:w="5019"/>
                  </w:tblGrid>
                  <w:tr w:rsidR="00000000">
                    <w:trPr>
                      <w:trHeight w:val="633"/>
                    </w:trPr>
                    <w:tc>
                      <w:tcPr>
                        <w:tcW w:w="8198"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53E90">
                        <w:pPr>
                          <w:jc w:val="center"/>
                          <w:rPr>
                            <w:rFonts w:eastAsia="Times New Roman"/>
                            <w:bCs/>
                            <w:sz w:val="28"/>
                            <w:szCs w:val="28"/>
                            <w:lang w:val="ro-RO"/>
                          </w:rPr>
                        </w:pPr>
                        <w:r>
                          <w:rPr>
                            <w:rFonts w:eastAsia="Times New Roman"/>
                            <w:bCs/>
                            <w:sz w:val="28"/>
                            <w:szCs w:val="28"/>
                            <w:lang w:val="ro-RO"/>
                          </w:rPr>
                          <w:t xml:space="preserve">Numărul autovehiculelor dotate </w:t>
                        </w:r>
                        <w:r>
                          <w:rPr>
                            <w:rFonts w:eastAsia="Times New Roman"/>
                            <w:bCs/>
                            <w:sz w:val="28"/>
                            <w:szCs w:val="28"/>
                            <w:lang w:val="ro-RO"/>
                          </w:rPr>
                          <w:t>cu sisteme de alimentare cu gaze, înmatriculate pe teritoriul RM în perioada 2005-2016.</w:t>
                        </w:r>
                      </w:p>
                    </w:tc>
                  </w:tr>
                  <w:tr w:rsidR="00000000">
                    <w:trPr>
                      <w:trHeight w:val="495"/>
                    </w:trPr>
                    <w:tc>
                      <w:tcPr>
                        <w:tcW w:w="3179" w:type="dxa"/>
                        <w:tcBorders>
                          <w:top w:val="single" w:sz="4" w:space="0" w:color="auto"/>
                          <w:left w:val="single" w:sz="4" w:space="0" w:color="auto"/>
                          <w:bottom w:val="single" w:sz="4" w:space="0" w:color="auto"/>
                          <w:right w:val="single" w:sz="4" w:space="0" w:color="auto"/>
                        </w:tcBorders>
                        <w:noWrap/>
                        <w:vAlign w:val="center"/>
                        <w:hideMark/>
                      </w:tcPr>
                      <w:p w:rsidR="00000000" w:rsidRDefault="00053E90">
                        <w:pPr>
                          <w:jc w:val="center"/>
                          <w:rPr>
                            <w:rFonts w:eastAsia="Times New Roman"/>
                            <w:bCs/>
                            <w:sz w:val="28"/>
                            <w:szCs w:val="28"/>
                            <w:lang w:val="ro-RO"/>
                          </w:rPr>
                        </w:pPr>
                        <w:r>
                          <w:rPr>
                            <w:rFonts w:eastAsia="Times New Roman"/>
                            <w:bCs/>
                            <w:sz w:val="28"/>
                            <w:szCs w:val="28"/>
                            <w:lang w:val="ro-RO"/>
                          </w:rPr>
                          <w:t>Anul înmatriculării</w:t>
                        </w:r>
                      </w:p>
                    </w:tc>
                    <w:tc>
                      <w:tcPr>
                        <w:tcW w:w="5019" w:type="dxa"/>
                        <w:tcBorders>
                          <w:top w:val="single" w:sz="4" w:space="0" w:color="auto"/>
                          <w:left w:val="nil"/>
                          <w:bottom w:val="single" w:sz="4" w:space="0" w:color="auto"/>
                          <w:right w:val="single" w:sz="4" w:space="0" w:color="auto"/>
                        </w:tcBorders>
                        <w:noWrap/>
                        <w:vAlign w:val="center"/>
                        <w:hideMark/>
                      </w:tcPr>
                      <w:p w:rsidR="00000000" w:rsidRDefault="00053E90">
                        <w:pPr>
                          <w:jc w:val="center"/>
                          <w:rPr>
                            <w:rFonts w:eastAsia="Times New Roman"/>
                            <w:bCs/>
                            <w:sz w:val="28"/>
                            <w:szCs w:val="28"/>
                            <w:lang w:val="ro-RO"/>
                          </w:rPr>
                        </w:pPr>
                        <w:r>
                          <w:rPr>
                            <w:rFonts w:eastAsia="Times New Roman"/>
                            <w:bCs/>
                            <w:sz w:val="28"/>
                            <w:szCs w:val="28"/>
                            <w:lang w:val="ro-RO"/>
                          </w:rPr>
                          <w:t xml:space="preserve">Numărul de autovehicule </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2005</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4559</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2006</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18224</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2007</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21072</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2008</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25624</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2009</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29294</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2010</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34313</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2011</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41742</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2012</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49170</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2013</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53994</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2014</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58499</w:t>
                        </w:r>
                      </w:p>
                    </w:tc>
                  </w:tr>
                  <w:tr w:rsidR="00000000">
                    <w:trPr>
                      <w:trHeight w:val="300"/>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2015</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61809</w:t>
                        </w:r>
                      </w:p>
                    </w:tc>
                  </w:tr>
                  <w:tr w:rsidR="00000000">
                    <w:trPr>
                      <w:trHeight w:val="315"/>
                    </w:trPr>
                    <w:tc>
                      <w:tcPr>
                        <w:tcW w:w="3179"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2016</w:t>
                        </w:r>
                      </w:p>
                    </w:tc>
                    <w:tc>
                      <w:tcPr>
                        <w:tcW w:w="5019"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65283</w:t>
                        </w:r>
                      </w:p>
                    </w:tc>
                  </w:tr>
                </w:tbl>
                <w:p w:rsidR="00000000" w:rsidRDefault="00053E90">
                  <w:pPr>
                    <w:pStyle w:val="NoSpacing"/>
                    <w:tabs>
                      <w:tab w:val="left" w:pos="585"/>
                    </w:tabs>
                    <w:jc w:val="both"/>
                    <w:rPr>
                      <w:rFonts w:ascii="Times New Roman" w:eastAsia="MS Mincho" w:hAnsi="Times New Roman" w:cs="Times New Roman"/>
                      <w:sz w:val="28"/>
                      <w:szCs w:val="28"/>
                      <w:lang w:val="ro-RO" w:eastAsia="ja-JP"/>
                    </w:rPr>
                  </w:pPr>
                </w:p>
                <w:p w:rsidR="00000000" w:rsidRDefault="00053E90">
                  <w:pPr>
                    <w:pStyle w:val="NoSpacing"/>
                    <w:tabs>
                      <w:tab w:val="left" w:pos="585"/>
                    </w:tabs>
                    <w:jc w:val="both"/>
                    <w:rPr>
                      <w:rFonts w:ascii="Times New Roman" w:eastAsia="Times New Roman" w:hAnsi="Times New Roman" w:cs="Times New Roman"/>
                      <w:bCs/>
                      <w:sz w:val="28"/>
                      <w:szCs w:val="28"/>
                      <w:lang w:val="ro-RO"/>
                    </w:rPr>
                  </w:pPr>
                  <w:r>
                    <w:rPr>
                      <w:rFonts w:ascii="Times New Roman" w:eastAsia="MS Mincho" w:hAnsi="Times New Roman" w:cs="Times New Roman"/>
                      <w:sz w:val="28"/>
                      <w:szCs w:val="28"/>
                      <w:lang w:val="ro-RO" w:eastAsia="ja-JP"/>
                    </w:rPr>
                    <w:t>Analiza informa</w:t>
                  </w:r>
                  <w:r>
                    <w:rPr>
                      <w:rFonts w:ascii="Times New Roman" w:eastAsia="MS Mincho" w:hAnsi="Times New Roman" w:cs="Times New Roman"/>
                      <w:sz w:val="28"/>
                      <w:szCs w:val="28"/>
                      <w:lang w:val="ro-RO" w:eastAsia="ja-JP"/>
                    </w:rPr>
                    <w:t>ț</w:t>
                  </w:r>
                  <w:r>
                    <w:rPr>
                      <w:rFonts w:ascii="Times New Roman" w:eastAsia="MS Mincho" w:hAnsi="Times New Roman" w:cs="Times New Roman"/>
                      <w:sz w:val="28"/>
                      <w:szCs w:val="28"/>
                      <w:lang w:val="ro-RO" w:eastAsia="ja-JP"/>
                    </w:rPr>
                    <w:t>iei tabelului nr.1 este reflectată în diagrama nr.1 care denotă o tendin</w:t>
                  </w:r>
                  <w:r>
                    <w:rPr>
                      <w:rFonts w:ascii="Times New Roman" w:eastAsia="MS Mincho" w:hAnsi="Times New Roman" w:cs="Times New Roman"/>
                      <w:sz w:val="28"/>
                      <w:szCs w:val="28"/>
                      <w:lang w:val="ro-RO" w:eastAsia="ja-JP"/>
                    </w:rPr>
                    <w:t>ț</w:t>
                  </w:r>
                  <w:r>
                    <w:rPr>
                      <w:rFonts w:ascii="Times New Roman" w:eastAsia="MS Mincho" w:hAnsi="Times New Roman" w:cs="Times New Roman"/>
                      <w:sz w:val="28"/>
                      <w:szCs w:val="28"/>
                      <w:lang w:val="ro-RO" w:eastAsia="ja-JP"/>
                    </w:rPr>
                    <w:t>ă de cre</w:t>
                  </w:r>
                  <w:r>
                    <w:rPr>
                      <w:rFonts w:ascii="Times New Roman" w:eastAsia="MS Mincho" w:hAnsi="Times New Roman" w:cs="Times New Roman"/>
                      <w:sz w:val="28"/>
                      <w:szCs w:val="28"/>
                      <w:lang w:val="ro-RO" w:eastAsia="ja-JP"/>
                    </w:rPr>
                    <w:t>ș</w:t>
                  </w:r>
                  <w:r>
                    <w:rPr>
                      <w:rFonts w:ascii="Times New Roman" w:eastAsia="MS Mincho" w:hAnsi="Times New Roman" w:cs="Times New Roman"/>
                      <w:sz w:val="28"/>
                      <w:szCs w:val="28"/>
                      <w:lang w:val="ro-RO" w:eastAsia="ja-JP"/>
                    </w:rPr>
                    <w:t>tere a n</w:t>
                  </w:r>
                  <w:r>
                    <w:rPr>
                      <w:rFonts w:ascii="Times New Roman" w:eastAsia="Times New Roman" w:hAnsi="Times New Roman" w:cs="Times New Roman"/>
                      <w:bCs/>
                      <w:sz w:val="28"/>
                      <w:szCs w:val="28"/>
                      <w:lang w:val="ro-RO"/>
                    </w:rPr>
                    <w:t>umărului de autovehicule dotate cu sisteme de alimentare cu gaze, înmatriculate pe teritoriul RM.</w:t>
                  </w:r>
                </w:p>
                <w:p w:rsidR="00000000" w:rsidRDefault="00053E90">
                  <w:pPr>
                    <w:pStyle w:val="NoSpacing"/>
                    <w:tabs>
                      <w:tab w:val="left" w:pos="585"/>
                    </w:tabs>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w:t>
                  </w:r>
                </w:p>
                <w:p w:rsidR="00000000" w:rsidRDefault="00053E90">
                  <w:pPr>
                    <w:pStyle w:val="NoSpacing"/>
                    <w:tabs>
                      <w:tab w:val="left" w:pos="585"/>
                    </w:tabs>
                    <w:rPr>
                      <w:rFonts w:ascii="Times New Roman" w:eastAsia="Times New Roman" w:hAnsi="Times New Roman" w:cs="Times New Roman"/>
                      <w:b/>
                      <w:bCs/>
                      <w:sz w:val="28"/>
                      <w:szCs w:val="28"/>
                      <w:lang w:val="ro-RO"/>
                    </w:rPr>
                  </w:pPr>
                  <w:r>
                    <w:rPr>
                      <w:rFonts w:ascii="Times New Roman" w:eastAsia="Times New Roman" w:hAnsi="Times New Roman" w:cs="Times New Roman"/>
                      <w:bCs/>
                      <w:sz w:val="28"/>
                      <w:szCs w:val="28"/>
                      <w:lang w:val="ro-RO"/>
                    </w:rPr>
                    <w:t xml:space="preserve">       </w:t>
                  </w:r>
                  <w:r>
                    <w:rPr>
                      <w:rFonts w:ascii="Times New Roman" w:eastAsia="Times New Roman" w:hAnsi="Times New Roman" w:cs="Times New Roman"/>
                      <w:b/>
                      <w:bCs/>
                      <w:sz w:val="28"/>
                      <w:szCs w:val="28"/>
                      <w:lang w:val="ro-RO"/>
                    </w:rPr>
                    <w:t>Diagrama nr.1</w:t>
                  </w:r>
                </w:p>
                <w:p w:rsidR="00000000" w:rsidRDefault="00053E90">
                  <w:pPr>
                    <w:pStyle w:val="NoSpacing"/>
                    <w:tabs>
                      <w:tab w:val="left" w:pos="585"/>
                    </w:tabs>
                    <w:jc w:val="both"/>
                    <w:rPr>
                      <w:rFonts w:ascii="Times New Roman" w:eastAsia="Times New Roman" w:hAnsi="Times New Roman" w:cs="Times New Roman"/>
                      <w:bCs/>
                      <w:sz w:val="28"/>
                      <w:szCs w:val="28"/>
                      <w:lang w:val="ro-RO"/>
                    </w:rPr>
                  </w:pPr>
                </w:p>
                <w:p w:rsidR="00000000" w:rsidRDefault="00053E90">
                  <w:pPr>
                    <w:pStyle w:val="NoSpacing"/>
                    <w:tabs>
                      <w:tab w:val="left" w:pos="585"/>
                    </w:tabs>
                    <w:jc w:val="both"/>
                    <w:rPr>
                      <w:rFonts w:ascii="Times New Roman" w:hAnsi="Times New Roman" w:cs="Times New Roman"/>
                      <w:sz w:val="28"/>
                      <w:szCs w:val="28"/>
                      <w:lang w:val="ro-RO"/>
                    </w:rPr>
                  </w:pPr>
                  <w:r>
                    <w:rPr>
                      <w:rFonts w:ascii="Times New Roman" w:hAnsi="Times New Roman" w:cs="Times New Roman"/>
                      <w:noProof/>
                      <w:sz w:val="28"/>
                      <w:szCs w:val="28"/>
                    </w:rPr>
                    <w:lastRenderedPageBreak/>
                    <w:drawing>
                      <wp:inline distT="0" distB="0" distL="0" distR="0">
                        <wp:extent cx="4581525" cy="27527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000000" w:rsidRDefault="00053E90">
                  <w:pPr>
                    <w:pStyle w:val="NoSpacing"/>
                    <w:tabs>
                      <w:tab w:val="left" w:pos="585"/>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00000" w:rsidRDefault="00053E90">
                  <w:pPr>
                    <w:pStyle w:val="NoSpacing"/>
                    <w:tabs>
                      <w:tab w:val="left" w:pos="585"/>
                    </w:tabs>
                    <w:jc w:val="both"/>
                    <w:rPr>
                      <w:rFonts w:ascii="Times New Roman" w:hAnsi="Times New Roman" w:cs="Times New Roman"/>
                      <w:b/>
                      <w:sz w:val="28"/>
                      <w:szCs w:val="28"/>
                      <w:lang w:val="ro-RO"/>
                    </w:rPr>
                  </w:pPr>
                  <w:r>
                    <w:rPr>
                      <w:rFonts w:ascii="Times New Roman" w:hAnsi="Times New Roman" w:cs="Times New Roman"/>
                      <w:b/>
                      <w:sz w:val="28"/>
                      <w:szCs w:val="28"/>
                      <w:lang w:val="ro-RO"/>
                    </w:rPr>
                    <w:t>Tabelul nr.2</w:t>
                  </w:r>
                </w:p>
                <w:p w:rsidR="00000000" w:rsidRDefault="00053E90">
                  <w:pPr>
                    <w:pStyle w:val="NoSpacing"/>
                    <w:tabs>
                      <w:tab w:val="left" w:pos="585"/>
                    </w:tabs>
                    <w:jc w:val="both"/>
                    <w:rPr>
                      <w:rFonts w:ascii="Times New Roman" w:hAnsi="Times New Roman" w:cs="Times New Roman"/>
                      <w:b/>
                      <w:sz w:val="28"/>
                      <w:szCs w:val="28"/>
                      <w:lang w:val="ro-RO"/>
                    </w:rPr>
                  </w:pPr>
                </w:p>
                <w:tbl>
                  <w:tblPr>
                    <w:tblW w:w="8160" w:type="dxa"/>
                    <w:tblLook w:val="04A0" w:firstRow="1" w:lastRow="0" w:firstColumn="1" w:lastColumn="0" w:noHBand="0" w:noVBand="1"/>
                  </w:tblPr>
                  <w:tblGrid>
                    <w:gridCol w:w="2467"/>
                    <w:gridCol w:w="2572"/>
                    <w:gridCol w:w="3121"/>
                  </w:tblGrid>
                  <w:tr w:rsidR="00000000">
                    <w:trPr>
                      <w:trHeight w:val="855"/>
                    </w:trPr>
                    <w:tc>
                      <w:tcPr>
                        <w:tcW w:w="8160" w:type="dxa"/>
                        <w:gridSpan w:val="3"/>
                        <w:tcBorders>
                          <w:top w:val="single" w:sz="4" w:space="0" w:color="auto"/>
                          <w:left w:val="single" w:sz="4" w:space="0" w:color="auto"/>
                          <w:bottom w:val="single" w:sz="4" w:space="0" w:color="auto"/>
                          <w:right w:val="single" w:sz="4" w:space="0" w:color="auto"/>
                        </w:tcBorders>
                        <w:vAlign w:val="center"/>
                        <w:hideMark/>
                      </w:tcPr>
                      <w:p w:rsidR="00000000" w:rsidRDefault="00053E90">
                        <w:pPr>
                          <w:jc w:val="center"/>
                          <w:rPr>
                            <w:rFonts w:eastAsia="Times New Roman"/>
                            <w:bCs/>
                            <w:sz w:val="28"/>
                            <w:szCs w:val="28"/>
                            <w:lang w:val="ro-RO"/>
                          </w:rPr>
                        </w:pPr>
                        <w:r>
                          <w:rPr>
                            <w:rFonts w:eastAsia="Times New Roman"/>
                            <w:bCs/>
                            <w:sz w:val="28"/>
                            <w:szCs w:val="28"/>
                            <w:lang w:val="ro-RO"/>
                          </w:rPr>
                          <w:t>Numărul de cisterne, autocisterne utilizate pentru transportarea gazelor petroliere lichefiate, înmatriculate pe teritoriul RM în perioada 2005-2016.</w:t>
                        </w:r>
                      </w:p>
                    </w:tc>
                  </w:tr>
                  <w:tr w:rsidR="00000000">
                    <w:trPr>
                      <w:trHeight w:val="300"/>
                    </w:trPr>
                    <w:tc>
                      <w:tcPr>
                        <w:tcW w:w="2467" w:type="dxa"/>
                        <w:tcBorders>
                          <w:top w:val="single" w:sz="4" w:space="0" w:color="auto"/>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Anul înmatriculării</w:t>
                        </w:r>
                      </w:p>
                    </w:tc>
                    <w:tc>
                      <w:tcPr>
                        <w:tcW w:w="2572" w:type="dxa"/>
                        <w:tcBorders>
                          <w:top w:val="single" w:sz="4" w:space="0" w:color="auto"/>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 xml:space="preserve">Numărul de cisterne </w:t>
                        </w:r>
                      </w:p>
                    </w:tc>
                    <w:tc>
                      <w:tcPr>
                        <w:tcW w:w="3121" w:type="dxa"/>
                        <w:tcBorders>
                          <w:top w:val="single" w:sz="4" w:space="0" w:color="auto"/>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lang w:val="ro-RO"/>
                          </w:rPr>
                        </w:pPr>
                        <w:r>
                          <w:rPr>
                            <w:rFonts w:eastAsia="Times New Roman"/>
                            <w:bCs/>
                            <w:sz w:val="28"/>
                            <w:szCs w:val="28"/>
                            <w:lang w:val="ro-RO"/>
                          </w:rPr>
                          <w:t xml:space="preserve">Numărul de autocisterne </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2005</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3</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2006</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2007</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6</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2008</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8</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2009</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8</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2010</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8</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2011</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4</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9</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2012</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5</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11</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2013</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5</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14</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2014</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6</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14</w:t>
                        </w:r>
                      </w:p>
                    </w:tc>
                  </w:tr>
                  <w:tr w:rsidR="00000000">
                    <w:trPr>
                      <w:trHeight w:val="300"/>
                    </w:trPr>
                    <w:tc>
                      <w:tcPr>
                        <w:tcW w:w="2467" w:type="dxa"/>
                        <w:tcBorders>
                          <w:top w:val="nil"/>
                          <w:left w:val="single" w:sz="4" w:space="0" w:color="auto"/>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2015</w:t>
                        </w:r>
                      </w:p>
                    </w:tc>
                    <w:tc>
                      <w:tcPr>
                        <w:tcW w:w="2572"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10</w:t>
                        </w:r>
                      </w:p>
                    </w:tc>
                    <w:tc>
                      <w:tcPr>
                        <w:tcW w:w="3121" w:type="dxa"/>
                        <w:tcBorders>
                          <w:top w:val="nil"/>
                          <w:left w:val="nil"/>
                          <w:bottom w:val="single" w:sz="4" w:space="0" w:color="auto"/>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w:t>
                        </w:r>
                      </w:p>
                    </w:tc>
                  </w:tr>
                  <w:tr w:rsidR="00000000">
                    <w:trPr>
                      <w:trHeight w:val="315"/>
                    </w:trPr>
                    <w:tc>
                      <w:tcPr>
                        <w:tcW w:w="2467" w:type="dxa"/>
                        <w:tcBorders>
                          <w:top w:val="nil"/>
                          <w:left w:val="single" w:sz="4" w:space="0" w:color="auto"/>
                          <w:bottom w:val="nil"/>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2016</w:t>
                        </w:r>
                      </w:p>
                    </w:tc>
                    <w:tc>
                      <w:tcPr>
                        <w:tcW w:w="2572" w:type="dxa"/>
                        <w:tcBorders>
                          <w:top w:val="nil"/>
                          <w:left w:val="nil"/>
                          <w:bottom w:val="nil"/>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15</w:t>
                        </w:r>
                      </w:p>
                    </w:tc>
                    <w:tc>
                      <w:tcPr>
                        <w:tcW w:w="3121" w:type="dxa"/>
                        <w:tcBorders>
                          <w:top w:val="nil"/>
                          <w:left w:val="nil"/>
                          <w:bottom w:val="nil"/>
                          <w:right w:val="single" w:sz="4" w:space="0" w:color="auto"/>
                        </w:tcBorders>
                        <w:noWrap/>
                        <w:vAlign w:val="bottom"/>
                        <w:hideMark/>
                      </w:tcPr>
                      <w:p w:rsidR="00000000" w:rsidRDefault="00053E90">
                        <w:pPr>
                          <w:jc w:val="center"/>
                          <w:rPr>
                            <w:rFonts w:eastAsia="Times New Roman"/>
                            <w:bCs/>
                            <w:sz w:val="28"/>
                            <w:szCs w:val="28"/>
                          </w:rPr>
                        </w:pPr>
                        <w:r>
                          <w:rPr>
                            <w:rFonts w:eastAsia="Times New Roman"/>
                            <w:bCs/>
                            <w:sz w:val="28"/>
                            <w:szCs w:val="28"/>
                          </w:rPr>
                          <w:t>24</w:t>
                        </w:r>
                      </w:p>
                    </w:tc>
                  </w:tr>
                  <w:tr w:rsidR="00000000">
                    <w:trPr>
                      <w:trHeight w:val="315"/>
                    </w:trPr>
                    <w:tc>
                      <w:tcPr>
                        <w:tcW w:w="2467" w:type="dxa"/>
                        <w:tcBorders>
                          <w:top w:val="single" w:sz="8" w:space="0" w:color="auto"/>
                          <w:left w:val="single" w:sz="8" w:space="0" w:color="auto"/>
                          <w:bottom w:val="single" w:sz="8" w:space="0" w:color="auto"/>
                          <w:right w:val="single" w:sz="8" w:space="0" w:color="auto"/>
                        </w:tcBorders>
                        <w:noWrap/>
                        <w:vAlign w:val="bottom"/>
                        <w:hideMark/>
                      </w:tcPr>
                      <w:p w:rsidR="00000000" w:rsidRDefault="00053E90">
                        <w:pPr>
                          <w:jc w:val="center"/>
                          <w:rPr>
                            <w:rFonts w:eastAsia="Times New Roman"/>
                            <w:b/>
                            <w:bCs/>
                            <w:sz w:val="28"/>
                            <w:szCs w:val="28"/>
                          </w:rPr>
                        </w:pPr>
                        <w:r>
                          <w:rPr>
                            <w:rFonts w:eastAsia="Times New Roman"/>
                            <w:b/>
                            <w:bCs/>
                            <w:sz w:val="28"/>
                            <w:szCs w:val="28"/>
                          </w:rPr>
                          <w:t>Total</w:t>
                        </w:r>
                      </w:p>
                    </w:tc>
                    <w:tc>
                      <w:tcPr>
                        <w:tcW w:w="2572" w:type="dxa"/>
                        <w:tcBorders>
                          <w:top w:val="single" w:sz="8" w:space="0" w:color="auto"/>
                          <w:left w:val="nil"/>
                          <w:bottom w:val="single" w:sz="8" w:space="0" w:color="auto"/>
                          <w:right w:val="single" w:sz="8" w:space="0" w:color="auto"/>
                        </w:tcBorders>
                        <w:noWrap/>
                        <w:vAlign w:val="bottom"/>
                        <w:hideMark/>
                      </w:tcPr>
                      <w:p w:rsidR="00000000" w:rsidRDefault="00053E90">
                        <w:pPr>
                          <w:jc w:val="center"/>
                          <w:rPr>
                            <w:rFonts w:eastAsia="Times New Roman"/>
                            <w:b/>
                            <w:sz w:val="28"/>
                            <w:szCs w:val="28"/>
                          </w:rPr>
                        </w:pPr>
                        <w:r>
                          <w:rPr>
                            <w:rFonts w:eastAsia="Times New Roman"/>
                            <w:b/>
                            <w:sz w:val="28"/>
                            <w:szCs w:val="28"/>
                          </w:rPr>
                          <w:t>66</w:t>
                        </w:r>
                      </w:p>
                    </w:tc>
                    <w:tc>
                      <w:tcPr>
                        <w:tcW w:w="3121" w:type="dxa"/>
                        <w:tcBorders>
                          <w:top w:val="single" w:sz="8" w:space="0" w:color="auto"/>
                          <w:left w:val="nil"/>
                          <w:bottom w:val="single" w:sz="8" w:space="0" w:color="auto"/>
                          <w:right w:val="single" w:sz="8" w:space="0" w:color="auto"/>
                        </w:tcBorders>
                        <w:noWrap/>
                        <w:vAlign w:val="bottom"/>
                        <w:hideMark/>
                      </w:tcPr>
                      <w:p w:rsidR="00000000" w:rsidRDefault="00053E90">
                        <w:pPr>
                          <w:jc w:val="center"/>
                          <w:rPr>
                            <w:rFonts w:eastAsia="Times New Roman"/>
                            <w:b/>
                            <w:sz w:val="28"/>
                            <w:szCs w:val="28"/>
                          </w:rPr>
                        </w:pPr>
                        <w:r>
                          <w:rPr>
                            <w:rFonts w:eastAsia="Times New Roman"/>
                            <w:b/>
                            <w:sz w:val="28"/>
                            <w:szCs w:val="28"/>
                          </w:rPr>
                          <w:t>130</w:t>
                        </w:r>
                      </w:p>
                    </w:tc>
                  </w:tr>
                </w:tbl>
                <w:p w:rsidR="00000000" w:rsidRDefault="00053E90">
                  <w:pPr>
                    <w:pStyle w:val="NoSpacing"/>
                    <w:tabs>
                      <w:tab w:val="left" w:pos="585"/>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00000" w:rsidRDefault="00053E90">
                  <w:pPr>
                    <w:pStyle w:val="NoSpacing"/>
                    <w:tabs>
                      <w:tab w:val="left" w:pos="585"/>
                    </w:tabs>
                    <w:jc w:val="both"/>
                    <w:rPr>
                      <w:rFonts w:ascii="Times New Roman" w:eastAsia="Times New Roman" w:hAnsi="Times New Roman" w:cs="Times New Roman"/>
                      <w:bCs/>
                      <w:sz w:val="28"/>
                      <w:szCs w:val="28"/>
                      <w:lang w:val="ro-RO"/>
                    </w:rPr>
                  </w:pPr>
                  <w:r>
                    <w:rPr>
                      <w:rFonts w:ascii="Times New Roman" w:hAnsi="Times New Roman" w:cs="Times New Roman"/>
                      <w:sz w:val="28"/>
                      <w:szCs w:val="28"/>
                      <w:lang w:val="ro-RO"/>
                    </w:rPr>
                    <w:t xml:space="preserve">        La fel </w:t>
                  </w:r>
                  <w:r>
                    <w:rPr>
                      <w:rFonts w:ascii="Times New Roman" w:hAnsi="Times New Roman" w:cs="Times New Roman"/>
                      <w:sz w:val="28"/>
                      <w:szCs w:val="28"/>
                      <w:lang w:val="ro-RO"/>
                    </w:rPr>
                    <w:t>ș</w:t>
                  </w:r>
                  <w:r>
                    <w:rPr>
                      <w:rFonts w:ascii="Times New Roman" w:hAnsi="Times New Roman" w:cs="Times New Roman"/>
                      <w:sz w:val="28"/>
                      <w:szCs w:val="28"/>
                      <w:lang w:val="ro-RO"/>
                    </w:rPr>
                    <w:t>i informa</w:t>
                  </w:r>
                  <w:r>
                    <w:rPr>
                      <w:rFonts w:ascii="Times New Roman" w:hAnsi="Times New Roman" w:cs="Times New Roman"/>
                      <w:sz w:val="28"/>
                      <w:szCs w:val="28"/>
                      <w:lang w:val="ro-RO"/>
                    </w:rPr>
                    <w:t>ț</w:t>
                  </w:r>
                  <w:r>
                    <w:rPr>
                      <w:rFonts w:ascii="Times New Roman" w:hAnsi="Times New Roman" w:cs="Times New Roman"/>
                      <w:sz w:val="28"/>
                      <w:szCs w:val="28"/>
                      <w:lang w:val="ro-RO"/>
                    </w:rPr>
                    <w:t>ia tabelului nr.2</w:t>
                  </w:r>
                  <w:r>
                    <w:rPr>
                      <w:rFonts w:ascii="Times New Roman" w:eastAsia="MS Mincho" w:hAnsi="Times New Roman" w:cs="Times New Roman"/>
                      <w:sz w:val="28"/>
                      <w:szCs w:val="28"/>
                      <w:lang w:val="ro-RO" w:eastAsia="ja-JP"/>
                    </w:rPr>
                    <w:t xml:space="preserve"> este reflectată în diagrama nr.2 care relevă aceia</w:t>
                  </w:r>
                  <w:r>
                    <w:rPr>
                      <w:rFonts w:ascii="Times New Roman" w:eastAsia="MS Mincho" w:hAnsi="Times New Roman" w:cs="Times New Roman"/>
                      <w:sz w:val="28"/>
                      <w:szCs w:val="28"/>
                      <w:lang w:val="ro-RO" w:eastAsia="ja-JP"/>
                    </w:rPr>
                    <w:t>ș</w:t>
                  </w:r>
                  <w:r>
                    <w:rPr>
                      <w:rFonts w:ascii="Times New Roman" w:eastAsia="MS Mincho" w:hAnsi="Times New Roman" w:cs="Times New Roman"/>
                      <w:sz w:val="28"/>
                      <w:szCs w:val="28"/>
                      <w:lang w:val="ro-RO" w:eastAsia="ja-JP"/>
                    </w:rPr>
                    <w:t>i tendin</w:t>
                  </w:r>
                  <w:r>
                    <w:rPr>
                      <w:rFonts w:ascii="Times New Roman" w:eastAsia="MS Mincho" w:hAnsi="Times New Roman" w:cs="Times New Roman"/>
                      <w:sz w:val="28"/>
                      <w:szCs w:val="28"/>
                      <w:lang w:val="ro-RO" w:eastAsia="ja-JP"/>
                    </w:rPr>
                    <w:t>ț</w:t>
                  </w:r>
                  <w:r>
                    <w:rPr>
                      <w:rFonts w:ascii="Times New Roman" w:eastAsia="MS Mincho" w:hAnsi="Times New Roman" w:cs="Times New Roman"/>
                      <w:sz w:val="28"/>
                      <w:szCs w:val="28"/>
                      <w:lang w:val="ro-RO" w:eastAsia="ja-JP"/>
                    </w:rPr>
                    <w:t>ă de cre</w:t>
                  </w:r>
                  <w:r>
                    <w:rPr>
                      <w:rFonts w:ascii="Times New Roman" w:eastAsia="MS Mincho" w:hAnsi="Times New Roman" w:cs="Times New Roman"/>
                      <w:sz w:val="28"/>
                      <w:szCs w:val="28"/>
                      <w:lang w:val="ro-RO" w:eastAsia="ja-JP"/>
                    </w:rPr>
                    <w:t>ș</w:t>
                  </w:r>
                  <w:r>
                    <w:rPr>
                      <w:rFonts w:ascii="Times New Roman" w:eastAsia="MS Mincho" w:hAnsi="Times New Roman" w:cs="Times New Roman"/>
                      <w:sz w:val="28"/>
                      <w:szCs w:val="28"/>
                      <w:lang w:val="ro-RO" w:eastAsia="ja-JP"/>
                    </w:rPr>
                    <w:t>tere a n</w:t>
                  </w:r>
                  <w:r>
                    <w:rPr>
                      <w:rFonts w:ascii="Times New Roman" w:eastAsia="Times New Roman" w:hAnsi="Times New Roman" w:cs="Times New Roman"/>
                      <w:bCs/>
                      <w:sz w:val="28"/>
                      <w:szCs w:val="28"/>
                      <w:lang w:val="ro-RO"/>
                    </w:rPr>
                    <w:t xml:space="preserve">umărului de cisterne </w:t>
                  </w:r>
                  <w:r>
                    <w:rPr>
                      <w:rFonts w:ascii="Times New Roman" w:eastAsia="Times New Roman" w:hAnsi="Times New Roman" w:cs="Times New Roman"/>
                      <w:bCs/>
                      <w:sz w:val="28"/>
                      <w:szCs w:val="28"/>
                      <w:lang w:val="ro-RO"/>
                    </w:rPr>
                    <w:t>ș</w:t>
                  </w:r>
                  <w:r>
                    <w:rPr>
                      <w:rFonts w:ascii="Times New Roman" w:eastAsia="Times New Roman" w:hAnsi="Times New Roman" w:cs="Times New Roman"/>
                      <w:bCs/>
                      <w:sz w:val="28"/>
                      <w:szCs w:val="28"/>
                      <w:lang w:val="ro-RO"/>
                    </w:rPr>
                    <w:t>i autocisterne utilizate pentru transportarea gazelor petroliere lichefiate, înmatriculate pe teritoriul RM.</w:t>
                  </w: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 xml:space="preserve">      Diagrama nr.2</w:t>
                  </w: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pStyle w:val="NoSpacing"/>
                    <w:tabs>
                      <w:tab w:val="left" w:pos="585"/>
                    </w:tabs>
                    <w:jc w:val="both"/>
                    <w:rPr>
                      <w:rFonts w:ascii="Times New Roman" w:eastAsia="Times New Roman" w:hAnsi="Times New Roman" w:cs="Times New Roman"/>
                      <w:b/>
                      <w:bCs/>
                      <w:sz w:val="28"/>
                      <w:szCs w:val="28"/>
                      <w:lang w:val="ro-RO"/>
                    </w:rPr>
                  </w:pPr>
                  <w:r>
                    <w:rPr>
                      <w:rFonts w:ascii="Times New Roman" w:eastAsia="Times New Roman" w:hAnsi="Times New Roman" w:cs="Times New Roman"/>
                      <w:b/>
                      <w:noProof/>
                      <w:sz w:val="28"/>
                      <w:szCs w:val="28"/>
                    </w:rPr>
                    <w:drawing>
                      <wp:inline distT="0" distB="0" distL="0" distR="0">
                        <wp:extent cx="4629150" cy="3181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3181350"/>
                                </a:xfrm>
                                <a:prstGeom prst="rect">
                                  <a:avLst/>
                                </a:prstGeom>
                                <a:noFill/>
                                <a:ln>
                                  <a:noFill/>
                                </a:ln>
                              </pic:spPr>
                            </pic:pic>
                          </a:graphicData>
                        </a:graphic>
                      </wp:inline>
                    </w:drawing>
                  </w:r>
                </w:p>
                <w:p w:rsidR="00000000" w:rsidRDefault="00053E90">
                  <w:pPr>
                    <w:pStyle w:val="NoSpacing"/>
                    <w:tabs>
                      <w:tab w:val="left" w:pos="585"/>
                    </w:tabs>
                    <w:jc w:val="both"/>
                    <w:rPr>
                      <w:rFonts w:ascii="Times New Roman" w:eastAsia="Times New Roman" w:hAnsi="Times New Roman" w:cs="Times New Roman"/>
                      <w:b/>
                      <w:bCs/>
                      <w:sz w:val="28"/>
                      <w:szCs w:val="28"/>
                      <w:lang w:val="ro-RO"/>
                    </w:rPr>
                  </w:pPr>
                </w:p>
                <w:p w:rsidR="00000000" w:rsidRDefault="00053E90">
                  <w:pPr>
                    <w:tabs>
                      <w:tab w:val="left" w:pos="544"/>
                    </w:tabs>
                    <w:jc w:val="both"/>
                    <w:rPr>
                      <w:sz w:val="28"/>
                      <w:szCs w:val="28"/>
                      <w:lang w:val="ro-RO"/>
                    </w:rPr>
                  </w:pPr>
                  <w:r>
                    <w:rPr>
                      <w:sz w:val="28"/>
                      <w:szCs w:val="28"/>
                      <w:lang w:val="ro-RO"/>
                    </w:rPr>
                    <w:t xml:space="preserve">    </w:t>
                  </w:r>
                </w:p>
                <w:p w:rsidR="00000000" w:rsidRDefault="00053E90">
                  <w:pPr>
                    <w:tabs>
                      <w:tab w:val="left" w:pos="544"/>
                    </w:tabs>
                    <w:jc w:val="both"/>
                    <w:rPr>
                      <w:sz w:val="28"/>
                      <w:szCs w:val="28"/>
                      <w:lang w:val="ro-RO"/>
                    </w:rPr>
                  </w:pPr>
                  <w:r>
                    <w:rPr>
                      <w:sz w:val="28"/>
                      <w:szCs w:val="28"/>
                      <w:lang w:val="ro-RO"/>
                    </w:rPr>
                    <w:t xml:space="preserve">       </w:t>
                  </w:r>
                  <w:r>
                    <w:rPr>
                      <w:sz w:val="28"/>
                      <w:szCs w:val="28"/>
                      <w:shd w:val="clear" w:color="auto" w:fill="FFFFFF"/>
                    </w:rPr>
                    <w:t xml:space="preserve">Agenţia Naţională Transport Auto </w:t>
                  </w:r>
                  <w:r>
                    <w:rPr>
                      <w:sz w:val="28"/>
                      <w:szCs w:val="28"/>
                      <w:lang w:val="ro-RO"/>
                    </w:rPr>
                    <w:t>a autorizat în anul 2014 - 77 sta</w:t>
                  </w:r>
                  <w:r>
                    <w:rPr>
                      <w:sz w:val="28"/>
                      <w:szCs w:val="28"/>
                      <w:lang w:val="ro-RO"/>
                    </w:rPr>
                    <w:t>ț</w:t>
                  </w:r>
                  <w:r>
                    <w:rPr>
                      <w:sz w:val="28"/>
                      <w:szCs w:val="28"/>
                      <w:lang w:val="ro-RO"/>
                    </w:rPr>
                    <w:t>ii de inspec</w:t>
                  </w:r>
                  <w:r>
                    <w:rPr>
                      <w:sz w:val="28"/>
                      <w:szCs w:val="28"/>
                      <w:lang w:val="ro-RO"/>
                    </w:rPr>
                    <w:t>ț</w:t>
                  </w:r>
                  <w:r>
                    <w:rPr>
                      <w:sz w:val="28"/>
                      <w:szCs w:val="28"/>
                      <w:lang w:val="ro-RO"/>
                    </w:rPr>
                    <w:t>ie periodică;</w:t>
                  </w:r>
                </w:p>
                <w:p w:rsidR="00000000" w:rsidRDefault="00053E90">
                  <w:pPr>
                    <w:tabs>
                      <w:tab w:val="left" w:pos="544"/>
                    </w:tabs>
                    <w:jc w:val="both"/>
                    <w:rPr>
                      <w:sz w:val="28"/>
                      <w:szCs w:val="28"/>
                    </w:rPr>
                  </w:pPr>
                  <w:r>
                    <w:rPr>
                      <w:sz w:val="28"/>
                      <w:szCs w:val="28"/>
                      <w:lang w:val="ro-RO"/>
                    </w:rPr>
                    <w:t xml:space="preserve"> în anul 2015 - 80 sta</w:t>
                  </w:r>
                  <w:r>
                    <w:rPr>
                      <w:sz w:val="28"/>
                      <w:szCs w:val="28"/>
                      <w:lang w:val="ro-RO"/>
                    </w:rPr>
                    <w:t>ț</w:t>
                  </w:r>
                  <w:r>
                    <w:rPr>
                      <w:sz w:val="28"/>
                      <w:szCs w:val="28"/>
                      <w:lang w:val="ro-RO"/>
                    </w:rPr>
                    <w:t xml:space="preserve">ii </w:t>
                  </w:r>
                  <w:r>
                    <w:rPr>
                      <w:sz w:val="28"/>
                      <w:szCs w:val="28"/>
                      <w:lang w:val="ro-RO"/>
                    </w:rPr>
                    <w:t>ș</w:t>
                  </w:r>
                  <w:r>
                    <w:rPr>
                      <w:sz w:val="28"/>
                      <w:szCs w:val="28"/>
                      <w:lang w:val="ro-RO"/>
                    </w:rPr>
                    <w:t>i respectiv în primele 8 luni ale anului 2016 - 75 sta</w:t>
                  </w:r>
                  <w:r>
                    <w:rPr>
                      <w:sz w:val="28"/>
                      <w:szCs w:val="28"/>
                      <w:lang w:val="ro-RO"/>
                    </w:rPr>
                    <w:t>ț</w:t>
                  </w:r>
                  <w:r>
                    <w:rPr>
                      <w:sz w:val="28"/>
                      <w:szCs w:val="28"/>
                      <w:lang w:val="ro-RO"/>
                    </w:rPr>
                    <w:t>ii. În anul 2015 au fost supuse inspec</w:t>
                  </w:r>
                  <w:r>
                    <w:rPr>
                      <w:sz w:val="28"/>
                      <w:szCs w:val="28"/>
                      <w:lang w:val="ro-RO"/>
                    </w:rPr>
                    <w:t>ț</w:t>
                  </w:r>
                  <w:r>
                    <w:rPr>
                      <w:sz w:val="28"/>
                      <w:szCs w:val="28"/>
                      <w:lang w:val="ro-RO"/>
                    </w:rPr>
                    <w:t>iei tehnice periodice 497 611 unită</w:t>
                  </w:r>
                  <w:r>
                    <w:rPr>
                      <w:sz w:val="28"/>
                      <w:szCs w:val="28"/>
                      <w:lang w:val="ro-RO"/>
                    </w:rPr>
                    <w:t>ț</w:t>
                  </w:r>
                  <w:r>
                    <w:rPr>
                      <w:sz w:val="28"/>
                      <w:szCs w:val="28"/>
                      <w:lang w:val="ro-RO"/>
                    </w:rPr>
                    <w:t>i de transport, dintre care au sus</w:t>
                  </w:r>
                  <w:r>
                    <w:rPr>
                      <w:sz w:val="28"/>
                      <w:szCs w:val="28"/>
                      <w:lang w:val="ro-RO"/>
                    </w:rPr>
                    <w:t>ț</w:t>
                  </w:r>
                  <w:r>
                    <w:rPr>
                      <w:sz w:val="28"/>
                      <w:szCs w:val="28"/>
                      <w:lang w:val="ro-RO"/>
                    </w:rPr>
                    <w:t>inut doar 475 522 unită</w:t>
                  </w:r>
                  <w:r>
                    <w:rPr>
                      <w:sz w:val="28"/>
                      <w:szCs w:val="28"/>
                      <w:lang w:val="ro-RO"/>
                    </w:rPr>
                    <w:t>ț</w:t>
                  </w:r>
                  <w:r>
                    <w:rPr>
                      <w:sz w:val="28"/>
                      <w:szCs w:val="28"/>
                      <w:lang w:val="ro-RO"/>
                    </w:rPr>
                    <w:t>i, ceea ce co</w:t>
                  </w:r>
                  <w:r>
                    <w:rPr>
                      <w:sz w:val="28"/>
                      <w:szCs w:val="28"/>
                      <w:lang w:val="ro-RO"/>
                    </w:rPr>
                    <w:t>nstituie cca. 54,78% din parcul rulant na</w:t>
                  </w:r>
                  <w:r>
                    <w:rPr>
                      <w:sz w:val="28"/>
                      <w:szCs w:val="28"/>
                      <w:lang w:val="ro-RO"/>
                    </w:rPr>
                    <w:t>ț</w:t>
                  </w:r>
                  <w:r>
                    <w:rPr>
                      <w:sz w:val="28"/>
                      <w:szCs w:val="28"/>
                      <w:lang w:val="ro-RO"/>
                    </w:rPr>
                    <w:t>ional. Analiza informa</w:t>
                  </w:r>
                  <w:r>
                    <w:rPr>
                      <w:sz w:val="28"/>
                      <w:szCs w:val="28"/>
                      <w:lang w:val="ro-RO"/>
                    </w:rPr>
                    <w:t>ț</w:t>
                  </w:r>
                  <w:r>
                    <w:rPr>
                      <w:sz w:val="28"/>
                      <w:szCs w:val="28"/>
                      <w:lang w:val="ro-RO"/>
                    </w:rPr>
                    <w:t>iei date denotă că cca. 1 500 unită</w:t>
                  </w:r>
                  <w:r>
                    <w:rPr>
                      <w:sz w:val="28"/>
                      <w:szCs w:val="28"/>
                      <w:lang w:val="ro-RO"/>
                    </w:rPr>
                    <w:t>ț</w:t>
                  </w:r>
                  <w:r>
                    <w:rPr>
                      <w:sz w:val="28"/>
                      <w:szCs w:val="28"/>
                      <w:lang w:val="ro-RO"/>
                    </w:rPr>
                    <w:t>i de transport sunt antrenate la prestarea serviciilor de transport rutier de mărfuri periculoase (care este de fapt capacitatea medie a pie</w:t>
                  </w:r>
                  <w:r>
                    <w:rPr>
                      <w:sz w:val="28"/>
                      <w:szCs w:val="28"/>
                      <w:lang w:val="ro-RO"/>
                    </w:rPr>
                    <w:t>ț</w:t>
                  </w:r>
                  <w:r>
                    <w:rPr>
                      <w:sz w:val="28"/>
                      <w:szCs w:val="28"/>
                      <w:lang w:val="ro-RO"/>
                    </w:rPr>
                    <w:t>ei în cazul Re</w:t>
                  </w:r>
                  <w:r>
                    <w:rPr>
                      <w:sz w:val="28"/>
                      <w:szCs w:val="28"/>
                      <w:lang w:val="ro-RO"/>
                    </w:rPr>
                    <w:t xml:space="preserve">publicii Moldova) pot cădea sub prevederile </w:t>
                  </w:r>
                  <w:r>
                    <w:rPr>
                      <w:sz w:val="28"/>
                      <w:szCs w:val="28"/>
                    </w:rPr>
                    <w:t>Proiectului Hotărârii de Guvern privind aprobarea Regulamentului transporturilor rutiere de mărfuri periculoase.</w:t>
                  </w:r>
                </w:p>
                <w:p w:rsidR="00000000" w:rsidRDefault="00053E90">
                  <w:pPr>
                    <w:tabs>
                      <w:tab w:val="left" w:pos="589"/>
                    </w:tabs>
                    <w:jc w:val="both"/>
                    <w:rPr>
                      <w:sz w:val="28"/>
                      <w:szCs w:val="28"/>
                      <w:lang w:val="ro-RO"/>
                    </w:rPr>
                  </w:pPr>
                  <w:r>
                    <w:rPr>
                      <w:sz w:val="28"/>
                      <w:szCs w:val="28"/>
                      <w:lang w:val="ro-RO"/>
                    </w:rPr>
                    <w:t xml:space="preserve">        </w:t>
                  </w:r>
                  <w:r>
                    <w:rPr>
                      <w:sz w:val="28"/>
                      <w:szCs w:val="28"/>
                      <w:lang w:val="ro-RO"/>
                    </w:rPr>
                    <w:t>Ț</w:t>
                  </w:r>
                  <w:r>
                    <w:rPr>
                      <w:sz w:val="28"/>
                      <w:szCs w:val="28"/>
                      <w:lang w:val="ro-RO"/>
                    </w:rPr>
                    <w:t>inând cont de numărul mic de unită</w:t>
                  </w:r>
                  <w:r>
                    <w:rPr>
                      <w:sz w:val="28"/>
                      <w:szCs w:val="28"/>
                      <w:lang w:val="ro-RO"/>
                    </w:rPr>
                    <w:t>ț</w:t>
                  </w:r>
                  <w:r>
                    <w:rPr>
                      <w:sz w:val="28"/>
                      <w:szCs w:val="28"/>
                      <w:lang w:val="ro-RO"/>
                    </w:rPr>
                    <w:t>i de transport antrenate în trafic rutier de mărfuri pe</w:t>
                  </w:r>
                  <w:r>
                    <w:rPr>
                      <w:sz w:val="28"/>
                      <w:szCs w:val="28"/>
                      <w:lang w:val="ro-RO"/>
                    </w:rPr>
                    <w:t>riculoase, Agen</w:t>
                  </w:r>
                  <w:r>
                    <w:rPr>
                      <w:sz w:val="28"/>
                      <w:szCs w:val="28"/>
                      <w:lang w:val="ro-RO"/>
                    </w:rPr>
                    <w:t>ț</w:t>
                  </w:r>
                  <w:r>
                    <w:rPr>
                      <w:sz w:val="28"/>
                      <w:szCs w:val="28"/>
                      <w:lang w:val="ro-RO"/>
                    </w:rPr>
                    <w:t xml:space="preserve">ia a autorizat aleatoriu un </w:t>
                  </w:r>
                  <w:r>
                    <w:rPr>
                      <w:sz w:val="28"/>
                      <w:szCs w:val="28"/>
                      <w:lang w:val="ro-RO"/>
                    </w:rPr>
                    <w:t>ș</w:t>
                  </w:r>
                  <w:r>
                    <w:rPr>
                      <w:sz w:val="28"/>
                      <w:szCs w:val="28"/>
                      <w:lang w:val="ro-RO"/>
                    </w:rPr>
                    <w:t>ir de sta</w:t>
                  </w:r>
                  <w:r>
                    <w:rPr>
                      <w:sz w:val="28"/>
                      <w:szCs w:val="28"/>
                      <w:lang w:val="ro-RO"/>
                    </w:rPr>
                    <w:t>ț</w:t>
                  </w:r>
                  <w:r>
                    <w:rPr>
                      <w:sz w:val="28"/>
                      <w:szCs w:val="28"/>
                      <w:lang w:val="ro-RO"/>
                    </w:rPr>
                    <w:t>ii de inspec</w:t>
                  </w:r>
                  <w:r>
                    <w:rPr>
                      <w:sz w:val="28"/>
                      <w:szCs w:val="28"/>
                      <w:lang w:val="ro-RO"/>
                    </w:rPr>
                    <w:t>ț</w:t>
                  </w:r>
                  <w:r>
                    <w:rPr>
                      <w:sz w:val="28"/>
                      <w:szCs w:val="28"/>
                      <w:lang w:val="ro-RO"/>
                    </w:rPr>
                    <w:t xml:space="preserve">ie tehnică periodică cu drept de a elibera certificate ADR, după cum urmează: </w:t>
                  </w:r>
                </w:p>
                <w:p w:rsidR="00000000" w:rsidRDefault="00053E90">
                  <w:pPr>
                    <w:tabs>
                      <w:tab w:val="left" w:pos="589"/>
                    </w:tabs>
                    <w:jc w:val="both"/>
                    <w:rPr>
                      <w:sz w:val="28"/>
                      <w:szCs w:val="28"/>
                      <w:lang w:val="ro-RO"/>
                    </w:rPr>
                  </w:pPr>
                  <w:r>
                    <w:rPr>
                      <w:sz w:val="28"/>
                      <w:szCs w:val="28"/>
                      <w:lang w:val="ro-RO"/>
                    </w:rPr>
                    <w:t>(a) în anul 2014 s-au autorizat 12 sta</w:t>
                  </w:r>
                  <w:r>
                    <w:rPr>
                      <w:sz w:val="28"/>
                      <w:szCs w:val="28"/>
                      <w:lang w:val="ro-RO"/>
                    </w:rPr>
                    <w:t>ț</w:t>
                  </w:r>
                  <w:r>
                    <w:rPr>
                      <w:sz w:val="28"/>
                      <w:szCs w:val="28"/>
                      <w:lang w:val="ro-RO"/>
                    </w:rPr>
                    <w:t xml:space="preserve">ii; </w:t>
                  </w:r>
                </w:p>
                <w:p w:rsidR="00000000" w:rsidRDefault="00053E90">
                  <w:pPr>
                    <w:tabs>
                      <w:tab w:val="left" w:pos="589"/>
                    </w:tabs>
                    <w:jc w:val="both"/>
                    <w:rPr>
                      <w:sz w:val="28"/>
                      <w:szCs w:val="28"/>
                      <w:lang w:val="ro-RO"/>
                    </w:rPr>
                  </w:pPr>
                  <w:r>
                    <w:rPr>
                      <w:sz w:val="28"/>
                      <w:szCs w:val="28"/>
                      <w:lang w:val="ro-RO"/>
                    </w:rPr>
                    <w:t>(b) în anul 2015 s-au autorizat 11 sta</w:t>
                  </w:r>
                  <w:r>
                    <w:rPr>
                      <w:sz w:val="28"/>
                      <w:szCs w:val="28"/>
                      <w:lang w:val="ro-RO"/>
                    </w:rPr>
                    <w:t>ț</w:t>
                  </w:r>
                  <w:r>
                    <w:rPr>
                      <w:sz w:val="28"/>
                      <w:szCs w:val="28"/>
                      <w:lang w:val="ro-RO"/>
                    </w:rPr>
                    <w:t xml:space="preserve">ii; </w:t>
                  </w:r>
                </w:p>
                <w:p w:rsidR="00000000" w:rsidRDefault="00053E90">
                  <w:pPr>
                    <w:tabs>
                      <w:tab w:val="left" w:pos="589"/>
                    </w:tabs>
                    <w:jc w:val="both"/>
                    <w:rPr>
                      <w:sz w:val="28"/>
                      <w:szCs w:val="28"/>
                      <w:lang w:val="ro-RO"/>
                    </w:rPr>
                  </w:pPr>
                  <w:r>
                    <w:rPr>
                      <w:sz w:val="28"/>
                      <w:szCs w:val="28"/>
                      <w:lang w:val="ro-RO"/>
                    </w:rPr>
                    <w:t>(c) în primele 8 luni</w:t>
                  </w:r>
                  <w:r>
                    <w:rPr>
                      <w:sz w:val="28"/>
                      <w:szCs w:val="28"/>
                      <w:lang w:val="ro-RO"/>
                    </w:rPr>
                    <w:t xml:space="preserve"> ale anului 2016 s-au autorizat - 17 sta</w:t>
                  </w:r>
                  <w:r>
                    <w:rPr>
                      <w:sz w:val="28"/>
                      <w:szCs w:val="28"/>
                      <w:lang w:val="ro-RO"/>
                    </w:rPr>
                    <w:t>ț</w:t>
                  </w:r>
                  <w:r>
                    <w:rPr>
                      <w:sz w:val="28"/>
                      <w:szCs w:val="28"/>
                      <w:lang w:val="ro-RO"/>
                    </w:rPr>
                    <w:t>ii, inclusiv în profil teritorial: mun. Chi</w:t>
                  </w:r>
                  <w:r>
                    <w:rPr>
                      <w:sz w:val="28"/>
                      <w:szCs w:val="28"/>
                      <w:lang w:val="ro-RO"/>
                    </w:rPr>
                    <w:t>ș</w:t>
                  </w:r>
                  <w:r>
                    <w:rPr>
                      <w:sz w:val="28"/>
                      <w:szCs w:val="28"/>
                      <w:lang w:val="ro-RO"/>
                    </w:rPr>
                    <w:t>inău 4 sta</w:t>
                  </w:r>
                  <w:r>
                    <w:rPr>
                      <w:sz w:val="28"/>
                      <w:szCs w:val="28"/>
                      <w:lang w:val="ro-RO"/>
                    </w:rPr>
                    <w:t>ț</w:t>
                  </w:r>
                  <w:r>
                    <w:rPr>
                      <w:sz w:val="28"/>
                      <w:szCs w:val="28"/>
                      <w:lang w:val="ro-RO"/>
                    </w:rPr>
                    <w:t>ii, în zona Nord – 10 sta</w:t>
                  </w:r>
                  <w:r>
                    <w:rPr>
                      <w:sz w:val="28"/>
                      <w:szCs w:val="28"/>
                      <w:lang w:val="ro-RO"/>
                    </w:rPr>
                    <w:t>ț</w:t>
                  </w:r>
                  <w:r>
                    <w:rPr>
                      <w:sz w:val="28"/>
                      <w:szCs w:val="28"/>
                      <w:lang w:val="ro-RO"/>
                    </w:rPr>
                    <w:t xml:space="preserve">ii </w:t>
                  </w:r>
                  <w:r>
                    <w:rPr>
                      <w:sz w:val="28"/>
                      <w:szCs w:val="28"/>
                      <w:lang w:val="ro-RO"/>
                    </w:rPr>
                    <w:t>ș</w:t>
                  </w:r>
                  <w:r>
                    <w:rPr>
                      <w:sz w:val="28"/>
                      <w:szCs w:val="28"/>
                      <w:lang w:val="ro-RO"/>
                    </w:rPr>
                    <w:t>i respectiv în zona Sud - 3 sta</w:t>
                  </w:r>
                  <w:r>
                    <w:rPr>
                      <w:sz w:val="28"/>
                      <w:szCs w:val="28"/>
                      <w:lang w:val="ro-RO"/>
                    </w:rPr>
                    <w:t>ț</w:t>
                  </w:r>
                  <w:r>
                    <w:rPr>
                      <w:sz w:val="28"/>
                      <w:szCs w:val="28"/>
                      <w:lang w:val="ro-RO"/>
                    </w:rPr>
                    <w:t xml:space="preserve">ii.  </w:t>
                  </w:r>
                </w:p>
                <w:p w:rsidR="00000000" w:rsidRDefault="00053E90">
                  <w:pPr>
                    <w:tabs>
                      <w:tab w:val="left" w:pos="589"/>
                    </w:tabs>
                    <w:jc w:val="both"/>
                    <w:rPr>
                      <w:sz w:val="28"/>
                      <w:szCs w:val="28"/>
                      <w:lang w:val="ro-RO"/>
                    </w:rPr>
                  </w:pPr>
                  <w:r>
                    <w:rPr>
                      <w:sz w:val="28"/>
                      <w:szCs w:val="28"/>
                      <w:lang w:val="ro-RO"/>
                    </w:rPr>
                    <w:t xml:space="preserve">        În perioada anilor 2014 – 2016, sta</w:t>
                  </w:r>
                  <w:r>
                    <w:rPr>
                      <w:sz w:val="28"/>
                      <w:szCs w:val="28"/>
                      <w:lang w:val="ro-RO"/>
                    </w:rPr>
                    <w:t>ț</w:t>
                  </w:r>
                  <w:r>
                    <w:rPr>
                      <w:sz w:val="28"/>
                      <w:szCs w:val="28"/>
                      <w:lang w:val="ro-RO"/>
                    </w:rPr>
                    <w:t>iile de inspec</w:t>
                  </w:r>
                  <w:r>
                    <w:rPr>
                      <w:sz w:val="28"/>
                      <w:szCs w:val="28"/>
                      <w:lang w:val="ro-RO"/>
                    </w:rPr>
                    <w:t>ț</w:t>
                  </w:r>
                  <w:r>
                    <w:rPr>
                      <w:sz w:val="28"/>
                      <w:szCs w:val="28"/>
                      <w:lang w:val="ro-RO"/>
                    </w:rPr>
                    <w:t xml:space="preserve">ie tehnică periodică au eliberat </w:t>
                  </w:r>
                  <w:r>
                    <w:rPr>
                      <w:sz w:val="28"/>
                      <w:szCs w:val="28"/>
                      <w:lang w:val="ro-RO"/>
                    </w:rPr>
                    <w:t xml:space="preserve">certificate ADR pentru autovehicule, după cum urmează: </w:t>
                  </w:r>
                </w:p>
                <w:p w:rsidR="00000000" w:rsidRDefault="00053E90">
                  <w:pPr>
                    <w:tabs>
                      <w:tab w:val="left" w:pos="589"/>
                    </w:tabs>
                    <w:jc w:val="both"/>
                    <w:rPr>
                      <w:sz w:val="28"/>
                      <w:szCs w:val="28"/>
                      <w:lang w:val="ro-RO"/>
                    </w:rPr>
                  </w:pPr>
                  <w:r>
                    <w:rPr>
                      <w:sz w:val="28"/>
                      <w:szCs w:val="28"/>
                      <w:lang w:val="ro-RO"/>
                    </w:rPr>
                    <w:t xml:space="preserve">(a) în anul 2014 s-au eliberat 1779 de certificate; </w:t>
                  </w:r>
                </w:p>
                <w:p w:rsidR="00000000" w:rsidRDefault="00053E90">
                  <w:pPr>
                    <w:tabs>
                      <w:tab w:val="left" w:pos="589"/>
                    </w:tabs>
                    <w:jc w:val="both"/>
                    <w:rPr>
                      <w:sz w:val="28"/>
                      <w:szCs w:val="28"/>
                      <w:lang w:val="ro-RO"/>
                    </w:rPr>
                  </w:pPr>
                  <w:r>
                    <w:rPr>
                      <w:sz w:val="28"/>
                      <w:szCs w:val="28"/>
                      <w:lang w:val="ro-RO"/>
                    </w:rPr>
                    <w:t xml:space="preserve">(b) în anul 2015 s-au eliberat 1654 de certificate; </w:t>
                  </w:r>
                </w:p>
                <w:p w:rsidR="00000000" w:rsidRDefault="00053E90">
                  <w:pPr>
                    <w:tabs>
                      <w:tab w:val="left" w:pos="589"/>
                    </w:tabs>
                    <w:jc w:val="both"/>
                    <w:rPr>
                      <w:sz w:val="28"/>
                      <w:szCs w:val="28"/>
                      <w:lang w:val="ro-RO"/>
                    </w:rPr>
                  </w:pPr>
                  <w:r>
                    <w:rPr>
                      <w:sz w:val="28"/>
                      <w:szCs w:val="28"/>
                      <w:lang w:val="ro-RO"/>
                    </w:rPr>
                    <w:t>(c) în anul 2016 s-au eliberat 1624 de certificate.</w:t>
                  </w:r>
                </w:p>
                <w:p w:rsidR="00000000" w:rsidRDefault="00053E90">
                  <w:pPr>
                    <w:tabs>
                      <w:tab w:val="left" w:pos="589"/>
                    </w:tabs>
                    <w:jc w:val="both"/>
                    <w:rPr>
                      <w:sz w:val="28"/>
                      <w:szCs w:val="28"/>
                      <w:lang w:val="ro-RO"/>
                    </w:rPr>
                  </w:pPr>
                  <w:r>
                    <w:rPr>
                      <w:rFonts w:eastAsia="MS Mincho"/>
                      <w:sz w:val="28"/>
                      <w:szCs w:val="28"/>
                      <w:lang w:val="ro-RO" w:eastAsia="ja-JP"/>
                    </w:rPr>
                    <w:t xml:space="preserve">        Numărul companiilor implicate în t</w:t>
                  </w:r>
                  <w:r>
                    <w:rPr>
                      <w:rFonts w:eastAsia="MS Mincho"/>
                      <w:sz w:val="28"/>
                      <w:szCs w:val="28"/>
                      <w:lang w:val="ro-RO" w:eastAsia="ja-JP"/>
                    </w:rPr>
                    <w:t>ransportul rutier de mărfuri periculoase în perioada anilor 2014 – 2016: a) 150 agen</w:t>
                  </w:r>
                  <w:r>
                    <w:rPr>
                      <w:rFonts w:eastAsia="MS Mincho"/>
                      <w:sz w:val="28"/>
                      <w:szCs w:val="28"/>
                      <w:lang w:val="ro-RO" w:eastAsia="ja-JP"/>
                    </w:rPr>
                    <w:t>ț</w:t>
                  </w:r>
                  <w:r>
                    <w:rPr>
                      <w:rFonts w:eastAsia="MS Mincho"/>
                      <w:sz w:val="28"/>
                      <w:szCs w:val="28"/>
                      <w:lang w:val="ro-RO" w:eastAsia="ja-JP"/>
                    </w:rPr>
                    <w:t>i economici – în anul 2014, b) 168 agen</w:t>
                  </w:r>
                  <w:r>
                    <w:rPr>
                      <w:rFonts w:eastAsia="MS Mincho"/>
                      <w:sz w:val="28"/>
                      <w:szCs w:val="28"/>
                      <w:lang w:val="ro-RO" w:eastAsia="ja-JP"/>
                    </w:rPr>
                    <w:t>ț</w:t>
                  </w:r>
                  <w:r>
                    <w:rPr>
                      <w:rFonts w:eastAsia="MS Mincho"/>
                      <w:sz w:val="28"/>
                      <w:szCs w:val="28"/>
                      <w:lang w:val="ro-RO" w:eastAsia="ja-JP"/>
                    </w:rPr>
                    <w:t xml:space="preserve">i economici – în anul 2015 </w:t>
                  </w:r>
                  <w:r>
                    <w:rPr>
                      <w:rFonts w:eastAsia="MS Mincho"/>
                      <w:sz w:val="28"/>
                      <w:szCs w:val="28"/>
                      <w:lang w:val="ro-RO" w:eastAsia="ja-JP"/>
                    </w:rPr>
                    <w:t>ș</w:t>
                  </w:r>
                  <w:r>
                    <w:rPr>
                      <w:rFonts w:eastAsia="MS Mincho"/>
                      <w:sz w:val="28"/>
                      <w:szCs w:val="28"/>
                      <w:lang w:val="ro-RO" w:eastAsia="ja-JP"/>
                    </w:rPr>
                    <w:t>i c) 145 agen</w:t>
                  </w:r>
                  <w:r>
                    <w:rPr>
                      <w:rFonts w:eastAsia="MS Mincho"/>
                      <w:sz w:val="28"/>
                      <w:szCs w:val="28"/>
                      <w:lang w:val="ro-RO" w:eastAsia="ja-JP"/>
                    </w:rPr>
                    <w:t>ț</w:t>
                  </w:r>
                  <w:r>
                    <w:rPr>
                      <w:rFonts w:eastAsia="MS Mincho"/>
                      <w:sz w:val="28"/>
                      <w:szCs w:val="28"/>
                      <w:lang w:val="ro-RO" w:eastAsia="ja-JP"/>
                    </w:rPr>
                    <w:t xml:space="preserve">i economici - </w:t>
                  </w:r>
                  <w:r>
                    <w:rPr>
                      <w:sz w:val="28"/>
                      <w:szCs w:val="28"/>
                      <w:lang w:val="ro-RO"/>
                    </w:rPr>
                    <w:t>în primele 8 luni ale anului 2016.</w:t>
                  </w:r>
                </w:p>
                <w:p w:rsidR="00000000" w:rsidRDefault="00053E90">
                  <w:pPr>
                    <w:tabs>
                      <w:tab w:val="left" w:pos="567"/>
                    </w:tabs>
                    <w:jc w:val="both"/>
                    <w:rPr>
                      <w:rFonts w:eastAsia="Times New Roman"/>
                      <w:sz w:val="28"/>
                      <w:szCs w:val="28"/>
                      <w:lang w:eastAsia="ru-RU"/>
                    </w:rPr>
                  </w:pPr>
                  <w:r>
                    <w:rPr>
                      <w:rFonts w:eastAsia="Times New Roman"/>
                      <w:sz w:val="28"/>
                      <w:szCs w:val="28"/>
                      <w:lang w:eastAsia="ru-RU"/>
                    </w:rPr>
                    <w:t xml:space="preserve">      </w:t>
                  </w:r>
                  <w:r>
                    <w:rPr>
                      <w:rFonts w:eastAsia="Times New Roman"/>
                      <w:sz w:val="28"/>
                      <w:szCs w:val="28"/>
                      <w:lang w:val="ro-RO" w:eastAsia="ru-RU"/>
                    </w:rPr>
                    <w:t xml:space="preserve"> </w:t>
                  </w:r>
                  <w:r>
                    <w:rPr>
                      <w:rFonts w:eastAsia="Times New Roman"/>
                      <w:sz w:val="28"/>
                      <w:szCs w:val="28"/>
                      <w:lang w:eastAsia="ru-RU"/>
                    </w:rPr>
                    <w:t xml:space="preserve">Cheltuieli </w:t>
                  </w:r>
                  <w:r>
                    <w:rPr>
                      <w:rFonts w:eastAsia="Times New Roman"/>
                      <w:sz w:val="28"/>
                      <w:szCs w:val="28"/>
                      <w:lang w:eastAsia="ru-RU"/>
                    </w:rPr>
                    <w:t xml:space="preserve">principale ţin de adoptarea standardelor europene armonizate, în calitate de standarde naţionale care sînt necesare pentru evaluarea conformităţii produselor din sectorul industrial. </w:t>
                  </w:r>
                </w:p>
                <w:p w:rsidR="00000000" w:rsidRDefault="00053E90">
                  <w:pPr>
                    <w:tabs>
                      <w:tab w:val="left" w:pos="567"/>
                    </w:tabs>
                    <w:jc w:val="both"/>
                    <w:rPr>
                      <w:rFonts w:eastAsia="Times New Roman"/>
                      <w:sz w:val="28"/>
                      <w:szCs w:val="28"/>
                      <w:lang w:eastAsia="ru-RU"/>
                    </w:rPr>
                  </w:pPr>
                  <w:r>
                    <w:rPr>
                      <w:rFonts w:eastAsia="Times New Roman"/>
                      <w:sz w:val="28"/>
                      <w:szCs w:val="28"/>
                      <w:lang w:eastAsia="ru-RU"/>
                    </w:rPr>
                    <w:t xml:space="preserve">       Compatibilitatea cu unele standardele naţionale adoptate în baza </w:t>
                  </w:r>
                  <w:r>
                    <w:rPr>
                      <w:rFonts w:eastAsia="Times New Roman"/>
                      <w:sz w:val="28"/>
                      <w:szCs w:val="28"/>
                      <w:lang w:eastAsia="ru-RU"/>
                    </w:rPr>
                    <w:t>standardelor armonizate, determină şi procedura de evaluare a conformitatii aplicabilă, care uneori acordă posibilitatea evaluării conformităţii fară intervenţia unei terţe parţi.</w:t>
                  </w:r>
                </w:p>
                <w:p w:rsidR="00000000" w:rsidRDefault="00053E90">
                  <w:pPr>
                    <w:jc w:val="both"/>
                    <w:rPr>
                      <w:rFonts w:eastAsia="Times New Roman"/>
                      <w:sz w:val="28"/>
                      <w:szCs w:val="28"/>
                      <w:lang w:eastAsia="ru-RU"/>
                    </w:rPr>
                  </w:pPr>
                  <w:r>
                    <w:rPr>
                      <w:rFonts w:eastAsia="Times New Roman"/>
                      <w:sz w:val="28"/>
                      <w:szCs w:val="28"/>
                      <w:lang w:eastAsia="ru-RU"/>
                    </w:rPr>
                    <w:lastRenderedPageBreak/>
                    <w:t xml:space="preserve">        Luînd în considerare experienţa ţărilor, care au aderat la Comunitat</w:t>
                  </w:r>
                  <w:r>
                    <w:rPr>
                      <w:rFonts w:eastAsia="Times New Roman"/>
                      <w:sz w:val="28"/>
                      <w:szCs w:val="28"/>
                      <w:lang w:eastAsia="ru-RU"/>
                    </w:rPr>
                    <w:t xml:space="preserve">ea Europeană în ultimul timp şi au fost impuşi să armonizeze legislaţia naţională cu cea europeană, aprobarea proiectului propus nu va atrage cheltuieli semnificative. </w:t>
                  </w:r>
                </w:p>
                <w:p w:rsidR="00000000" w:rsidRDefault="00053E90">
                  <w:pPr>
                    <w:tabs>
                      <w:tab w:val="left" w:pos="567"/>
                      <w:tab w:val="left" w:pos="900"/>
                    </w:tabs>
                    <w:ind w:firstLine="14"/>
                    <w:jc w:val="both"/>
                    <w:rPr>
                      <w:sz w:val="28"/>
                      <w:szCs w:val="28"/>
                      <w:lang w:val="ro-RO"/>
                    </w:rPr>
                  </w:pPr>
                  <w:r>
                    <w:rPr>
                      <w:rFonts w:eastAsia="Times New Roman"/>
                      <w:sz w:val="28"/>
                      <w:szCs w:val="28"/>
                      <w:lang w:val="ro-RO" w:eastAsia="ru-RU"/>
                    </w:rPr>
                    <w:tab/>
                  </w:r>
                  <w:r>
                    <w:rPr>
                      <w:rFonts w:eastAsia="Times New Roman"/>
                      <w:sz w:val="28"/>
                      <w:szCs w:val="28"/>
                      <w:lang w:val="ro-MD" w:eastAsia="ru-RU"/>
                    </w:rPr>
                    <w:t xml:space="preserve">Intervenţia statului prin elaborarea şi aprobarea </w:t>
                  </w:r>
                  <w:r>
                    <w:rPr>
                      <w:sz w:val="28"/>
                      <w:szCs w:val="28"/>
                      <w:lang w:val="ro-RO"/>
                    </w:rPr>
                    <w:t xml:space="preserve">proiectului Hotărârii Guvernului cu </w:t>
                  </w:r>
                  <w:r>
                    <w:rPr>
                      <w:sz w:val="28"/>
                      <w:szCs w:val="28"/>
                      <w:lang w:val="ro-RO"/>
                    </w:rPr>
                    <w:t>privire</w:t>
                  </w:r>
                </w:p>
                <w:p w:rsidR="00000000" w:rsidRDefault="00053E90">
                  <w:pPr>
                    <w:tabs>
                      <w:tab w:val="left" w:pos="567"/>
                      <w:tab w:val="left" w:pos="900"/>
                    </w:tabs>
                    <w:ind w:firstLine="14"/>
                    <w:jc w:val="both"/>
                    <w:rPr>
                      <w:rFonts w:eastAsia="Times New Roman"/>
                      <w:sz w:val="28"/>
                      <w:szCs w:val="28"/>
                      <w:lang w:val="ro-MD" w:eastAsia="ru-RU"/>
                    </w:rPr>
                  </w:pPr>
                  <w:r>
                    <w:rPr>
                      <w:sz w:val="28"/>
                      <w:szCs w:val="28"/>
                      <w:lang w:val="ro-RO"/>
                    </w:rPr>
                    <w:t xml:space="preserve">la aprobarea Reglementării tehnice privind </w:t>
                  </w:r>
                  <w:r>
                    <w:rPr>
                      <w:rFonts w:eastAsia="Arial Unicode MS"/>
                      <w:bCs/>
                      <w:sz w:val="28"/>
                      <w:szCs w:val="28"/>
                      <w:lang w:val="ro-RO" w:eastAsia="ro-RO"/>
                    </w:rPr>
                    <w:t xml:space="preserve">echipamente sub presiune transportabile </w:t>
                  </w:r>
                  <w:r>
                    <w:rPr>
                      <w:rFonts w:eastAsia="Times New Roman"/>
                      <w:sz w:val="28"/>
                      <w:szCs w:val="28"/>
                      <w:lang w:val="ro-MD" w:eastAsia="ru-RU"/>
                    </w:rPr>
                    <w:t xml:space="preserve">va avea ca efect corelarea cadrului normativ cu prevederile Directivei 2010/35/UE </w:t>
                  </w:r>
                  <w:r>
                    <w:rPr>
                      <w:rFonts w:eastAsia="Times New Roman"/>
                      <w:sz w:val="28"/>
                      <w:szCs w:val="28"/>
                      <w:lang w:val="ro-MD" w:eastAsia="ru-RU"/>
                    </w:rPr>
                    <w:t>ș</w:t>
                  </w:r>
                  <w:r>
                    <w:rPr>
                      <w:rFonts w:eastAsia="Times New Roman"/>
                      <w:sz w:val="28"/>
                      <w:szCs w:val="28"/>
                      <w:lang w:val="ro-MD" w:eastAsia="ru-RU"/>
                    </w:rPr>
                    <w:t>i astfel alinierea la cadrul legal european.</w:t>
                  </w:r>
                </w:p>
                <w:p w:rsidR="00000000" w:rsidRDefault="00053E90">
                  <w:pPr>
                    <w:ind w:firstLine="567"/>
                    <w:jc w:val="both"/>
                    <w:rPr>
                      <w:rFonts w:eastAsia="Times New Roman"/>
                      <w:sz w:val="28"/>
                      <w:szCs w:val="28"/>
                      <w:lang w:val="ro-MD" w:eastAsia="ru-RU"/>
                    </w:rPr>
                  </w:pPr>
                  <w:r>
                    <w:rPr>
                      <w:rFonts w:eastAsia="Times New Roman"/>
                      <w:sz w:val="28"/>
                      <w:szCs w:val="28"/>
                      <w:lang w:val="ro-MD" w:eastAsia="ru-RU"/>
                    </w:rPr>
                    <w:t>De asemenea, prin ac</w:t>
                  </w:r>
                  <w:r>
                    <w:rPr>
                      <w:rFonts w:eastAsia="Times New Roman"/>
                      <w:sz w:val="28"/>
                      <w:szCs w:val="28"/>
                      <w:lang w:val="ro-MD" w:eastAsia="ru-RU"/>
                    </w:rPr>
                    <w:t>ț</w:t>
                  </w:r>
                  <w:r>
                    <w:rPr>
                      <w:rFonts w:eastAsia="Times New Roman"/>
                      <w:sz w:val="28"/>
                      <w:szCs w:val="28"/>
                      <w:lang w:val="ro-MD" w:eastAsia="ru-RU"/>
                    </w:rPr>
                    <w:t xml:space="preserve">iunile propuse, </w:t>
                  </w:r>
                  <w:r>
                    <w:rPr>
                      <w:rFonts w:eastAsia="Times New Roman"/>
                      <w:sz w:val="28"/>
                      <w:szCs w:val="28"/>
                      <w:lang w:val="ro-MD" w:eastAsia="ru-RU"/>
                    </w:rPr>
                    <w:t>statul creează un mecanism de interac</w:t>
                  </w:r>
                  <w:r>
                    <w:rPr>
                      <w:rFonts w:eastAsia="Times New Roman"/>
                      <w:sz w:val="28"/>
                      <w:szCs w:val="28"/>
                      <w:lang w:val="ro-MD" w:eastAsia="ru-RU"/>
                    </w:rPr>
                    <w:t>ț</w:t>
                  </w:r>
                  <w:r>
                    <w:rPr>
                      <w:rFonts w:eastAsia="Times New Roman"/>
                      <w:sz w:val="28"/>
                      <w:szCs w:val="28"/>
                      <w:lang w:val="ro-MD" w:eastAsia="ru-RU"/>
                    </w:rPr>
                    <w:t>iune dintre agen</w:t>
                  </w:r>
                  <w:r>
                    <w:rPr>
                      <w:rFonts w:eastAsia="Times New Roman"/>
                      <w:sz w:val="28"/>
                      <w:szCs w:val="28"/>
                      <w:lang w:val="ro-MD" w:eastAsia="ru-RU"/>
                    </w:rPr>
                    <w:t>ț</w:t>
                  </w:r>
                  <w:r>
                    <w:rPr>
                      <w:rFonts w:eastAsia="Times New Roman"/>
                      <w:sz w:val="28"/>
                      <w:szCs w:val="28"/>
                      <w:lang w:val="ro-MD" w:eastAsia="ru-RU"/>
                    </w:rPr>
                    <w:t>ii economici, care produc, importă, instalează, distribu</w:t>
                  </w:r>
                  <w:r>
                    <w:rPr>
                      <w:rFonts w:eastAsia="Times New Roman"/>
                      <w:sz w:val="28"/>
                      <w:szCs w:val="28"/>
                      <w:lang w:val="ro-MD" w:eastAsia="ru-RU"/>
                    </w:rPr>
                    <w:t>ț</w:t>
                  </w:r>
                  <w:r>
                    <w:rPr>
                      <w:rFonts w:eastAsia="Times New Roman"/>
                      <w:sz w:val="28"/>
                      <w:szCs w:val="28"/>
                      <w:lang w:val="ro-MD" w:eastAsia="ru-RU"/>
                    </w:rPr>
                    <w:t>ie, sunt reprezentan</w:t>
                  </w:r>
                  <w:r>
                    <w:rPr>
                      <w:rFonts w:eastAsia="Times New Roman"/>
                      <w:sz w:val="28"/>
                      <w:szCs w:val="28"/>
                      <w:lang w:val="ro-MD" w:eastAsia="ru-RU"/>
                    </w:rPr>
                    <w:t>ț</w:t>
                  </w:r>
                  <w:r>
                    <w:rPr>
                      <w:rFonts w:eastAsia="Times New Roman"/>
                      <w:sz w:val="28"/>
                      <w:szCs w:val="28"/>
                      <w:lang w:val="ro-MD" w:eastAsia="ru-RU"/>
                    </w:rPr>
                    <w:t>i autoriza</w:t>
                  </w:r>
                  <w:r>
                    <w:rPr>
                      <w:rFonts w:eastAsia="Times New Roman"/>
                      <w:sz w:val="28"/>
                      <w:szCs w:val="28"/>
                      <w:lang w:val="ro-MD" w:eastAsia="ru-RU"/>
                    </w:rPr>
                    <w:t>ț</w:t>
                  </w:r>
                  <w:r>
                    <w:rPr>
                      <w:rFonts w:eastAsia="Times New Roman"/>
                      <w:sz w:val="28"/>
                      <w:szCs w:val="28"/>
                      <w:lang w:val="ro-MD" w:eastAsia="ru-RU"/>
                    </w:rPr>
                    <w:t>i, organismele de evaluarea conformită</w:t>
                  </w:r>
                  <w:r>
                    <w:rPr>
                      <w:rFonts w:eastAsia="Times New Roman"/>
                      <w:sz w:val="28"/>
                      <w:szCs w:val="28"/>
                      <w:lang w:val="ro-MD" w:eastAsia="ru-RU"/>
                    </w:rPr>
                    <w:t>ț</w:t>
                  </w:r>
                  <w:r>
                    <w:rPr>
                      <w:rFonts w:eastAsia="Times New Roman"/>
                      <w:sz w:val="28"/>
                      <w:szCs w:val="28"/>
                      <w:lang w:val="ro-MD" w:eastAsia="ru-RU"/>
                    </w:rPr>
                    <w:t xml:space="preserve">ii ce fac parte a Directivei nominalizate, pe de o parte </w:t>
                  </w:r>
                  <w:r>
                    <w:rPr>
                      <w:rFonts w:eastAsia="Times New Roman"/>
                      <w:sz w:val="28"/>
                      <w:szCs w:val="28"/>
                      <w:lang w:val="ro-MD" w:eastAsia="ru-RU"/>
                    </w:rPr>
                    <w:t>ș</w:t>
                  </w:r>
                  <w:r>
                    <w:rPr>
                      <w:rFonts w:eastAsia="Times New Roman"/>
                      <w:sz w:val="28"/>
                      <w:szCs w:val="28"/>
                      <w:lang w:val="ro-MD" w:eastAsia="ru-RU"/>
                    </w:rPr>
                    <w:t>i institu</w:t>
                  </w:r>
                  <w:r>
                    <w:rPr>
                      <w:rFonts w:eastAsia="Times New Roman"/>
                      <w:sz w:val="28"/>
                      <w:szCs w:val="28"/>
                      <w:lang w:val="ro-MD" w:eastAsia="ru-RU"/>
                    </w:rPr>
                    <w:t>ț</w:t>
                  </w:r>
                  <w:r>
                    <w:rPr>
                      <w:rFonts w:eastAsia="Times New Roman"/>
                      <w:sz w:val="28"/>
                      <w:szCs w:val="28"/>
                      <w:lang w:val="ro-MD" w:eastAsia="ru-RU"/>
                    </w:rPr>
                    <w:t xml:space="preserve">iile </w:t>
                  </w:r>
                  <w:r>
                    <w:rPr>
                      <w:rFonts w:eastAsia="Times New Roman"/>
                      <w:sz w:val="28"/>
                      <w:szCs w:val="28"/>
                      <w:lang w:val="ro-MD" w:eastAsia="ru-RU"/>
                    </w:rPr>
                    <w:t>de stat abilitate cu func</w:t>
                  </w:r>
                  <w:r>
                    <w:rPr>
                      <w:rFonts w:eastAsia="Times New Roman"/>
                      <w:sz w:val="28"/>
                      <w:szCs w:val="28"/>
                      <w:lang w:val="ro-MD" w:eastAsia="ru-RU"/>
                    </w:rPr>
                    <w:t>ț</w:t>
                  </w:r>
                  <w:r>
                    <w:rPr>
                      <w:rFonts w:eastAsia="Times New Roman"/>
                      <w:sz w:val="28"/>
                      <w:szCs w:val="28"/>
                      <w:lang w:val="ro-MD" w:eastAsia="ru-RU"/>
                    </w:rPr>
                    <w:t xml:space="preserve">ii de reglementare, monitorizare, control </w:t>
                  </w:r>
                  <w:r>
                    <w:rPr>
                      <w:rFonts w:eastAsia="Times New Roman"/>
                      <w:sz w:val="28"/>
                      <w:szCs w:val="28"/>
                      <w:lang w:val="ro-MD" w:eastAsia="ru-RU"/>
                    </w:rPr>
                    <w:t>ș</w:t>
                  </w:r>
                  <w:r>
                    <w:rPr>
                      <w:rFonts w:eastAsia="Times New Roman"/>
                      <w:sz w:val="28"/>
                      <w:szCs w:val="28"/>
                      <w:lang w:val="ro-MD" w:eastAsia="ru-RU"/>
                    </w:rPr>
                    <w:t>i supravegherea pie</w:t>
                  </w:r>
                  <w:r>
                    <w:rPr>
                      <w:rFonts w:eastAsia="Times New Roman"/>
                      <w:sz w:val="28"/>
                      <w:szCs w:val="28"/>
                      <w:lang w:val="ro-MD" w:eastAsia="ru-RU"/>
                    </w:rPr>
                    <w:t>ț</w:t>
                  </w:r>
                  <w:r>
                    <w:rPr>
                      <w:rFonts w:eastAsia="Times New Roman"/>
                      <w:sz w:val="28"/>
                      <w:szCs w:val="28"/>
                      <w:lang w:val="ro-MD" w:eastAsia="ru-RU"/>
                    </w:rPr>
                    <w:t xml:space="preserve">ei, pe de altă parte. </w:t>
                  </w:r>
                </w:p>
                <w:p w:rsidR="00000000" w:rsidRDefault="00053E90">
                  <w:pPr>
                    <w:tabs>
                      <w:tab w:val="left" w:pos="567"/>
                    </w:tabs>
                    <w:ind w:firstLine="567"/>
                    <w:jc w:val="both"/>
                    <w:rPr>
                      <w:rFonts w:eastAsia="Times New Roman"/>
                      <w:sz w:val="28"/>
                      <w:szCs w:val="28"/>
                      <w:lang w:eastAsia="ru-RU"/>
                    </w:rPr>
                  </w:pPr>
                  <w:r>
                    <w:rPr>
                      <w:rFonts w:eastAsia="Times New Roman"/>
                      <w:sz w:val="28"/>
                      <w:szCs w:val="28"/>
                      <w:lang w:val="ro-MD" w:eastAsia="ru-RU"/>
                    </w:rPr>
                    <w:t>În rezultat, se va mări capacitatea de reac</w:t>
                  </w:r>
                  <w:r>
                    <w:rPr>
                      <w:rFonts w:eastAsia="Times New Roman"/>
                      <w:sz w:val="28"/>
                      <w:szCs w:val="28"/>
                      <w:lang w:val="ro-MD" w:eastAsia="ru-RU"/>
                    </w:rPr>
                    <w:t>ț</w:t>
                  </w:r>
                  <w:r>
                    <w:rPr>
                      <w:rFonts w:eastAsia="Times New Roman"/>
                      <w:sz w:val="28"/>
                      <w:szCs w:val="28"/>
                      <w:lang w:val="ro-MD" w:eastAsia="ru-RU"/>
                    </w:rPr>
                    <w:t>ie în cazul depistării unor neconformită</w:t>
                  </w:r>
                  <w:r>
                    <w:rPr>
                      <w:rFonts w:eastAsia="Times New Roman"/>
                      <w:sz w:val="28"/>
                      <w:szCs w:val="28"/>
                      <w:lang w:val="ro-MD" w:eastAsia="ru-RU"/>
                    </w:rPr>
                    <w:t>ț</w:t>
                  </w:r>
                  <w:r>
                    <w:rPr>
                      <w:rFonts w:eastAsia="Times New Roman"/>
                      <w:sz w:val="28"/>
                      <w:szCs w:val="28"/>
                      <w:lang w:val="ro-MD" w:eastAsia="ru-RU"/>
                    </w:rPr>
                    <w:t xml:space="preserve">i formale </w:t>
                  </w:r>
                  <w:r>
                    <w:rPr>
                      <w:rFonts w:eastAsia="Times New Roman"/>
                      <w:sz w:val="28"/>
                      <w:szCs w:val="28"/>
                      <w:lang w:val="ro-MD" w:eastAsia="ru-RU"/>
                    </w:rPr>
                    <w:t>ș</w:t>
                  </w:r>
                  <w:r>
                    <w:rPr>
                      <w:rFonts w:eastAsia="Times New Roman"/>
                      <w:sz w:val="28"/>
                      <w:szCs w:val="28"/>
                      <w:lang w:val="ro-MD" w:eastAsia="ru-RU"/>
                    </w:rPr>
                    <w:t>i respectiv minimizarea cheltuielilor de recuper</w:t>
                  </w:r>
                  <w:r>
                    <w:rPr>
                      <w:rFonts w:eastAsia="Times New Roman"/>
                      <w:sz w:val="28"/>
                      <w:szCs w:val="28"/>
                      <w:lang w:val="ro-MD" w:eastAsia="ru-RU"/>
                    </w:rPr>
                    <w:t xml:space="preserve">are a prejudiciului posibil cauzat. </w:t>
                  </w:r>
                </w:p>
                <w:p w:rsidR="00000000" w:rsidRDefault="00053E90">
                  <w:pPr>
                    <w:tabs>
                      <w:tab w:val="left" w:pos="544"/>
                    </w:tabs>
                    <w:jc w:val="both"/>
                    <w:rPr>
                      <w:rFonts w:eastAsia="Times New Roman"/>
                      <w:sz w:val="28"/>
                      <w:szCs w:val="28"/>
                      <w:lang w:val="ro-RO" w:eastAsia="ru-RU"/>
                    </w:rPr>
                  </w:pPr>
                  <w:r>
                    <w:rPr>
                      <w:rFonts w:eastAsia="Times New Roman"/>
                      <w:sz w:val="28"/>
                      <w:szCs w:val="28"/>
                      <w:lang w:val="ro-RO" w:eastAsia="ru-RU"/>
                    </w:rPr>
                    <w:t xml:space="preserve">        Din bugetul de stat va fi necesară alocarea costurilor aferente publicării </w:t>
                  </w:r>
                  <w:r>
                    <w:rPr>
                      <w:sz w:val="28"/>
                      <w:szCs w:val="28"/>
                      <w:lang w:val="ro-RO"/>
                    </w:rPr>
                    <w:t xml:space="preserve">proiectului Hotărârii Guvernului cu privire la aprobarea Reglementării tehnice privind </w:t>
                  </w:r>
                  <w:r>
                    <w:rPr>
                      <w:rFonts w:eastAsia="Arial Unicode MS"/>
                      <w:bCs/>
                      <w:sz w:val="28"/>
                      <w:szCs w:val="28"/>
                      <w:lang w:val="ro-RO" w:eastAsia="ro-RO"/>
                    </w:rPr>
                    <w:t>echipamente sub presiune transportabile</w:t>
                  </w:r>
                  <w:r>
                    <w:rPr>
                      <w:rFonts w:eastAsia="Times New Roman"/>
                      <w:sz w:val="28"/>
                      <w:szCs w:val="28"/>
                      <w:lang w:val="ro-RO" w:eastAsia="ru-RU"/>
                    </w:rPr>
                    <w:t>.</w:t>
                  </w:r>
                </w:p>
                <w:p w:rsidR="00000000" w:rsidRDefault="00053E90">
                  <w:pPr>
                    <w:ind w:firstLine="709"/>
                    <w:jc w:val="both"/>
                    <w:rPr>
                      <w:b/>
                      <w:sz w:val="28"/>
                      <w:szCs w:val="28"/>
                      <w:lang w:val="ro-RO"/>
                    </w:rPr>
                  </w:pPr>
                  <w:r>
                    <w:rPr>
                      <w:rFonts w:eastAsia="Times New Roman"/>
                      <w:sz w:val="28"/>
                      <w:szCs w:val="28"/>
                      <w:lang w:val="ro-RO" w:eastAsia="ru-RU"/>
                    </w:rPr>
                    <w:t>Se recomandă ca proiectul actului propus să între în vigoare peste 24 luni de la data publicării acestuia.</w:t>
                  </w:r>
                </w:p>
              </w:tc>
            </w:tr>
            <w:tr w:rsidR="00000000">
              <w:trPr>
                <w:trHeight w:val="35"/>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000000" w:rsidRDefault="00053E90">
                  <w:pPr>
                    <w:tabs>
                      <w:tab w:val="left" w:pos="586"/>
                    </w:tabs>
                    <w:jc w:val="both"/>
                    <w:rPr>
                      <w:sz w:val="28"/>
                      <w:szCs w:val="28"/>
                    </w:rPr>
                  </w:pPr>
                </w:p>
              </w:tc>
            </w:tr>
          </w:tbl>
          <w:p w:rsidR="00000000" w:rsidRDefault="00053E90">
            <w:pPr>
              <w:tabs>
                <w:tab w:val="left" w:pos="510"/>
              </w:tabs>
              <w:jc w:val="both"/>
              <w:rPr>
                <w:sz w:val="28"/>
                <w:szCs w:val="28"/>
              </w:rPr>
            </w:pPr>
            <w:r>
              <w:rPr>
                <w:sz w:val="28"/>
                <w:szCs w:val="28"/>
              </w:rPr>
              <w:t xml:space="preserve">      </w:t>
            </w:r>
            <w:r>
              <w:rPr>
                <w:sz w:val="28"/>
                <w:szCs w:val="28"/>
                <w:lang w:val="ro-RO"/>
              </w:rPr>
              <w:t xml:space="preserve"> e) În prezent,  recipientele sub presiune este reglementat de Reglementarea tehnică NRS 35-03-67:2004</w:t>
            </w:r>
            <w:r>
              <w:rPr>
                <w:bCs/>
                <w:sz w:val="28"/>
                <w:szCs w:val="28"/>
                <w:lang w:val="ro-RO"/>
              </w:rPr>
              <w:t xml:space="preserve"> Reguli de construire </w:t>
            </w:r>
            <w:r>
              <w:rPr>
                <w:bCs/>
                <w:sz w:val="28"/>
                <w:szCs w:val="28"/>
                <w:lang w:val="ro-RO"/>
              </w:rPr>
              <w:t>ș</w:t>
            </w:r>
            <w:r>
              <w:rPr>
                <w:bCs/>
                <w:sz w:val="28"/>
                <w:szCs w:val="28"/>
                <w:lang w:val="ro-RO"/>
              </w:rPr>
              <w:t>i exploatare in</w:t>
            </w:r>
            <w:r>
              <w:rPr>
                <w:bCs/>
                <w:sz w:val="28"/>
                <w:szCs w:val="28"/>
                <w:lang w:val="ro-RO"/>
              </w:rPr>
              <w:t>ofensivă a recipientelor sub presiune.</w:t>
            </w:r>
            <w:r>
              <w:rPr>
                <w:sz w:val="28"/>
                <w:szCs w:val="28"/>
                <w:lang w:val="ro-RO"/>
              </w:rPr>
              <w:t xml:space="preserve"> Prezentele Reguli stabilesc cerin</w:t>
            </w:r>
            <w:r>
              <w:rPr>
                <w:sz w:val="28"/>
                <w:szCs w:val="28"/>
                <w:lang w:val="ro-RO"/>
              </w:rPr>
              <w:t>ț</w:t>
            </w:r>
            <w:r>
              <w:rPr>
                <w:sz w:val="28"/>
                <w:szCs w:val="28"/>
                <w:lang w:val="ro-RO"/>
              </w:rPr>
              <w:t>ele pentru proiectarea, construirea, materiale, fabricarea, reconstruirea, reglarea, montarea, repararea, deservirea, diagnosticarea tehnică, controlul şi testarea metalului şi îmbină</w:t>
            </w:r>
            <w:r>
              <w:rPr>
                <w:sz w:val="28"/>
                <w:szCs w:val="28"/>
                <w:lang w:val="ro-RO"/>
              </w:rPr>
              <w:t>rilor sudate, întocmirea căr</w:t>
            </w:r>
            <w:r>
              <w:rPr>
                <w:sz w:val="28"/>
                <w:szCs w:val="28"/>
                <w:lang w:val="ro-RO"/>
              </w:rPr>
              <w:t>ț</w:t>
            </w:r>
            <w:r>
              <w:rPr>
                <w:sz w:val="28"/>
                <w:szCs w:val="28"/>
                <w:lang w:val="ro-RO"/>
              </w:rPr>
              <w:t>ilor tehnice, exploatarea recipientelor, cisternelor, butoaielor, buteliilor, barocamerelor, care func</w:t>
            </w:r>
            <w:r>
              <w:rPr>
                <w:sz w:val="28"/>
                <w:szCs w:val="28"/>
                <w:lang w:val="ro-RO"/>
              </w:rPr>
              <w:t>ț</w:t>
            </w:r>
            <w:r>
              <w:rPr>
                <w:sz w:val="28"/>
                <w:szCs w:val="28"/>
                <w:lang w:val="ro-RO"/>
              </w:rPr>
              <w:t xml:space="preserve">ionează sub presiune excedentară.  </w:t>
            </w:r>
            <w:r>
              <w:rPr>
                <w:sz w:val="28"/>
                <w:szCs w:val="28"/>
                <w:lang w:val="ro-RO" w:eastAsia="ro-RO"/>
              </w:rPr>
              <w:t xml:space="preserve">Este de menţionat faptul că în cazul în </w:t>
            </w:r>
            <w:r>
              <w:rPr>
                <w:sz w:val="28"/>
                <w:szCs w:val="28"/>
              </w:rPr>
              <w:t>care o staţie de alimentare cu gaze petroliere li</w:t>
            </w:r>
            <w:r>
              <w:rPr>
                <w:sz w:val="28"/>
                <w:szCs w:val="28"/>
              </w:rPr>
              <w:t>chefiate (GPL) furnizează servicii de alimentare cu gaz lichefiat a buteliilor de uz casnic, această staţie trebuie să respecte o serie de cerinţe privind verificarea tehnică a buteliilor, precum şi să deţină cîntar de control pentru verificarea gradului d</w:t>
            </w:r>
            <w:r>
              <w:rPr>
                <w:sz w:val="28"/>
                <w:szCs w:val="28"/>
              </w:rPr>
              <w:t>e umplere. Aceste cerinţe sunt stabilite în documentul normativ-tehnic în domeniul securităţii industriale mai sus men</w:t>
            </w:r>
            <w:r>
              <w:rPr>
                <w:sz w:val="28"/>
                <w:szCs w:val="28"/>
              </w:rPr>
              <w:t>ț</w:t>
            </w:r>
            <w:r>
              <w:rPr>
                <w:sz w:val="28"/>
                <w:szCs w:val="28"/>
              </w:rPr>
              <w:t xml:space="preserve">ionat. </w:t>
            </w:r>
          </w:p>
          <w:p w:rsidR="00000000" w:rsidRDefault="00053E90">
            <w:pPr>
              <w:tabs>
                <w:tab w:val="left" w:pos="510"/>
              </w:tabs>
              <w:jc w:val="both"/>
              <w:rPr>
                <w:sz w:val="28"/>
                <w:szCs w:val="28"/>
              </w:rPr>
            </w:pPr>
            <w:r>
              <w:rPr>
                <w:sz w:val="28"/>
                <w:szCs w:val="28"/>
              </w:rPr>
              <w:t xml:space="preserve">       Reglementarea tehnică NRS 35-04-09:2002 Reguli de securitate în ramura gazificării stabile</w:t>
            </w:r>
            <w:r>
              <w:rPr>
                <w:sz w:val="28"/>
                <w:szCs w:val="28"/>
              </w:rPr>
              <w:t>ș</w:t>
            </w:r>
            <w:r>
              <w:rPr>
                <w:sz w:val="28"/>
                <w:szCs w:val="28"/>
              </w:rPr>
              <w:t>te cerin</w:t>
            </w:r>
            <w:r>
              <w:rPr>
                <w:sz w:val="28"/>
                <w:szCs w:val="28"/>
              </w:rPr>
              <w:t>ț</w:t>
            </w:r>
            <w:r>
              <w:rPr>
                <w:sz w:val="28"/>
                <w:szCs w:val="28"/>
              </w:rPr>
              <w:t>ele de securitate indu</w:t>
            </w:r>
            <w:r>
              <w:rPr>
                <w:sz w:val="28"/>
                <w:szCs w:val="28"/>
              </w:rPr>
              <w:t>strială pentru proiectarea, construc</w:t>
            </w:r>
            <w:r>
              <w:rPr>
                <w:sz w:val="28"/>
                <w:szCs w:val="28"/>
              </w:rPr>
              <w:t>ț</w:t>
            </w:r>
            <w:r>
              <w:rPr>
                <w:sz w:val="28"/>
                <w:szCs w:val="28"/>
              </w:rPr>
              <w:t xml:space="preserve">ia </w:t>
            </w:r>
            <w:r>
              <w:rPr>
                <w:sz w:val="28"/>
                <w:szCs w:val="28"/>
              </w:rPr>
              <w:t>ș</w:t>
            </w:r>
            <w:r>
              <w:rPr>
                <w:sz w:val="28"/>
                <w:szCs w:val="28"/>
              </w:rPr>
              <w:t>i exploatarea sistemelor de gazificare. Regulile men</w:t>
            </w:r>
            <w:r>
              <w:rPr>
                <w:sz w:val="28"/>
                <w:szCs w:val="28"/>
              </w:rPr>
              <w:t>ț</w:t>
            </w:r>
            <w:r>
              <w:rPr>
                <w:sz w:val="28"/>
                <w:szCs w:val="28"/>
              </w:rPr>
              <w:t>ionate nu se aplică pentru</w:t>
            </w:r>
            <w:proofErr w:type="gramStart"/>
            <w:r>
              <w:rPr>
                <w:sz w:val="28"/>
                <w:szCs w:val="28"/>
              </w:rPr>
              <w:t>: ,,</w:t>
            </w:r>
            <w:proofErr w:type="gramEnd"/>
            <w:r>
              <w:rPr>
                <w:sz w:val="28"/>
                <w:szCs w:val="28"/>
              </w:rPr>
              <w:t>instalaţii mobile utilizatoare de gaze, inclusiv utilajul de gaze pentru transportul feroviar, fluvial şi aerian,,.</w:t>
            </w:r>
          </w:p>
          <w:p w:rsidR="00000000" w:rsidRDefault="00053E90">
            <w:pPr>
              <w:tabs>
                <w:tab w:val="left" w:pos="510"/>
              </w:tabs>
              <w:jc w:val="both"/>
              <w:rPr>
                <w:sz w:val="28"/>
                <w:szCs w:val="28"/>
              </w:rPr>
            </w:pPr>
            <w:r>
              <w:rPr>
                <w:sz w:val="28"/>
                <w:szCs w:val="28"/>
              </w:rPr>
              <w:t xml:space="preserve">       Cerinţele</w:t>
            </w:r>
            <w:r>
              <w:rPr>
                <w:sz w:val="28"/>
                <w:szCs w:val="28"/>
              </w:rPr>
              <w:t xml:space="preserve"> pentru staţiile de alimentare </w:t>
            </w:r>
            <w:proofErr w:type="gramStart"/>
            <w:r>
              <w:rPr>
                <w:sz w:val="28"/>
                <w:szCs w:val="28"/>
              </w:rPr>
              <w:t>a</w:t>
            </w:r>
            <w:proofErr w:type="gramEnd"/>
            <w:r>
              <w:rPr>
                <w:sz w:val="28"/>
                <w:szCs w:val="28"/>
              </w:rPr>
              <w:t xml:space="preserve"> automobilelor cu gaze lichefiate sunt stabilite în reglementarea tehnică NRS 35-04-69: 2005 „Reguli privind securitatea industrială la exploatarea staţiilor de alimentare a automobilelor cu gaze lichefiate". Totodată, acest</w:t>
            </w:r>
            <w:r>
              <w:rPr>
                <w:sz w:val="28"/>
                <w:szCs w:val="28"/>
              </w:rPr>
              <w:t xml:space="preserve"> document normativ-tehnic nu prevede situaţia cînd la aceeaşi staţie de alimentare se alimentează şi buteliile de uz casnic. Dar situaţia reală arată că marea parte a staţiilor de alimentare a automobilelor cu gaze lichefiate alimentează şi buteliile de uz</w:t>
            </w:r>
            <w:r>
              <w:rPr>
                <w:sz w:val="28"/>
                <w:szCs w:val="28"/>
              </w:rPr>
              <w:t xml:space="preserve"> casnic la solicitarea persoanelor particulare, necătînd că, în autorizaţia tehnică este indicat fără îmbutelierea buteliilor de uz casnic.</w:t>
            </w:r>
          </w:p>
          <w:p w:rsidR="00000000" w:rsidRDefault="00053E90">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Din cîte se vede, documentele normativ-tehnice, care prevăd cerin</w:t>
            </w:r>
            <w:r>
              <w:rPr>
                <w:rFonts w:ascii="Times New Roman" w:hAnsi="Times New Roman" w:cs="Times New Roman"/>
                <w:sz w:val="28"/>
                <w:szCs w:val="28"/>
                <w:lang w:val="ro-RO"/>
              </w:rPr>
              <w:t>ț</w:t>
            </w:r>
            <w:r>
              <w:rPr>
                <w:rFonts w:ascii="Times New Roman" w:hAnsi="Times New Roman" w:cs="Times New Roman"/>
                <w:sz w:val="28"/>
                <w:szCs w:val="28"/>
                <w:lang w:val="ro-RO"/>
              </w:rPr>
              <w:t>ele privind</w:t>
            </w:r>
            <w:r>
              <w:rPr>
                <w:rFonts w:ascii="Times New Roman" w:hAnsi="Times New Roman" w:cs="Times New Roman"/>
                <w:bCs/>
                <w:sz w:val="28"/>
                <w:lang w:val="ro-RO"/>
              </w:rPr>
              <w:t xml:space="preserve"> reguli de construire </w:t>
            </w:r>
            <w:r>
              <w:rPr>
                <w:rFonts w:ascii="Times New Roman" w:hAnsi="Times New Roman" w:cs="Times New Roman"/>
                <w:bCs/>
                <w:sz w:val="28"/>
                <w:lang w:val="ro-RO"/>
              </w:rPr>
              <w:t>ș</w:t>
            </w:r>
            <w:r>
              <w:rPr>
                <w:rFonts w:ascii="Times New Roman" w:hAnsi="Times New Roman" w:cs="Times New Roman"/>
                <w:bCs/>
                <w:sz w:val="28"/>
                <w:lang w:val="ro-RO"/>
              </w:rPr>
              <w:t>i expl</w:t>
            </w:r>
            <w:r>
              <w:rPr>
                <w:rFonts w:ascii="Times New Roman" w:hAnsi="Times New Roman" w:cs="Times New Roman"/>
                <w:bCs/>
                <w:sz w:val="28"/>
                <w:lang w:val="ro-RO"/>
              </w:rPr>
              <w:t>oatare inofensivă a recipientelor sub presiune, r</w:t>
            </w:r>
            <w:r>
              <w:rPr>
                <w:rFonts w:ascii="Times New Roman" w:hAnsi="Times New Roman" w:cs="Times New Roman"/>
                <w:sz w:val="28"/>
                <w:szCs w:val="28"/>
              </w:rPr>
              <w:t>eguli de securitate în ramura gazificării</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 </w:t>
            </w:r>
            <w:r>
              <w:rPr>
                <w:rFonts w:ascii="Times New Roman" w:hAnsi="Times New Roman" w:cs="Times New Roman"/>
                <w:sz w:val="28"/>
                <w:szCs w:val="28"/>
              </w:rPr>
              <w:t>reguli privind securitatea industrială la exploatarea staţiilor de alimentare a automobilelor cu gaze lichefiate</w:t>
            </w:r>
            <w:r>
              <w:rPr>
                <w:rFonts w:ascii="Times New Roman" w:hAnsi="Times New Roman" w:cs="Times New Roman"/>
                <w:sz w:val="28"/>
                <w:szCs w:val="28"/>
                <w:lang w:val="ro-RO"/>
              </w:rPr>
              <w:t xml:space="preserve"> au fost aprobate încă în anii 2002, 2004 2005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 </w:t>
            </w:r>
            <w:r>
              <w:rPr>
                <w:rFonts w:ascii="Times New Roman" w:hAnsi="Times New Roman" w:cs="Times New Roman"/>
                <w:sz w:val="28"/>
                <w:szCs w:val="28"/>
                <w:lang w:val="ro-RO"/>
              </w:rPr>
              <w:t>referin</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ele în el sunt la un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ir de GOST-uri, NCM, SNiP, RD, ONTR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 RG (Reguli Generale) </w:t>
            </w:r>
            <w:r>
              <w:rPr>
                <w:rFonts w:ascii="Times New Roman" w:hAnsi="Times New Roman" w:cs="Times New Roman"/>
                <w:sz w:val="28"/>
                <w:szCs w:val="28"/>
                <w:lang w:val="ro-RO"/>
              </w:rPr>
              <w:t>ș</w:t>
            </w:r>
            <w:r>
              <w:rPr>
                <w:rFonts w:ascii="Times New Roman" w:hAnsi="Times New Roman" w:cs="Times New Roman"/>
                <w:sz w:val="28"/>
                <w:szCs w:val="28"/>
                <w:lang w:val="ro-RO"/>
              </w:rPr>
              <w:t>i PG (Proceduri Generale). Deci având în vedere aspira</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iile Republicii Moldova de a se alinia la practicile europene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 standardele europene </w:t>
            </w:r>
            <w:r>
              <w:rPr>
                <w:rFonts w:ascii="Times New Roman" w:hAnsi="Times New Roman" w:cs="Times New Roman"/>
                <w:sz w:val="28"/>
                <w:szCs w:val="28"/>
                <w:lang w:val="ro-RO"/>
              </w:rPr>
              <w:t>ș</w:t>
            </w:r>
            <w:r>
              <w:rPr>
                <w:rFonts w:ascii="Times New Roman" w:hAnsi="Times New Roman" w:cs="Times New Roman"/>
                <w:sz w:val="28"/>
                <w:szCs w:val="28"/>
                <w:lang w:val="ro-RO"/>
              </w:rPr>
              <w:t>i interna</w:t>
            </w:r>
            <w:r>
              <w:rPr>
                <w:rFonts w:ascii="Times New Roman" w:hAnsi="Times New Roman" w:cs="Times New Roman"/>
                <w:sz w:val="28"/>
                <w:szCs w:val="28"/>
                <w:lang w:val="ro-RO"/>
              </w:rPr>
              <w:t>ț</w:t>
            </w:r>
            <w:r>
              <w:rPr>
                <w:rFonts w:ascii="Times New Roman" w:hAnsi="Times New Roman" w:cs="Times New Roman"/>
                <w:sz w:val="28"/>
                <w:szCs w:val="28"/>
                <w:lang w:val="ro-RO"/>
              </w:rPr>
              <w:t xml:space="preserve">ionale, este </w:t>
            </w:r>
            <w:r>
              <w:rPr>
                <w:rFonts w:ascii="Times New Roman" w:hAnsi="Times New Roman" w:cs="Times New Roman"/>
                <w:sz w:val="28"/>
                <w:szCs w:val="28"/>
                <w:lang w:val="ro-RO"/>
              </w:rPr>
              <w:t xml:space="preserve">necesar excluderea acestor RG, PG </w:t>
            </w:r>
            <w:r>
              <w:rPr>
                <w:rFonts w:ascii="Times New Roman" w:hAnsi="Times New Roman" w:cs="Times New Roman"/>
                <w:sz w:val="28"/>
                <w:szCs w:val="28"/>
                <w:lang w:val="ro-RO"/>
              </w:rPr>
              <w:t>ș</w:t>
            </w:r>
            <w:r>
              <w:rPr>
                <w:rFonts w:ascii="Times New Roman" w:hAnsi="Times New Roman" w:cs="Times New Roman"/>
                <w:sz w:val="28"/>
                <w:szCs w:val="28"/>
                <w:lang w:val="ro-RO"/>
              </w:rPr>
              <w:t xml:space="preserve">i GOST-uri. </w:t>
            </w:r>
          </w:p>
          <w:p w:rsidR="00000000" w:rsidRDefault="00053E90">
            <w:pPr>
              <w:pStyle w:val="PlainText"/>
              <w:tabs>
                <w:tab w:val="left" w:pos="555"/>
              </w:tabs>
              <w:jc w:val="both"/>
              <w:rPr>
                <w:rFonts w:ascii="Times New Roman" w:hAnsi="Times New Roman"/>
                <w:sz w:val="28"/>
                <w:szCs w:val="28"/>
              </w:rPr>
            </w:pPr>
            <w:r>
              <w:rPr>
                <w:rFonts w:ascii="Times New Roman" w:hAnsi="Times New Roman"/>
                <w:sz w:val="28"/>
                <w:szCs w:val="28"/>
              </w:rPr>
              <w:lastRenderedPageBreak/>
              <w:t xml:space="preserve">        În conformitate cu anexa nr.1 al Legii nr.116 din 18.05.2012 p</w:t>
            </w:r>
            <w:r>
              <w:rPr>
                <w:rFonts w:ascii="Times New Roman" w:hAnsi="Times New Roman" w:cs="Times New Roman"/>
                <w:sz w:val="28"/>
                <w:szCs w:val="28"/>
              </w:rPr>
              <w:t>rivind securitatea industrială a obiectelor industriale periculoase,</w:t>
            </w:r>
            <w:r>
              <w:rPr>
                <w:rFonts w:ascii="Times New Roman" w:hAnsi="Times New Roman" w:cs="Times New Roman"/>
                <w:b/>
                <w:sz w:val="28"/>
                <w:szCs w:val="28"/>
              </w:rPr>
              <w:t xml:space="preserve"> </w:t>
            </w:r>
            <w:r>
              <w:rPr>
                <w:rFonts w:ascii="Times New Roman" w:hAnsi="Times New Roman" w:cs="Times New Roman"/>
                <w:sz w:val="28"/>
                <w:szCs w:val="28"/>
              </w:rPr>
              <w:t>cisternele destinate pentru transportarea gazelor lichefiate sînt con</w:t>
            </w:r>
            <w:r>
              <w:rPr>
                <w:rFonts w:ascii="Times New Roman" w:hAnsi="Times New Roman" w:cs="Times New Roman"/>
                <w:sz w:val="28"/>
                <w:szCs w:val="28"/>
              </w:rPr>
              <w:t xml:space="preserve">siderate obiecte industriale periculoase (OIP) şi </w:t>
            </w:r>
            <w:r>
              <w:rPr>
                <w:rFonts w:ascii="Times New Roman" w:hAnsi="Times New Roman"/>
                <w:sz w:val="28"/>
                <w:szCs w:val="28"/>
              </w:rPr>
              <w:t>conform art.5, alin.(2) al aceleia</w:t>
            </w:r>
            <w:r>
              <w:rPr>
                <w:rFonts w:ascii="Times New Roman" w:hAnsi="Times New Roman"/>
                <w:sz w:val="28"/>
                <w:szCs w:val="28"/>
              </w:rPr>
              <w:t>ș</w:t>
            </w:r>
            <w:r>
              <w:rPr>
                <w:rFonts w:ascii="Times New Roman" w:hAnsi="Times New Roman"/>
                <w:sz w:val="28"/>
                <w:szCs w:val="28"/>
              </w:rPr>
              <w:t xml:space="preserve">i legi, OIP sunt supuse înregistrării de stat de către organul de control </w:t>
            </w:r>
            <w:r>
              <w:rPr>
                <w:rFonts w:ascii="Times New Roman" w:hAnsi="Times New Roman"/>
                <w:sz w:val="28"/>
                <w:szCs w:val="28"/>
              </w:rPr>
              <w:t>ș</w:t>
            </w:r>
            <w:r>
              <w:rPr>
                <w:rFonts w:ascii="Times New Roman" w:hAnsi="Times New Roman"/>
                <w:sz w:val="28"/>
                <w:szCs w:val="28"/>
              </w:rPr>
              <w:t>i supraveghere tehnică de stat în domeniul securită</w:t>
            </w:r>
            <w:r>
              <w:rPr>
                <w:rFonts w:ascii="Times New Roman" w:hAnsi="Times New Roman"/>
                <w:sz w:val="28"/>
                <w:szCs w:val="28"/>
              </w:rPr>
              <w:t>ț</w:t>
            </w:r>
            <w:r>
              <w:rPr>
                <w:rFonts w:ascii="Times New Roman" w:hAnsi="Times New Roman"/>
                <w:sz w:val="28"/>
                <w:szCs w:val="28"/>
              </w:rPr>
              <w:t xml:space="preserve">ii industriale. </w:t>
            </w:r>
            <w:r>
              <w:rPr>
                <w:rFonts w:ascii="Times New Roman" w:hAnsi="Times New Roman" w:cs="Times New Roman"/>
                <w:sz w:val="28"/>
                <w:szCs w:val="28"/>
              </w:rPr>
              <w:t xml:space="preserve">Totodată în art.8 alin.(11) </w:t>
            </w:r>
            <w:r>
              <w:rPr>
                <w:rFonts w:ascii="Times New Roman" w:hAnsi="Times New Roman" w:cs="Times New Roman"/>
                <w:sz w:val="28"/>
                <w:szCs w:val="28"/>
              </w:rPr>
              <w:t>ș</w:t>
            </w:r>
            <w:r>
              <w:rPr>
                <w:rFonts w:ascii="Times New Roman" w:hAnsi="Times New Roman" w:cs="Times New Roman"/>
                <w:sz w:val="28"/>
                <w:szCs w:val="28"/>
              </w:rPr>
              <w:t xml:space="preserve">i </w:t>
            </w:r>
            <w:r>
              <w:rPr>
                <w:rFonts w:ascii="Times New Roman" w:hAnsi="Times New Roman"/>
                <w:sz w:val="28"/>
                <w:szCs w:val="28"/>
              </w:rPr>
              <w:t xml:space="preserve">(12 ) </w:t>
            </w:r>
            <w:r>
              <w:rPr>
                <w:rFonts w:ascii="Times New Roman" w:hAnsi="Times New Roman" w:cs="Times New Roman"/>
                <w:sz w:val="28"/>
                <w:szCs w:val="28"/>
              </w:rPr>
              <w:t>al legeii men</w:t>
            </w:r>
            <w:r>
              <w:rPr>
                <w:rFonts w:ascii="Times New Roman" w:hAnsi="Times New Roman" w:cs="Times New Roman"/>
                <w:sz w:val="28"/>
                <w:szCs w:val="28"/>
              </w:rPr>
              <w:t>ț</w:t>
            </w:r>
            <w:r>
              <w:rPr>
                <w:rFonts w:ascii="Times New Roman" w:hAnsi="Times New Roman" w:cs="Times New Roman"/>
                <w:sz w:val="28"/>
                <w:szCs w:val="28"/>
              </w:rPr>
              <w:t xml:space="preserve">ionate: </w:t>
            </w:r>
          </w:p>
          <w:p w:rsidR="00000000" w:rsidRDefault="00053E90">
            <w:pPr>
              <w:pStyle w:val="PlainText"/>
              <w:tabs>
                <w:tab w:val="left" w:pos="555"/>
              </w:tabs>
              <w:jc w:val="both"/>
              <w:rPr>
                <w:rFonts w:ascii="Times New Roman" w:hAnsi="Times New Roman" w:cs="Times New Roman"/>
                <w:sz w:val="28"/>
                <w:szCs w:val="28"/>
              </w:rPr>
            </w:pPr>
            <w:r>
              <w:rPr>
                <w:rFonts w:ascii="Times New Roman" w:hAnsi="Times New Roman"/>
                <w:sz w:val="28"/>
                <w:szCs w:val="28"/>
              </w:rPr>
              <w:t xml:space="preserve">       (11 ) </w:t>
            </w:r>
            <w:r>
              <w:rPr>
                <w:rFonts w:ascii="Times New Roman" w:hAnsi="Times New Roman" w:cs="Times New Roman"/>
                <w:i/>
                <w:sz w:val="28"/>
                <w:szCs w:val="28"/>
              </w:rPr>
              <w:t>,,umplerea, transportul, verificarea tehnică periodică, repararea, utilizarea, scoaterea din uz şi casarea buteliilor, inclusiv a buteliilor de gaze de uz casnic,,,</w:t>
            </w:r>
            <w:r>
              <w:rPr>
                <w:rFonts w:ascii="Times New Roman" w:hAnsi="Times New Roman" w:cs="Times New Roman"/>
                <w:sz w:val="28"/>
                <w:szCs w:val="28"/>
              </w:rPr>
              <w:t xml:space="preserve"> se efectuează de întreprinderi specializate ca</w:t>
            </w:r>
            <w:r>
              <w:rPr>
                <w:rFonts w:ascii="Times New Roman" w:hAnsi="Times New Roman" w:cs="Times New Roman"/>
                <w:sz w:val="28"/>
                <w:szCs w:val="28"/>
              </w:rPr>
              <w:t>re deţin avizul pozitiv de expertiză eliberat de către organismul de expertiză în domeniul securităţii industriale; dar</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250"/>
            </w:tblGrid>
            <w:tr w:rsidR="00000000">
              <w:trPr>
                <w:tblCellSpacing w:w="0" w:type="dxa"/>
              </w:trPr>
              <w:tc>
                <w:tcPr>
                  <w:tcW w:w="0" w:type="auto"/>
                  <w:shd w:val="clear" w:color="auto" w:fill="FFFFFF"/>
                  <w:vAlign w:val="center"/>
                  <w:hideMark/>
                </w:tcPr>
                <w:p w:rsidR="00000000" w:rsidRDefault="00053E90">
                  <w:pPr>
                    <w:tabs>
                      <w:tab w:val="left" w:pos="525"/>
                    </w:tabs>
                    <w:jc w:val="both"/>
                    <w:divId w:val="932199890"/>
                    <w:rPr>
                      <w:rFonts w:eastAsia="Times New Roman"/>
                      <w:sz w:val="28"/>
                      <w:szCs w:val="28"/>
                    </w:rPr>
                  </w:pPr>
                  <w:r>
                    <w:rPr>
                      <w:rFonts w:eastAsia="Times New Roman"/>
                      <w:sz w:val="28"/>
                      <w:szCs w:val="28"/>
                      <w:lang w:val="ro-RO"/>
                    </w:rPr>
                    <w:t xml:space="preserve">       </w:t>
                  </w:r>
                  <w:r>
                    <w:rPr>
                      <w:rFonts w:eastAsia="Times New Roman"/>
                      <w:sz w:val="28"/>
                      <w:szCs w:val="28"/>
                    </w:rPr>
                    <w:t>(12) cerinţele de securitate privind umplerea, transportul, verificarea tehnică periodică, repararea, utilizarea, scoaterea din u</w:t>
                  </w:r>
                  <w:r>
                    <w:rPr>
                      <w:rFonts w:eastAsia="Times New Roman"/>
                      <w:sz w:val="28"/>
                      <w:szCs w:val="28"/>
                    </w:rPr>
                    <w:t>z şi casarea buteliilor, inclusiv a buteliilor de gaze de uz casnic, sînt prevăzute de proiectul Hotărîrii Guvernului “Cu privire la aprobarea cerin</w:t>
                  </w:r>
                  <w:r>
                    <w:rPr>
                      <w:rFonts w:eastAsia="Times New Roman"/>
                      <w:sz w:val="28"/>
                      <w:szCs w:val="28"/>
                    </w:rPr>
                    <w:t>ț</w:t>
                  </w:r>
                  <w:r>
                    <w:rPr>
                      <w:rFonts w:eastAsia="Times New Roman"/>
                      <w:sz w:val="28"/>
                      <w:szCs w:val="28"/>
                    </w:rPr>
                    <w:t>elor minime de securitate privind exploatarea sistemelor de distribu</w:t>
                  </w:r>
                  <w:r>
                    <w:rPr>
                      <w:rFonts w:eastAsia="Times New Roman"/>
                      <w:sz w:val="28"/>
                      <w:szCs w:val="28"/>
                    </w:rPr>
                    <w:t>ț</w:t>
                  </w:r>
                  <w:r>
                    <w:rPr>
                      <w:rFonts w:eastAsia="Times New Roman"/>
                      <w:sz w:val="28"/>
                      <w:szCs w:val="28"/>
                    </w:rPr>
                    <w:t>ie a gazelor combustibile naturale“ ca</w:t>
                  </w:r>
                  <w:r>
                    <w:rPr>
                      <w:rFonts w:eastAsia="Times New Roman"/>
                      <w:sz w:val="28"/>
                      <w:szCs w:val="28"/>
                    </w:rPr>
                    <w:t>re urmează a fi aprobat de Guvern.</w:t>
                  </w:r>
                </w:p>
              </w:tc>
            </w:tr>
          </w:tbl>
          <w:p w:rsidR="00000000" w:rsidRDefault="00053E90">
            <w:pPr>
              <w:ind w:firstLine="567"/>
              <w:jc w:val="both"/>
              <w:rPr>
                <w:rFonts w:eastAsia="Times New Roman"/>
                <w:sz w:val="28"/>
                <w:szCs w:val="28"/>
                <w:lang w:val="ro-RO" w:eastAsia="ru-RU"/>
              </w:rPr>
            </w:pPr>
            <w:r>
              <w:rPr>
                <w:rFonts w:eastAsia="Times New Roman"/>
                <w:sz w:val="28"/>
                <w:szCs w:val="28"/>
                <w:lang w:val="ro-RO" w:eastAsia="ru-RU"/>
              </w:rPr>
              <w:t>După aprobarea reglementării tehnice urmează a fi aprobată Lista standardelor armonizate care con</w:t>
            </w:r>
            <w:r>
              <w:rPr>
                <w:rFonts w:eastAsia="Times New Roman"/>
                <w:sz w:val="28"/>
                <w:szCs w:val="28"/>
                <w:lang w:val="ro-RO" w:eastAsia="ru-RU"/>
              </w:rPr>
              <w:t>ț</w:t>
            </w:r>
            <w:r>
              <w:rPr>
                <w:rFonts w:eastAsia="Times New Roman"/>
                <w:sz w:val="28"/>
                <w:szCs w:val="28"/>
                <w:lang w:val="ro-RO" w:eastAsia="ru-RU"/>
              </w:rPr>
              <w:t>ine cerin</w:t>
            </w:r>
            <w:r>
              <w:rPr>
                <w:rFonts w:eastAsia="Times New Roman"/>
                <w:sz w:val="28"/>
                <w:szCs w:val="28"/>
                <w:lang w:val="ro-RO" w:eastAsia="ru-RU"/>
              </w:rPr>
              <w:t>ț</w:t>
            </w:r>
            <w:r>
              <w:rPr>
                <w:rFonts w:eastAsia="Times New Roman"/>
                <w:sz w:val="28"/>
                <w:szCs w:val="28"/>
                <w:lang w:val="ro-RO" w:eastAsia="ru-RU"/>
              </w:rPr>
              <w:t>e obligatorii şi esen</w:t>
            </w:r>
            <w:r>
              <w:rPr>
                <w:rFonts w:eastAsia="Times New Roman"/>
                <w:sz w:val="28"/>
                <w:szCs w:val="28"/>
                <w:lang w:val="ro-RO" w:eastAsia="ru-RU"/>
              </w:rPr>
              <w:t>ț</w:t>
            </w:r>
            <w:r>
              <w:rPr>
                <w:rFonts w:eastAsia="Times New Roman"/>
                <w:sz w:val="28"/>
                <w:szCs w:val="28"/>
                <w:lang w:val="ro-RO" w:eastAsia="ru-RU"/>
              </w:rPr>
              <w:t xml:space="preserve">iale. Pentru a facilita stabilirea </w:t>
            </w:r>
            <w:r>
              <w:rPr>
                <w:rFonts w:eastAsia="Times New Roman"/>
                <w:sz w:val="28"/>
                <w:szCs w:val="28"/>
                <w:lang w:val="ro-RO" w:eastAsia="ru-RU"/>
              </w:rPr>
              <w:t xml:space="preserve">conformităţii cu cerinţele esenţiale, este necesară existenţa standardelor armonizate, în special cu privire la proiectarea </w:t>
            </w:r>
            <w:r>
              <w:rPr>
                <w:rFonts w:eastAsia="Times New Roman"/>
                <w:sz w:val="28"/>
                <w:szCs w:val="28"/>
                <w:lang w:val="ro-RO" w:eastAsia="ru-RU"/>
              </w:rPr>
              <w:t>ș</w:t>
            </w:r>
            <w:r>
              <w:rPr>
                <w:rFonts w:eastAsia="Times New Roman"/>
                <w:sz w:val="28"/>
                <w:szCs w:val="28"/>
                <w:lang w:val="ro-RO" w:eastAsia="ru-RU"/>
              </w:rPr>
              <w:t>i fabricarea.</w:t>
            </w:r>
          </w:p>
          <w:p w:rsidR="00000000" w:rsidRDefault="00053E90">
            <w:pPr>
              <w:tabs>
                <w:tab w:val="left" w:pos="600"/>
              </w:tabs>
              <w:jc w:val="both"/>
              <w:rPr>
                <w:b/>
                <w:sz w:val="28"/>
                <w:szCs w:val="28"/>
              </w:rPr>
            </w:pPr>
            <w:r>
              <w:rPr>
                <w:sz w:val="28"/>
                <w:szCs w:val="28"/>
              </w:rPr>
              <w:t xml:space="preserve">        In acest scop, pentru a facilita stabilirea conformităţii cu cerin</w:t>
            </w:r>
            <w:r>
              <w:rPr>
                <w:sz w:val="28"/>
                <w:szCs w:val="28"/>
              </w:rPr>
              <w:t>ț</w:t>
            </w:r>
            <w:r>
              <w:rPr>
                <w:sz w:val="28"/>
                <w:szCs w:val="28"/>
              </w:rPr>
              <w:t>ele directivei men</w:t>
            </w:r>
            <w:r>
              <w:rPr>
                <w:sz w:val="28"/>
                <w:szCs w:val="28"/>
              </w:rPr>
              <w:t>ț</w:t>
            </w:r>
            <w:r>
              <w:rPr>
                <w:sz w:val="28"/>
                <w:szCs w:val="28"/>
              </w:rPr>
              <w:t>ionate, este necesară e</w:t>
            </w:r>
            <w:r>
              <w:rPr>
                <w:sz w:val="28"/>
                <w:szCs w:val="28"/>
              </w:rPr>
              <w:t xml:space="preserve">xistenţa standardelor armonizate la nivel european, în special cu privire la proiectare, fabricare </w:t>
            </w:r>
            <w:r>
              <w:rPr>
                <w:sz w:val="28"/>
                <w:szCs w:val="28"/>
              </w:rPr>
              <w:t>ș</w:t>
            </w:r>
            <w:r>
              <w:rPr>
                <w:sz w:val="28"/>
                <w:szCs w:val="28"/>
              </w:rPr>
              <w:t xml:space="preserve">i exploatare </w:t>
            </w:r>
            <w:proofErr w:type="gramStart"/>
            <w:r>
              <w:rPr>
                <w:sz w:val="28"/>
                <w:szCs w:val="28"/>
              </w:rPr>
              <w:t>a</w:t>
            </w:r>
            <w:proofErr w:type="gramEnd"/>
            <w:r>
              <w:rPr>
                <w:sz w:val="28"/>
                <w:szCs w:val="28"/>
              </w:rPr>
              <w:t xml:space="preserve"> echipamentelor sub presiune transportabile. Echipamentelor sub presiune transportabile care, în urma procesului de evaluare a conformită</w:t>
            </w:r>
            <w:r>
              <w:rPr>
                <w:sz w:val="28"/>
                <w:szCs w:val="28"/>
              </w:rPr>
              <w:t>ț</w:t>
            </w:r>
            <w:r>
              <w:rPr>
                <w:sz w:val="28"/>
                <w:szCs w:val="28"/>
              </w:rPr>
              <w:t>ii p</w:t>
            </w:r>
            <w:r>
              <w:rPr>
                <w:sz w:val="28"/>
                <w:szCs w:val="28"/>
              </w:rPr>
              <w:t xml:space="preserve">revăzut de prezenta directivă se va demonstra conformitatea lor, producătorii vor aplica </w:t>
            </w:r>
            <w:r>
              <w:rPr>
                <w:b/>
                <w:sz w:val="28"/>
                <w:szCs w:val="28"/>
              </w:rPr>
              <w:t xml:space="preserve">marcajul „pi”. </w:t>
            </w:r>
          </w:p>
          <w:p w:rsidR="00000000" w:rsidRDefault="00053E90">
            <w:pPr>
              <w:pStyle w:val="Default"/>
              <w:tabs>
                <w:tab w:val="left" w:pos="600"/>
              </w:tabs>
              <w:ind w:right="98"/>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Standardele conexe conţin specificaţii tehnice care permit producătorilor de echipamente să se conformeze cerinţelor esenţiale de securitate şi</w:t>
            </w:r>
            <w:r>
              <w:rPr>
                <w:rFonts w:ascii="Times New Roman" w:hAnsi="Times New Roman" w:cs="Times New Roman"/>
                <w:color w:val="auto"/>
                <w:sz w:val="28"/>
                <w:szCs w:val="28"/>
                <w:lang w:val="ro-RO"/>
              </w:rPr>
              <w:t xml:space="preserve"> sănătate. Întrucît standardele conexe sunt elaborate şi adoptate pe baza unui consens între părţile interesate, specificaţiile lor oferă un bun indiciu asupra stadiului tehnicii existent la momentul adoptării lor. Evoluţia nivelului tehnologic este reflec</w:t>
            </w:r>
            <w:r>
              <w:rPr>
                <w:rFonts w:ascii="Times New Roman" w:hAnsi="Times New Roman" w:cs="Times New Roman"/>
                <w:color w:val="auto"/>
                <w:sz w:val="28"/>
                <w:szCs w:val="28"/>
                <w:lang w:val="ro-RO"/>
              </w:rPr>
              <w:t>tată în modificările ulterioare sau în reviziile standardelor conexe.</w:t>
            </w:r>
          </w:p>
          <w:p w:rsidR="00000000" w:rsidRDefault="00053E90">
            <w:pPr>
              <w:pStyle w:val="Default"/>
              <w:tabs>
                <w:tab w:val="left" w:pos="555"/>
                <w:tab w:val="left" w:pos="825"/>
              </w:tabs>
              <w:ind w:right="98"/>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Un producător care alege să nu aplice un standard conex, ci adoptă soluţii alternative trebuie să fie în măsură să demonstreze că aceste soluţii sunt conforme cu cerinţele din</w:t>
            </w:r>
            <w:r>
              <w:rPr>
                <w:rFonts w:ascii="Times New Roman" w:hAnsi="Times New Roman" w:cs="Times New Roman"/>
                <w:color w:val="auto"/>
                <w:sz w:val="28"/>
                <w:szCs w:val="28"/>
                <w:lang w:val="ro-RO"/>
              </w:rPr>
              <w:t xml:space="preserve"> </w:t>
            </w:r>
            <w:r>
              <w:rPr>
                <w:rFonts w:ascii="Times New Roman" w:eastAsia="Times New Roman" w:hAnsi="Times New Roman" w:cs="Times New Roman"/>
                <w:color w:val="auto"/>
                <w:sz w:val="28"/>
                <w:szCs w:val="28"/>
                <w:lang w:val="ro-MD"/>
              </w:rPr>
              <w:t>Directiva 2010/35/UE</w:t>
            </w:r>
            <w:r>
              <w:rPr>
                <w:rFonts w:ascii="Times New Roman" w:hAnsi="Times New Roman" w:cs="Times New Roman"/>
                <w:color w:val="auto"/>
                <w:sz w:val="28"/>
                <w:szCs w:val="28"/>
                <w:lang w:val="ro-RO"/>
              </w:rPr>
              <w:t xml:space="preserve">, luînd în considerare stadiul tehnicii momentului. </w:t>
            </w:r>
          </w:p>
          <w:p w:rsidR="00000000" w:rsidRDefault="00053E90">
            <w:pPr>
              <w:pStyle w:val="Default"/>
              <w:tabs>
                <w:tab w:val="left" w:pos="555"/>
              </w:tabs>
              <w:ind w:right="98"/>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În consecinţă, asemenea soluţii alternative trebuie să asigure un nivel de securitate care să fie cel puţin echivalent celui conferit de aplicarea specificaţiilor standardului</w:t>
            </w:r>
            <w:r>
              <w:rPr>
                <w:rFonts w:ascii="Times New Roman" w:hAnsi="Times New Roman" w:cs="Times New Roman"/>
                <w:color w:val="auto"/>
                <w:sz w:val="28"/>
                <w:szCs w:val="28"/>
                <w:lang w:val="ro-RO"/>
              </w:rPr>
              <w:t xml:space="preserve"> conex aplicabil.</w:t>
            </w:r>
            <w:r>
              <w:rPr>
                <w:rFonts w:ascii="Times New Roman" w:hAnsi="Times New Roman" w:cs="Times New Roman"/>
                <w:bCs/>
                <w:color w:val="auto"/>
                <w:sz w:val="28"/>
                <w:szCs w:val="28"/>
                <w:lang w:val="ro-RO"/>
              </w:rPr>
              <w:t xml:space="preserve"> </w:t>
            </w:r>
          </w:p>
          <w:p w:rsidR="00000000" w:rsidRDefault="00053E90">
            <w:pPr>
              <w:tabs>
                <w:tab w:val="left" w:pos="567"/>
                <w:tab w:val="left" w:pos="900"/>
              </w:tabs>
              <w:ind w:left="180"/>
              <w:jc w:val="both"/>
              <w:rPr>
                <w:rFonts w:eastAsia="Times New Roman"/>
                <w:sz w:val="28"/>
                <w:szCs w:val="28"/>
                <w:lang w:val="ro-RO" w:eastAsia="ru-RU"/>
              </w:rPr>
            </w:pPr>
            <w:r>
              <w:rPr>
                <w:rFonts w:eastAsia="Times New Roman"/>
                <w:sz w:val="28"/>
                <w:szCs w:val="28"/>
                <w:lang w:val="ro-RO" w:eastAsia="ru-RU"/>
              </w:rPr>
              <w:tab/>
              <w:t>La momentul actual Institutul Na</w:t>
            </w:r>
            <w:r>
              <w:rPr>
                <w:rFonts w:eastAsia="Times New Roman"/>
                <w:sz w:val="28"/>
                <w:szCs w:val="28"/>
                <w:lang w:val="ro-RO" w:eastAsia="ru-RU"/>
              </w:rPr>
              <w:t>ț</w:t>
            </w:r>
            <w:r>
              <w:rPr>
                <w:rFonts w:eastAsia="Times New Roman"/>
                <w:sz w:val="28"/>
                <w:szCs w:val="28"/>
                <w:lang w:val="ro-RO" w:eastAsia="ru-RU"/>
              </w:rPr>
              <w:t>ional de Standardizarer de</w:t>
            </w:r>
            <w:r>
              <w:rPr>
                <w:rFonts w:eastAsia="Times New Roman"/>
                <w:sz w:val="28"/>
                <w:szCs w:val="28"/>
                <w:lang w:val="ro-RO" w:eastAsia="ru-RU"/>
              </w:rPr>
              <w:t>ț</w:t>
            </w:r>
            <w:r>
              <w:rPr>
                <w:rFonts w:eastAsia="Times New Roman"/>
                <w:sz w:val="28"/>
                <w:szCs w:val="28"/>
                <w:lang w:val="ro-RO" w:eastAsia="ru-RU"/>
              </w:rPr>
              <w:t xml:space="preserve">ine Fondul necesar de standarde armonizate la Reglementarea tehnică privind echipamentele sub presiune transportabile. </w:t>
            </w:r>
          </w:p>
          <w:p w:rsidR="00000000" w:rsidRDefault="00053E90">
            <w:pPr>
              <w:tabs>
                <w:tab w:val="left" w:pos="0"/>
                <w:tab w:val="left" w:pos="570"/>
              </w:tabs>
              <w:jc w:val="both"/>
              <w:rPr>
                <w:rFonts w:eastAsia="Times New Roman"/>
                <w:sz w:val="28"/>
                <w:szCs w:val="28"/>
              </w:rPr>
            </w:pPr>
            <w:r>
              <w:rPr>
                <w:bCs/>
                <w:sz w:val="28"/>
                <w:szCs w:val="28"/>
                <w:lang w:val="ro-RO"/>
              </w:rPr>
              <w:t xml:space="preserve">        Concluzionând cele men</w:t>
            </w:r>
            <w:r>
              <w:rPr>
                <w:bCs/>
                <w:sz w:val="28"/>
                <w:szCs w:val="28"/>
                <w:lang w:val="ro-RO"/>
              </w:rPr>
              <w:t>ț</w:t>
            </w:r>
            <w:r>
              <w:rPr>
                <w:bCs/>
                <w:sz w:val="28"/>
                <w:szCs w:val="28"/>
                <w:lang w:val="ro-RO"/>
              </w:rPr>
              <w:t>ionate este imperios pent</w:t>
            </w:r>
            <w:r>
              <w:rPr>
                <w:bCs/>
                <w:sz w:val="28"/>
                <w:szCs w:val="28"/>
                <w:lang w:val="ro-RO"/>
              </w:rPr>
              <w:t>ru Republica Moldova armonizarea legisla</w:t>
            </w:r>
            <w:r>
              <w:rPr>
                <w:bCs/>
                <w:sz w:val="28"/>
                <w:szCs w:val="28"/>
                <w:lang w:val="ro-RO"/>
              </w:rPr>
              <w:t>ț</w:t>
            </w:r>
            <w:r>
              <w:rPr>
                <w:bCs/>
                <w:sz w:val="28"/>
                <w:szCs w:val="28"/>
                <w:lang w:val="ro-RO"/>
              </w:rPr>
              <w:t xml:space="preserve">iei ce </w:t>
            </w:r>
            <w:r>
              <w:rPr>
                <w:bCs/>
                <w:sz w:val="28"/>
                <w:szCs w:val="28"/>
                <w:lang w:val="ro-RO"/>
              </w:rPr>
              <w:t>ț</w:t>
            </w:r>
            <w:r>
              <w:rPr>
                <w:bCs/>
                <w:sz w:val="28"/>
                <w:szCs w:val="28"/>
                <w:lang w:val="ro-RO"/>
              </w:rPr>
              <w:t>ine de domeniul echipamentelor sub presiune transportabile cu legisla</w:t>
            </w:r>
            <w:r>
              <w:rPr>
                <w:bCs/>
                <w:sz w:val="28"/>
                <w:szCs w:val="28"/>
                <w:lang w:val="ro-RO"/>
              </w:rPr>
              <w:t>ț</w:t>
            </w:r>
            <w:r>
              <w:rPr>
                <w:bCs/>
                <w:sz w:val="28"/>
                <w:szCs w:val="28"/>
                <w:lang w:val="ro-RO"/>
              </w:rPr>
              <w:t xml:space="preserve">ia europeană armonizată </w:t>
            </w:r>
            <w:r>
              <w:rPr>
                <w:bCs/>
                <w:sz w:val="28"/>
                <w:szCs w:val="28"/>
                <w:lang w:val="ro-RO"/>
              </w:rPr>
              <w:t>ș</w:t>
            </w:r>
            <w:r>
              <w:rPr>
                <w:bCs/>
                <w:sz w:val="28"/>
                <w:szCs w:val="28"/>
                <w:lang w:val="ro-RO"/>
              </w:rPr>
              <w:t xml:space="preserve">i ca urmare punerea în aplicare </w:t>
            </w:r>
            <w:r>
              <w:rPr>
                <w:bCs/>
                <w:sz w:val="28"/>
                <w:szCs w:val="28"/>
                <w:lang w:val="ro-RO"/>
              </w:rPr>
              <w:t>ș</w:t>
            </w:r>
            <w:r>
              <w:rPr>
                <w:bCs/>
                <w:sz w:val="28"/>
                <w:szCs w:val="28"/>
                <w:lang w:val="ro-RO"/>
              </w:rPr>
              <w:t>i implementarea standardelor europene armonizate.</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lastRenderedPageBreak/>
              <w:t>3. Stabilirea obiectivelor</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tabs>
                <w:tab w:val="left" w:pos="567"/>
              </w:tabs>
              <w:jc w:val="both"/>
              <w:rPr>
                <w:sz w:val="28"/>
                <w:szCs w:val="28"/>
              </w:rPr>
            </w:pPr>
            <w:r>
              <w:rPr>
                <w:sz w:val="28"/>
                <w:szCs w:val="28"/>
              </w:rPr>
              <w:t xml:space="preserve">       </w:t>
            </w:r>
            <w:r>
              <w:rPr>
                <w:sz w:val="28"/>
                <w:szCs w:val="28"/>
                <w:lang w:val="ro-RO"/>
              </w:rPr>
              <w:t>Obiectivul politicii statului în domeniul reglementărilor este de a stabili un cadru normative care va ajusta prevederile na</w:t>
            </w:r>
            <w:r>
              <w:rPr>
                <w:sz w:val="28"/>
                <w:szCs w:val="28"/>
                <w:lang w:val="ro-RO"/>
              </w:rPr>
              <w:t>ț</w:t>
            </w:r>
            <w:r>
              <w:rPr>
                <w:sz w:val="28"/>
                <w:szCs w:val="28"/>
                <w:lang w:val="ro-RO"/>
              </w:rPr>
              <w:t>ionale la prevederile legisla</w:t>
            </w:r>
            <w:r>
              <w:rPr>
                <w:sz w:val="28"/>
                <w:szCs w:val="28"/>
                <w:lang w:val="ro-RO"/>
              </w:rPr>
              <w:t>ț</w:t>
            </w:r>
            <w:r>
              <w:rPr>
                <w:sz w:val="28"/>
                <w:szCs w:val="28"/>
                <w:lang w:val="ro-RO"/>
              </w:rPr>
              <w:t xml:space="preserve">iei comunitare vizând </w:t>
            </w:r>
            <w:r>
              <w:rPr>
                <w:rFonts w:eastAsia="Arial Unicode MS"/>
                <w:bCs/>
                <w:sz w:val="28"/>
                <w:szCs w:val="28"/>
                <w:lang w:val="ro-RO" w:eastAsia="ro-RO"/>
              </w:rPr>
              <w:t>echipamente sub presiune transportabile.</w:t>
            </w:r>
          </w:p>
          <w:p w:rsidR="00000000" w:rsidRDefault="00053E90">
            <w:pPr>
              <w:tabs>
                <w:tab w:val="left" w:pos="567"/>
              </w:tabs>
              <w:jc w:val="both"/>
              <w:rPr>
                <w:rFonts w:eastAsia="Times New Roman"/>
                <w:sz w:val="28"/>
                <w:szCs w:val="28"/>
                <w:lang w:val="ro-RO" w:eastAsia="ru-RU"/>
              </w:rPr>
            </w:pPr>
            <w:r>
              <w:rPr>
                <w:rFonts w:eastAsia="Times New Roman"/>
                <w:sz w:val="28"/>
                <w:szCs w:val="28"/>
                <w:lang w:val="ro-RO" w:eastAsia="ru-RU"/>
              </w:rPr>
              <w:t xml:space="preserve">       Obiectivul </w:t>
            </w:r>
            <w:r>
              <w:rPr>
                <w:rFonts w:eastAsia="Times New Roman"/>
                <w:sz w:val="28"/>
                <w:szCs w:val="28"/>
                <w:lang w:val="ro-RO" w:eastAsia="ru-RU"/>
              </w:rPr>
              <w:t xml:space="preserve">este consolidarea </w:t>
            </w:r>
            <w:r>
              <w:rPr>
                <w:rFonts w:eastAsia="Times New Roman"/>
                <w:sz w:val="28"/>
                <w:szCs w:val="28"/>
                <w:lang w:val="ro-RO" w:eastAsia="ru-RU"/>
              </w:rPr>
              <w:t>ș</w:t>
            </w:r>
            <w:r>
              <w:rPr>
                <w:rFonts w:eastAsia="Times New Roman"/>
                <w:sz w:val="28"/>
                <w:szCs w:val="28"/>
                <w:lang w:val="ro-RO" w:eastAsia="ru-RU"/>
              </w:rPr>
              <w:t xml:space="preserve">i completarea normelor existente, precum </w:t>
            </w:r>
            <w:r>
              <w:rPr>
                <w:rFonts w:eastAsia="Times New Roman"/>
                <w:sz w:val="28"/>
                <w:szCs w:val="28"/>
                <w:lang w:val="ro-RO" w:eastAsia="ru-RU"/>
              </w:rPr>
              <w:t>ș</w:t>
            </w:r>
            <w:r>
              <w:rPr>
                <w:rFonts w:eastAsia="Times New Roman"/>
                <w:sz w:val="28"/>
                <w:szCs w:val="28"/>
                <w:lang w:val="ro-RO" w:eastAsia="ru-RU"/>
              </w:rPr>
              <w:t>i îmbunătă</w:t>
            </w:r>
            <w:r>
              <w:rPr>
                <w:rFonts w:eastAsia="Times New Roman"/>
                <w:sz w:val="28"/>
                <w:szCs w:val="28"/>
                <w:lang w:val="ro-RO" w:eastAsia="ru-RU"/>
              </w:rPr>
              <w:t>ț</w:t>
            </w:r>
            <w:r>
              <w:rPr>
                <w:rFonts w:eastAsia="Times New Roman"/>
                <w:sz w:val="28"/>
                <w:szCs w:val="28"/>
                <w:lang w:val="ro-RO" w:eastAsia="ru-RU"/>
              </w:rPr>
              <w:t xml:space="preserve">irea aspectelor practice ale aplicării </w:t>
            </w:r>
            <w:r>
              <w:rPr>
                <w:rFonts w:eastAsia="Times New Roman"/>
                <w:sz w:val="28"/>
                <w:szCs w:val="28"/>
                <w:lang w:val="ro-RO" w:eastAsia="ru-RU"/>
              </w:rPr>
              <w:t>ș</w:t>
            </w:r>
            <w:r>
              <w:rPr>
                <w:rFonts w:eastAsia="Times New Roman"/>
                <w:sz w:val="28"/>
                <w:szCs w:val="28"/>
                <w:lang w:val="ro-RO" w:eastAsia="ru-RU"/>
              </w:rPr>
              <w:t xml:space="preserve">i asigurării respectării lor.  </w:t>
            </w:r>
          </w:p>
          <w:p w:rsidR="00000000" w:rsidRDefault="00053E90">
            <w:pPr>
              <w:tabs>
                <w:tab w:val="left" w:pos="540"/>
              </w:tabs>
              <w:jc w:val="both"/>
              <w:rPr>
                <w:sz w:val="28"/>
                <w:szCs w:val="28"/>
                <w:lang w:val="ro-RO"/>
              </w:rPr>
            </w:pPr>
            <w:r>
              <w:rPr>
                <w:sz w:val="28"/>
                <w:szCs w:val="28"/>
                <w:lang w:val="ro-RO"/>
              </w:rPr>
              <w:t xml:space="preserve">       Obiectivul  de bază este eliminarea barierelor </w:t>
            </w:r>
            <w:r>
              <w:rPr>
                <w:sz w:val="28"/>
                <w:szCs w:val="28"/>
                <w:lang w:val="ro-RO"/>
              </w:rPr>
              <w:t>ș</w:t>
            </w:r>
            <w:r>
              <w:rPr>
                <w:sz w:val="28"/>
                <w:szCs w:val="28"/>
                <w:lang w:val="ro-RO"/>
              </w:rPr>
              <w:t>i libera circula</w:t>
            </w:r>
            <w:r>
              <w:rPr>
                <w:sz w:val="28"/>
                <w:szCs w:val="28"/>
                <w:lang w:val="ro-RO"/>
              </w:rPr>
              <w:t>ț</w:t>
            </w:r>
            <w:r>
              <w:rPr>
                <w:sz w:val="28"/>
                <w:szCs w:val="28"/>
                <w:lang w:val="ro-RO"/>
              </w:rPr>
              <w:t>ie a mărfurilor în cadrul pie</w:t>
            </w:r>
            <w:r>
              <w:rPr>
                <w:sz w:val="28"/>
                <w:szCs w:val="28"/>
                <w:lang w:val="ro-RO"/>
              </w:rPr>
              <w:t>ț</w:t>
            </w:r>
            <w:r>
              <w:rPr>
                <w:sz w:val="28"/>
                <w:szCs w:val="28"/>
                <w:lang w:val="ro-RO"/>
              </w:rPr>
              <w:t xml:space="preserve">ei unice. </w:t>
            </w:r>
            <w:r>
              <w:rPr>
                <w:sz w:val="28"/>
                <w:szCs w:val="28"/>
                <w:lang w:val="ro-RO"/>
              </w:rPr>
              <w:t xml:space="preserve">  </w:t>
            </w:r>
          </w:p>
          <w:p w:rsidR="00000000" w:rsidRDefault="00053E90">
            <w:pPr>
              <w:tabs>
                <w:tab w:val="left" w:pos="540"/>
              </w:tabs>
              <w:jc w:val="both"/>
              <w:rPr>
                <w:sz w:val="28"/>
                <w:szCs w:val="28"/>
                <w:lang w:val="ro-RO"/>
              </w:rPr>
            </w:pPr>
            <w:r>
              <w:rPr>
                <w:sz w:val="28"/>
                <w:szCs w:val="28"/>
                <w:lang w:val="ro-RO"/>
              </w:rPr>
              <w:t xml:space="preserve">       Acest obiectiv este completat de o politică cuprinzătoare destinată să garanteze  că numai produsele sigure </w:t>
            </w:r>
            <w:r>
              <w:rPr>
                <w:sz w:val="28"/>
                <w:szCs w:val="28"/>
                <w:lang w:val="ro-RO"/>
              </w:rPr>
              <w:t>ș</w:t>
            </w:r>
            <w:r>
              <w:rPr>
                <w:sz w:val="28"/>
                <w:szCs w:val="28"/>
                <w:lang w:val="ro-RO"/>
              </w:rPr>
              <w:t>i conforme în alte privin</w:t>
            </w:r>
            <w:r>
              <w:rPr>
                <w:sz w:val="28"/>
                <w:szCs w:val="28"/>
                <w:lang w:val="ro-RO"/>
              </w:rPr>
              <w:t>ț</w:t>
            </w:r>
            <w:r>
              <w:rPr>
                <w:sz w:val="28"/>
                <w:szCs w:val="28"/>
                <w:lang w:val="ro-RO"/>
              </w:rPr>
              <w:t>e sunt introduse pe pia</w:t>
            </w:r>
            <w:r>
              <w:rPr>
                <w:sz w:val="28"/>
                <w:szCs w:val="28"/>
                <w:lang w:val="ro-RO"/>
              </w:rPr>
              <w:t>ț</w:t>
            </w:r>
            <w:r>
              <w:rPr>
                <w:sz w:val="28"/>
                <w:szCs w:val="28"/>
                <w:lang w:val="ro-RO"/>
              </w:rPr>
              <w:t>ă, astfel încât orice operator economic cinstit să poată beneficia de un mediu echitabi</w:t>
            </w:r>
            <w:r>
              <w:rPr>
                <w:sz w:val="28"/>
                <w:szCs w:val="28"/>
                <w:lang w:val="ro-RO"/>
              </w:rPr>
              <w:t>l, favorizând, în acela</w:t>
            </w:r>
            <w:r>
              <w:rPr>
                <w:sz w:val="28"/>
                <w:szCs w:val="28"/>
                <w:lang w:val="ro-RO"/>
              </w:rPr>
              <w:t>ș</w:t>
            </w:r>
            <w:r>
              <w:rPr>
                <w:sz w:val="28"/>
                <w:szCs w:val="28"/>
                <w:lang w:val="ro-RO"/>
              </w:rPr>
              <w:t>i timp, o protec</w:t>
            </w:r>
            <w:r>
              <w:rPr>
                <w:sz w:val="28"/>
                <w:szCs w:val="28"/>
                <w:lang w:val="ro-RO"/>
              </w:rPr>
              <w:t>ț</w:t>
            </w:r>
            <w:r>
              <w:rPr>
                <w:sz w:val="28"/>
                <w:szCs w:val="28"/>
                <w:lang w:val="ro-RO"/>
              </w:rPr>
              <w:t xml:space="preserve">ie </w:t>
            </w:r>
            <w:r>
              <w:rPr>
                <w:sz w:val="28"/>
                <w:szCs w:val="28"/>
                <w:lang w:val="ro-RO"/>
              </w:rPr>
              <w:lastRenderedPageBreak/>
              <w:t xml:space="preserve">eficientă a consumatorilor </w:t>
            </w:r>
            <w:r>
              <w:rPr>
                <w:sz w:val="28"/>
                <w:szCs w:val="28"/>
                <w:lang w:val="ro-RO"/>
              </w:rPr>
              <w:t>ș</w:t>
            </w:r>
            <w:r>
              <w:rPr>
                <w:sz w:val="28"/>
                <w:szCs w:val="28"/>
                <w:lang w:val="ro-RO"/>
              </w:rPr>
              <w:t xml:space="preserve">i a utilizatorilor profesionali din UE, precum </w:t>
            </w:r>
            <w:r>
              <w:rPr>
                <w:sz w:val="28"/>
                <w:szCs w:val="28"/>
                <w:lang w:val="ro-RO"/>
              </w:rPr>
              <w:t>ș</w:t>
            </w:r>
            <w:r>
              <w:rPr>
                <w:sz w:val="28"/>
                <w:szCs w:val="28"/>
                <w:lang w:val="ro-RO"/>
              </w:rPr>
              <w:t>i o pia</w:t>
            </w:r>
            <w:r>
              <w:rPr>
                <w:sz w:val="28"/>
                <w:szCs w:val="28"/>
                <w:lang w:val="ro-RO"/>
              </w:rPr>
              <w:t>ț</w:t>
            </w:r>
            <w:r>
              <w:rPr>
                <w:sz w:val="28"/>
                <w:szCs w:val="28"/>
                <w:lang w:val="ro-RO"/>
              </w:rPr>
              <w:t>ă unică europeană concuren</w:t>
            </w:r>
            <w:r>
              <w:rPr>
                <w:sz w:val="28"/>
                <w:szCs w:val="28"/>
                <w:lang w:val="ro-RO"/>
              </w:rPr>
              <w:t>ț</w:t>
            </w:r>
            <w:r>
              <w:rPr>
                <w:sz w:val="28"/>
                <w:szCs w:val="28"/>
                <w:lang w:val="ro-RO"/>
              </w:rPr>
              <w:t>ială.</w:t>
            </w:r>
          </w:p>
          <w:p w:rsidR="00000000" w:rsidRDefault="00053E90">
            <w:pPr>
              <w:pStyle w:val="NoSpacing"/>
              <w:tabs>
                <w:tab w:val="left" w:pos="555"/>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Ca obiective întreprinse din partea statului pot fi:</w:t>
            </w:r>
          </w:p>
          <w:p w:rsidR="00000000" w:rsidRDefault="00053E90">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ajustarea prevederilor la practi</w:t>
            </w:r>
            <w:r>
              <w:rPr>
                <w:rFonts w:ascii="Times New Roman" w:hAnsi="Times New Roman" w:cs="Times New Roman"/>
                <w:sz w:val="28"/>
                <w:szCs w:val="28"/>
                <w:lang w:val="ro-RO"/>
              </w:rPr>
              <w:t>ca europeană;</w:t>
            </w:r>
          </w:p>
          <w:p w:rsidR="00000000" w:rsidRDefault="00053E90">
            <w:pPr>
              <w:tabs>
                <w:tab w:val="left" w:pos="567"/>
              </w:tabs>
              <w:jc w:val="both"/>
              <w:rPr>
                <w:sz w:val="28"/>
                <w:szCs w:val="28"/>
                <w:lang w:val="ro-RO"/>
              </w:rPr>
            </w:pPr>
            <w:r>
              <w:rPr>
                <w:sz w:val="28"/>
                <w:szCs w:val="28"/>
                <w:lang w:val="ro-RO"/>
              </w:rPr>
              <w:t>- ridicarea nivelului de cuno</w:t>
            </w:r>
            <w:r>
              <w:rPr>
                <w:sz w:val="28"/>
                <w:szCs w:val="28"/>
                <w:lang w:val="ro-RO"/>
              </w:rPr>
              <w:t>ș</w:t>
            </w:r>
            <w:r>
              <w:rPr>
                <w:sz w:val="28"/>
                <w:szCs w:val="28"/>
                <w:lang w:val="ro-RO"/>
              </w:rPr>
              <w:t>tin</w:t>
            </w:r>
            <w:r>
              <w:rPr>
                <w:sz w:val="28"/>
                <w:szCs w:val="28"/>
                <w:lang w:val="ro-RO"/>
              </w:rPr>
              <w:t>ț</w:t>
            </w:r>
            <w:r>
              <w:rPr>
                <w:sz w:val="28"/>
                <w:szCs w:val="28"/>
                <w:lang w:val="ro-RO"/>
              </w:rPr>
              <w:t>e prin instruire a organelor competente de supraveghere a pie</w:t>
            </w:r>
            <w:r>
              <w:rPr>
                <w:sz w:val="28"/>
                <w:szCs w:val="28"/>
                <w:lang w:val="ro-RO"/>
              </w:rPr>
              <w:t>ț</w:t>
            </w:r>
            <w:r>
              <w:rPr>
                <w:sz w:val="28"/>
                <w:szCs w:val="28"/>
                <w:lang w:val="ro-RO"/>
              </w:rPr>
              <w:t>ei;</w:t>
            </w:r>
          </w:p>
          <w:p w:rsidR="00000000" w:rsidRDefault="00053E90">
            <w:pPr>
              <w:pStyle w:val="1"/>
              <w:shd w:val="clear" w:color="auto" w:fill="auto"/>
              <w:tabs>
                <w:tab w:val="left" w:pos="881"/>
              </w:tabs>
              <w:spacing w:after="0" w:line="240" w:lineRule="auto"/>
              <w:ind w:firstLine="0"/>
              <w:rPr>
                <w:sz w:val="28"/>
                <w:szCs w:val="28"/>
                <w:lang w:val="ro-RO"/>
              </w:rPr>
            </w:pPr>
            <w:r>
              <w:rPr>
                <w:sz w:val="28"/>
                <w:szCs w:val="28"/>
                <w:lang w:val="ro-RO"/>
              </w:rPr>
              <w:t>- ridicarea nivelului de responsabilitate a autorită</w:t>
            </w:r>
            <w:r>
              <w:rPr>
                <w:sz w:val="28"/>
                <w:szCs w:val="28"/>
                <w:lang w:val="ro-RO"/>
              </w:rPr>
              <w:t>ț</w:t>
            </w:r>
            <w:r>
              <w:rPr>
                <w:sz w:val="28"/>
                <w:szCs w:val="28"/>
                <w:lang w:val="ro-RO"/>
              </w:rPr>
              <w:t>ilor de reglementare;</w:t>
            </w:r>
          </w:p>
          <w:p w:rsidR="00000000" w:rsidRDefault="00053E90">
            <w:pPr>
              <w:pStyle w:val="1"/>
              <w:shd w:val="clear" w:color="auto" w:fill="auto"/>
              <w:spacing w:after="0" w:line="240" w:lineRule="auto"/>
              <w:ind w:firstLine="0"/>
              <w:rPr>
                <w:sz w:val="28"/>
                <w:szCs w:val="28"/>
                <w:lang w:val="ro-RO"/>
              </w:rPr>
            </w:pPr>
            <w:r>
              <w:rPr>
                <w:sz w:val="28"/>
                <w:szCs w:val="28"/>
                <w:lang w:val="ro-RO"/>
              </w:rPr>
              <w:t>- ridicarea responsabilită</w:t>
            </w:r>
            <w:r>
              <w:rPr>
                <w:sz w:val="28"/>
                <w:szCs w:val="28"/>
                <w:lang w:val="ro-RO"/>
              </w:rPr>
              <w:t>ț</w:t>
            </w:r>
            <w:r>
              <w:rPr>
                <w:sz w:val="28"/>
                <w:szCs w:val="28"/>
                <w:lang w:val="ro-RO"/>
              </w:rPr>
              <w:t>ii producătorilor pentru produsele plasa</w:t>
            </w:r>
            <w:r>
              <w:rPr>
                <w:sz w:val="28"/>
                <w:szCs w:val="28"/>
                <w:lang w:val="ro-RO"/>
              </w:rPr>
              <w:t>te pe pia</w:t>
            </w:r>
            <w:r>
              <w:rPr>
                <w:sz w:val="28"/>
                <w:szCs w:val="28"/>
                <w:lang w:val="ro-RO"/>
              </w:rPr>
              <w:t>ț</w:t>
            </w:r>
            <w:r>
              <w:rPr>
                <w:sz w:val="28"/>
                <w:szCs w:val="28"/>
                <w:lang w:val="ro-RO"/>
              </w:rPr>
              <w:t>ă;</w:t>
            </w:r>
          </w:p>
          <w:p w:rsidR="00000000" w:rsidRDefault="00053E90">
            <w:pPr>
              <w:pStyle w:val="1"/>
              <w:shd w:val="clear" w:color="auto" w:fill="auto"/>
              <w:spacing w:after="0" w:line="240" w:lineRule="auto"/>
              <w:ind w:firstLine="0"/>
              <w:rPr>
                <w:sz w:val="28"/>
                <w:szCs w:val="28"/>
                <w:lang w:val="ro-RO"/>
              </w:rPr>
            </w:pPr>
            <w:r>
              <w:rPr>
                <w:sz w:val="28"/>
                <w:szCs w:val="28"/>
                <w:lang w:val="ro-RO"/>
              </w:rPr>
              <w:t>- stabilirea şi dezvoltarea cooperării cu autorităţile competente din alte ţări, în scopul schimbului de informaţii privind produsele periculoase;</w:t>
            </w:r>
          </w:p>
          <w:p w:rsidR="00000000" w:rsidRDefault="00053E90">
            <w:pPr>
              <w:jc w:val="both"/>
              <w:rPr>
                <w:sz w:val="28"/>
                <w:szCs w:val="28"/>
                <w:lang w:val="ro-RO"/>
              </w:rPr>
            </w:pPr>
            <w:r>
              <w:rPr>
                <w:sz w:val="28"/>
                <w:szCs w:val="28"/>
                <w:lang w:val="ro-RO"/>
              </w:rPr>
              <w:t>- armonizarea cadrului legislativ şi normativ cu conceptul nou a legislaţiei UE în domeniu;</w:t>
            </w:r>
          </w:p>
          <w:p w:rsidR="00000000" w:rsidRDefault="00053E90">
            <w:pPr>
              <w:numPr>
                <w:ilvl w:val="0"/>
                <w:numId w:val="8"/>
              </w:numPr>
              <w:ind w:left="0"/>
              <w:jc w:val="both"/>
              <w:rPr>
                <w:sz w:val="28"/>
                <w:szCs w:val="28"/>
                <w:lang w:val="ro-RO"/>
              </w:rPr>
            </w:pPr>
            <w:r>
              <w:rPr>
                <w:sz w:val="28"/>
                <w:szCs w:val="28"/>
                <w:lang w:val="ro-RO"/>
              </w:rPr>
              <w:t>- ac</w:t>
            </w:r>
            <w:r>
              <w:rPr>
                <w:sz w:val="28"/>
                <w:szCs w:val="28"/>
                <w:lang w:val="ro-RO"/>
              </w:rPr>
              <w:t xml:space="preserve">cesul unor produse sigure pe piaţa RM; </w:t>
            </w:r>
          </w:p>
          <w:p w:rsidR="00000000" w:rsidRDefault="00053E90">
            <w:pPr>
              <w:jc w:val="both"/>
              <w:rPr>
                <w:sz w:val="28"/>
                <w:szCs w:val="28"/>
                <w:lang w:val="ro-RO"/>
              </w:rPr>
            </w:pPr>
            <w:r>
              <w:rPr>
                <w:sz w:val="28"/>
                <w:szCs w:val="28"/>
                <w:lang w:val="ro-RO"/>
              </w:rPr>
              <w:t>- dezvoltarea cadrului normativ care va reglementa condiţiile de plasare pe piaţă a echipamentelor sub presiune transportabile ;</w:t>
            </w:r>
          </w:p>
          <w:p w:rsidR="00000000" w:rsidRDefault="00053E90">
            <w:pPr>
              <w:jc w:val="both"/>
              <w:rPr>
                <w:sz w:val="28"/>
                <w:szCs w:val="28"/>
                <w:lang w:val="ro-RO"/>
              </w:rPr>
            </w:pPr>
            <w:r>
              <w:rPr>
                <w:sz w:val="28"/>
                <w:szCs w:val="28"/>
                <w:lang w:val="ro-RO"/>
              </w:rPr>
              <w:t>- consolidarea capacităţilor organismelor de evaluare a conformităţii, şi compatibilita</w:t>
            </w:r>
            <w:r>
              <w:rPr>
                <w:sz w:val="28"/>
                <w:szCs w:val="28"/>
                <w:lang w:val="ro-RO"/>
              </w:rPr>
              <w:t xml:space="preserve">tea practicilor europene.  </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lastRenderedPageBreak/>
              <w:t>4. Identificarea opţiunilor</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spacing w:after="120"/>
              <w:jc w:val="both"/>
              <w:rPr>
                <w:b/>
                <w:bCs/>
                <w:sz w:val="28"/>
                <w:szCs w:val="28"/>
                <w:lang w:val="ro-RO" w:eastAsia="ro-RO"/>
              </w:rPr>
            </w:pPr>
            <w:r>
              <w:rPr>
                <w:rFonts w:eastAsia="Times New Roman"/>
                <w:sz w:val="28"/>
                <w:szCs w:val="28"/>
                <w:lang w:val="ro-RO"/>
              </w:rPr>
              <w:t> </w:t>
            </w:r>
            <w:r>
              <w:rPr>
                <w:b/>
                <w:bCs/>
                <w:sz w:val="28"/>
                <w:szCs w:val="28"/>
                <w:lang w:val="ro-RO" w:eastAsia="ro-RO"/>
              </w:rPr>
              <w:t>Opţiunile propuse sînt următoarele:</w:t>
            </w:r>
          </w:p>
          <w:p w:rsidR="00000000" w:rsidRDefault="00053E90">
            <w:pPr>
              <w:keepNext/>
              <w:keepLines/>
              <w:ind w:firstLine="97"/>
              <w:jc w:val="both"/>
              <w:outlineLvl w:val="0"/>
              <w:rPr>
                <w:bCs/>
                <w:sz w:val="28"/>
                <w:szCs w:val="28"/>
                <w:lang w:val="ro-RO" w:eastAsia="ro-RO"/>
              </w:rPr>
            </w:pPr>
            <w:r>
              <w:rPr>
                <w:b/>
                <w:bCs/>
                <w:sz w:val="28"/>
                <w:szCs w:val="28"/>
                <w:lang w:val="ro-RO" w:eastAsia="ro-RO"/>
              </w:rPr>
              <w:t>Opţiunea I</w:t>
            </w:r>
            <w:r>
              <w:rPr>
                <w:bCs/>
                <w:sz w:val="28"/>
                <w:szCs w:val="28"/>
                <w:lang w:val="ro-RO" w:eastAsia="ro-RO"/>
              </w:rPr>
              <w:t xml:space="preserve"> – a nu face nimic, a lăsa lucrurile aşa cum sînt;</w:t>
            </w:r>
          </w:p>
          <w:p w:rsidR="00000000" w:rsidRDefault="00053E90">
            <w:pPr>
              <w:keepNext/>
              <w:keepLines/>
              <w:ind w:firstLine="97"/>
              <w:jc w:val="both"/>
              <w:outlineLvl w:val="0"/>
              <w:rPr>
                <w:sz w:val="28"/>
                <w:szCs w:val="28"/>
              </w:rPr>
            </w:pPr>
            <w:r>
              <w:rPr>
                <w:b/>
                <w:bCs/>
                <w:sz w:val="28"/>
                <w:szCs w:val="28"/>
                <w:lang w:val="ro-RO" w:eastAsia="ro-RO"/>
              </w:rPr>
              <w:t>Opţiunea II</w:t>
            </w:r>
            <w:r>
              <w:rPr>
                <w:bCs/>
                <w:sz w:val="28"/>
                <w:szCs w:val="28"/>
                <w:lang w:val="ro-RO" w:eastAsia="ro-RO"/>
              </w:rPr>
              <w:t xml:space="preserve"> – adoptarea p</w:t>
            </w:r>
            <w:r>
              <w:rPr>
                <w:sz w:val="28"/>
                <w:szCs w:val="28"/>
              </w:rPr>
              <w:t xml:space="preserve">roiectului Hotărîrii Guvernului </w:t>
            </w:r>
            <w:r>
              <w:rPr>
                <w:bCs/>
                <w:sz w:val="28"/>
                <w:szCs w:val="28"/>
                <w:lang w:val="ro-RO"/>
              </w:rPr>
              <w:t xml:space="preserve">cu privire la aprobarea Reglementării tehnice </w:t>
            </w:r>
            <w:r>
              <w:rPr>
                <w:rFonts w:eastAsia="Arial Unicode MS"/>
                <w:bCs/>
                <w:sz w:val="28"/>
                <w:szCs w:val="28"/>
                <w:lang w:val="ro-RO" w:eastAsia="ro-RO"/>
              </w:rPr>
              <w:t>privind echipamente sub presiune transportabile.</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5. Analiza şi compararea opţiunilor</w:t>
            </w:r>
          </w:p>
        </w:tc>
      </w:tr>
      <w:tr w:rsidR="00000000">
        <w:trPr>
          <w:trHeight w:val="5211"/>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Style w:val="TableGrid"/>
              <w:tblW w:w="11168" w:type="dxa"/>
              <w:tblInd w:w="0" w:type="dxa"/>
              <w:tblLook w:val="04A0" w:firstRow="1" w:lastRow="0" w:firstColumn="1" w:lastColumn="0" w:noHBand="0" w:noVBand="1"/>
            </w:tblPr>
            <w:tblGrid>
              <w:gridCol w:w="3562"/>
              <w:gridCol w:w="4043"/>
              <w:gridCol w:w="3563"/>
            </w:tblGrid>
            <w:tr w:rsidR="00000000">
              <w:tc>
                <w:tcPr>
                  <w:tcW w:w="3562" w:type="dxa"/>
                  <w:tcBorders>
                    <w:top w:val="single" w:sz="4" w:space="0" w:color="auto"/>
                    <w:left w:val="single" w:sz="4" w:space="0" w:color="auto"/>
                    <w:bottom w:val="single" w:sz="4" w:space="0" w:color="auto"/>
                    <w:right w:val="single" w:sz="4" w:space="0" w:color="auto"/>
                  </w:tcBorders>
                  <w:hideMark/>
                </w:tcPr>
                <w:p w:rsidR="00000000" w:rsidRDefault="00053E90">
                  <w:pPr>
                    <w:rPr>
                      <w:rFonts w:eastAsia="Times New Roman"/>
                      <w:sz w:val="28"/>
                      <w:szCs w:val="28"/>
                      <w:lang w:val="ro-RO"/>
                    </w:rPr>
                  </w:pPr>
                  <w:r>
                    <w:rPr>
                      <w:rFonts w:eastAsia="Times New Roman"/>
                      <w:sz w:val="28"/>
                      <w:szCs w:val="28"/>
                      <w:lang w:val="ro-RO"/>
                    </w:rPr>
                    <w:t> </w:t>
                  </w:r>
                  <w:r>
                    <w:rPr>
                      <w:b/>
                      <w:sz w:val="28"/>
                      <w:szCs w:val="28"/>
                      <w:lang w:val="ro-MD"/>
                    </w:rPr>
                    <w:t>Alternativa</w:t>
                  </w:r>
                </w:p>
              </w:tc>
              <w:tc>
                <w:tcPr>
                  <w:tcW w:w="4043"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rPr>
                  </w:pPr>
                  <w:r>
                    <w:rPr>
                      <w:b/>
                      <w:sz w:val="28"/>
                      <w:szCs w:val="28"/>
                      <w:lang w:val="ro-MD"/>
                    </w:rPr>
                    <w:t>Posibilele avantaje</w:t>
                  </w:r>
                </w:p>
              </w:tc>
              <w:tc>
                <w:tcPr>
                  <w:tcW w:w="3563" w:type="dxa"/>
                  <w:tcBorders>
                    <w:top w:val="single" w:sz="4" w:space="0" w:color="auto"/>
                    <w:left w:val="single" w:sz="4" w:space="0" w:color="auto"/>
                    <w:bottom w:val="single" w:sz="4" w:space="0" w:color="auto"/>
                    <w:right w:val="single" w:sz="4" w:space="0" w:color="auto"/>
                  </w:tcBorders>
                  <w:hideMark/>
                </w:tcPr>
                <w:p w:rsidR="00000000" w:rsidRDefault="00053E90">
                  <w:pPr>
                    <w:jc w:val="center"/>
                    <w:rPr>
                      <w:rFonts w:eastAsia="Times New Roman"/>
                      <w:sz w:val="28"/>
                      <w:szCs w:val="28"/>
                      <w:lang w:val="ro-RO"/>
                    </w:rPr>
                  </w:pPr>
                  <w:r>
                    <w:rPr>
                      <w:b/>
                      <w:sz w:val="28"/>
                      <w:szCs w:val="28"/>
                      <w:lang w:val="ro-MD"/>
                    </w:rPr>
                    <w:t>Posibile dezavantaje</w:t>
                  </w:r>
                </w:p>
              </w:tc>
            </w:tr>
            <w:tr w:rsidR="00000000">
              <w:tc>
                <w:tcPr>
                  <w:tcW w:w="3562" w:type="dxa"/>
                  <w:tcBorders>
                    <w:top w:val="single" w:sz="4" w:space="0" w:color="auto"/>
                    <w:left w:val="single" w:sz="4" w:space="0" w:color="auto"/>
                    <w:bottom w:val="single" w:sz="4" w:space="0" w:color="auto"/>
                    <w:right w:val="single" w:sz="4" w:space="0" w:color="auto"/>
                  </w:tcBorders>
                  <w:hideMark/>
                </w:tcPr>
                <w:p w:rsidR="00000000" w:rsidRDefault="00053E90">
                  <w:pPr>
                    <w:pStyle w:val="ListParagraph"/>
                    <w:numPr>
                      <w:ilvl w:val="0"/>
                      <w:numId w:val="10"/>
                    </w:numPr>
                    <w:ind w:left="268" w:hanging="268"/>
                    <w:rPr>
                      <w:rFonts w:eastAsia="Times New Roman"/>
                      <w:sz w:val="28"/>
                      <w:szCs w:val="28"/>
                      <w:lang w:val="ro-RO"/>
                    </w:rPr>
                  </w:pPr>
                  <w:r>
                    <w:rPr>
                      <w:rFonts w:eastAsia="Times New Roman"/>
                      <w:sz w:val="28"/>
                      <w:szCs w:val="28"/>
                      <w:lang w:val="ro-RO"/>
                    </w:rPr>
                    <w:t>A nu face nimic</w:t>
                  </w:r>
                </w:p>
              </w:tc>
              <w:tc>
                <w:tcPr>
                  <w:tcW w:w="4043" w:type="dxa"/>
                  <w:tcBorders>
                    <w:top w:val="single" w:sz="4" w:space="0" w:color="auto"/>
                    <w:left w:val="single" w:sz="4" w:space="0" w:color="auto"/>
                    <w:bottom w:val="single" w:sz="4" w:space="0" w:color="auto"/>
                    <w:right w:val="single" w:sz="4" w:space="0" w:color="auto"/>
                  </w:tcBorders>
                  <w:hideMark/>
                </w:tcPr>
                <w:p w:rsidR="00000000" w:rsidRDefault="00053E90">
                  <w:pPr>
                    <w:tabs>
                      <w:tab w:val="left" w:pos="1020"/>
                    </w:tabs>
                    <w:jc w:val="both"/>
                    <w:rPr>
                      <w:rFonts w:eastAsia="Times New Roman"/>
                      <w:sz w:val="28"/>
                      <w:szCs w:val="28"/>
                      <w:lang w:val="ro-RO"/>
                    </w:rPr>
                  </w:pPr>
                  <w:r>
                    <w:rPr>
                      <w:bCs/>
                      <w:sz w:val="28"/>
                      <w:szCs w:val="28"/>
                    </w:rPr>
                    <w:t>Lipsa cheltuielilor pentru elaborarea şi publicarea proiectului Hotărîrii Guvernului</w:t>
                  </w:r>
                </w:p>
              </w:tc>
              <w:tc>
                <w:tcPr>
                  <w:tcW w:w="3563" w:type="dxa"/>
                  <w:tcBorders>
                    <w:top w:val="single" w:sz="4" w:space="0" w:color="auto"/>
                    <w:left w:val="single" w:sz="4" w:space="0" w:color="auto"/>
                    <w:bottom w:val="single" w:sz="4" w:space="0" w:color="auto"/>
                    <w:right w:val="single" w:sz="4" w:space="0" w:color="auto"/>
                  </w:tcBorders>
                  <w:hideMark/>
                </w:tcPr>
                <w:p w:rsidR="00000000" w:rsidRDefault="00053E90">
                  <w:pPr>
                    <w:pStyle w:val="WW-Web"/>
                    <w:tabs>
                      <w:tab w:val="left" w:pos="252"/>
                    </w:tabs>
                    <w:ind w:firstLine="0"/>
                    <w:rPr>
                      <w:sz w:val="28"/>
                      <w:szCs w:val="28"/>
                    </w:rPr>
                  </w:pPr>
                  <w:r>
                    <w:rPr>
                      <w:sz w:val="28"/>
                      <w:szCs w:val="28"/>
                    </w:rPr>
                    <w:t>Incapacitate pentru realizare la nivel naţional a unui cadru legislativ adecvat şi compatibil cu cel european în scopul alinierii la cerinţele UE;</w:t>
                  </w:r>
                </w:p>
                <w:p w:rsidR="00000000" w:rsidRDefault="00053E90">
                  <w:pPr>
                    <w:pStyle w:val="WW-Web"/>
                    <w:tabs>
                      <w:tab w:val="left" w:pos="252"/>
                    </w:tabs>
                    <w:ind w:firstLine="0"/>
                    <w:rPr>
                      <w:sz w:val="28"/>
                      <w:szCs w:val="28"/>
                    </w:rPr>
                  </w:pPr>
                  <w:r>
                    <w:rPr>
                      <w:sz w:val="28"/>
                      <w:szCs w:val="28"/>
                    </w:rPr>
                    <w:t>Producere majoră insufic</w:t>
                  </w:r>
                  <w:r>
                    <w:rPr>
                      <w:sz w:val="28"/>
                      <w:szCs w:val="28"/>
                    </w:rPr>
                    <w:t>ientă;</w:t>
                  </w:r>
                </w:p>
                <w:p w:rsidR="00000000" w:rsidRDefault="00053E90">
                  <w:pPr>
                    <w:rPr>
                      <w:rFonts w:eastAsia="Times New Roman"/>
                      <w:sz w:val="28"/>
                      <w:szCs w:val="28"/>
                      <w:lang w:val="ro-RO"/>
                    </w:rPr>
                  </w:pPr>
                  <w:r>
                    <w:rPr>
                      <w:sz w:val="28"/>
                      <w:szCs w:val="28"/>
                    </w:rPr>
                    <w:t>Impact economic mic.</w:t>
                  </w:r>
                </w:p>
              </w:tc>
            </w:tr>
            <w:tr w:rsidR="00000000">
              <w:tc>
                <w:tcPr>
                  <w:tcW w:w="3562" w:type="dxa"/>
                  <w:tcBorders>
                    <w:top w:val="single" w:sz="4" w:space="0" w:color="auto"/>
                    <w:left w:val="single" w:sz="4" w:space="0" w:color="auto"/>
                    <w:bottom w:val="single" w:sz="4" w:space="0" w:color="auto"/>
                    <w:right w:val="single" w:sz="4" w:space="0" w:color="auto"/>
                  </w:tcBorders>
                  <w:hideMark/>
                </w:tcPr>
                <w:p w:rsidR="00000000" w:rsidRDefault="00053E90">
                  <w:pPr>
                    <w:pStyle w:val="ListParagraph"/>
                    <w:numPr>
                      <w:ilvl w:val="0"/>
                      <w:numId w:val="10"/>
                    </w:numPr>
                    <w:tabs>
                      <w:tab w:val="left" w:pos="268"/>
                    </w:tabs>
                    <w:ind w:left="0" w:firstLine="0"/>
                    <w:rPr>
                      <w:rFonts w:eastAsia="Times New Roman"/>
                      <w:sz w:val="28"/>
                      <w:szCs w:val="28"/>
                      <w:lang w:val="ro-RO"/>
                    </w:rPr>
                  </w:pPr>
                  <w:r>
                    <w:rPr>
                      <w:sz w:val="28"/>
                      <w:szCs w:val="28"/>
                      <w:lang w:val="ro-RO"/>
                    </w:rPr>
                    <w:t>Elaborarea şi adoptarea proiectului propus în acest AIR</w:t>
                  </w:r>
                </w:p>
              </w:tc>
              <w:tc>
                <w:tcPr>
                  <w:tcW w:w="4043" w:type="dxa"/>
                  <w:tcBorders>
                    <w:top w:val="single" w:sz="4" w:space="0" w:color="auto"/>
                    <w:left w:val="single" w:sz="4" w:space="0" w:color="auto"/>
                    <w:bottom w:val="single" w:sz="4" w:space="0" w:color="auto"/>
                    <w:right w:val="single" w:sz="4" w:space="0" w:color="auto"/>
                  </w:tcBorders>
                </w:tcPr>
                <w:p w:rsidR="00000000" w:rsidRDefault="00053E90">
                  <w:pPr>
                    <w:pStyle w:val="ListParagraph"/>
                    <w:numPr>
                      <w:ilvl w:val="0"/>
                      <w:numId w:val="8"/>
                    </w:numPr>
                    <w:ind w:left="0" w:hanging="249"/>
                    <w:jc w:val="both"/>
                    <w:rPr>
                      <w:bCs/>
                      <w:sz w:val="28"/>
                      <w:szCs w:val="28"/>
                      <w:lang w:val="ro-RO"/>
                    </w:rPr>
                  </w:pPr>
                  <w:r>
                    <w:rPr>
                      <w:bCs/>
                      <w:sz w:val="28"/>
                      <w:szCs w:val="28"/>
                      <w:lang w:val="ro-RO"/>
                    </w:rPr>
                    <w:t>- Cadrul legal na</w:t>
                  </w:r>
                  <w:r>
                    <w:rPr>
                      <w:bCs/>
                      <w:sz w:val="28"/>
                      <w:szCs w:val="28"/>
                      <w:lang w:val="ro-RO"/>
                    </w:rPr>
                    <w:t>ț</w:t>
                  </w:r>
                  <w:r>
                    <w:rPr>
                      <w:bCs/>
                      <w:sz w:val="28"/>
                      <w:szCs w:val="28"/>
                      <w:lang w:val="ro-RO"/>
                    </w:rPr>
                    <w:t>ional  va fi ajustat la Directiva europeană 2010/35/UE;</w:t>
                  </w:r>
                </w:p>
                <w:p w:rsidR="00000000" w:rsidRDefault="00053E90">
                  <w:pPr>
                    <w:pStyle w:val="HTMLPreformatted"/>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asigurarea unei aplicări corecte şi uniforme a Reglementării tehnice </w:t>
                  </w:r>
                  <w:r>
                    <w:rPr>
                      <w:rFonts w:ascii="Times New Roman" w:hAnsi="Times New Roman"/>
                      <w:sz w:val="28"/>
                      <w:szCs w:val="28"/>
                    </w:rPr>
                    <w:t xml:space="preserve">privind </w:t>
                  </w:r>
                  <w:r>
                    <w:rPr>
                      <w:rFonts w:ascii="Times New Roman" w:hAnsi="Times New Roman"/>
                      <w:bCs/>
                      <w:sz w:val="28"/>
                      <w:szCs w:val="28"/>
                      <w:lang w:eastAsia="ro-RO"/>
                    </w:rPr>
                    <w:t>echipamentele sub presiune transportabile</w:t>
                  </w:r>
                  <w:r>
                    <w:rPr>
                      <w:rFonts w:ascii="Times New Roman" w:eastAsia="Times New Roman" w:hAnsi="Times New Roman" w:cs="Times New Roman"/>
                      <w:bCs/>
                      <w:sz w:val="28"/>
                      <w:szCs w:val="28"/>
                    </w:rPr>
                    <w:t>;</w:t>
                  </w:r>
                </w:p>
                <w:p w:rsidR="00000000" w:rsidRDefault="00053E90">
                  <w:pPr>
                    <w:pStyle w:val="HTMLPreformatted"/>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asigurarea consecvenţei şi a flexibilităţii procedurilor de evaluare a conformităţii pentru toate produsele care intră sub incidenţa dispoziţiilor Reglementării tehnice ;</w:t>
                  </w:r>
                </w:p>
                <w:p w:rsidR="00000000" w:rsidRDefault="00053E90">
                  <w:pPr>
                    <w:pStyle w:val="HTMLPreformatted"/>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o mai bună protecţie a sănătăţii şi si</w:t>
                  </w:r>
                  <w:r>
                    <w:rPr>
                      <w:rFonts w:ascii="Times New Roman" w:eastAsia="Times New Roman" w:hAnsi="Times New Roman" w:cs="Times New Roman"/>
                      <w:bCs/>
                      <w:sz w:val="28"/>
                      <w:szCs w:val="28"/>
                    </w:rPr>
                    <w:t>guranţei lucrătorilor;</w:t>
                  </w:r>
                </w:p>
                <w:p w:rsidR="00000000" w:rsidRDefault="00053E90">
                  <w:pPr>
                    <w:pStyle w:val="HTMLPreformatted"/>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atingerea unor condiţii echitabile de piaţă pentru agen</w:t>
                  </w:r>
                  <w:r>
                    <w:rPr>
                      <w:rFonts w:ascii="Times New Roman" w:eastAsia="Times New Roman" w:hAnsi="Times New Roman" w:cs="Times New Roman"/>
                      <w:bCs/>
                      <w:sz w:val="28"/>
                      <w:szCs w:val="28"/>
                    </w:rPr>
                    <w:t>ț</w:t>
                  </w:r>
                  <w:r>
                    <w:rPr>
                      <w:rFonts w:ascii="Times New Roman" w:eastAsia="Times New Roman" w:hAnsi="Times New Roman" w:cs="Times New Roman"/>
                      <w:bCs/>
                      <w:sz w:val="28"/>
                      <w:szCs w:val="28"/>
                    </w:rPr>
                    <w:t xml:space="preserve">ii </w:t>
                  </w:r>
                  <w:r>
                    <w:rPr>
                      <w:rFonts w:ascii="Times New Roman" w:eastAsia="Times New Roman" w:hAnsi="Times New Roman" w:cs="Times New Roman"/>
                      <w:bCs/>
                      <w:sz w:val="28"/>
                      <w:szCs w:val="28"/>
                    </w:rPr>
                    <w:lastRenderedPageBreak/>
                    <w:t>economicii din domeniul echipamentelor sub presiune transportabile şi asigurarea liberei circulaţii a mărfurilor;</w:t>
                  </w:r>
                </w:p>
                <w:p w:rsidR="00000000" w:rsidRDefault="00053E90">
                  <w:pPr>
                    <w:pStyle w:val="HTMLPreformatted"/>
                    <w:jc w:val="both"/>
                    <w:rPr>
                      <w:rFonts w:ascii="Times New Roman" w:hAnsi="Times New Roman" w:cs="Times New Roman"/>
                      <w:bCs/>
                      <w:sz w:val="28"/>
                      <w:szCs w:val="28"/>
                    </w:rPr>
                  </w:pPr>
                  <w:r>
                    <w:rPr>
                      <w:rFonts w:ascii="Times New Roman" w:hAnsi="Times New Roman" w:cs="Times New Roman"/>
                      <w:bCs/>
                      <w:sz w:val="28"/>
                      <w:szCs w:val="28"/>
                    </w:rPr>
                    <w:t xml:space="preserve">- conformarea cu cerinţele UE, importul şi exportul fără </w:t>
                  </w:r>
                  <w:r>
                    <w:rPr>
                      <w:rFonts w:ascii="Times New Roman" w:hAnsi="Times New Roman" w:cs="Times New Roman"/>
                      <w:bCs/>
                      <w:sz w:val="28"/>
                      <w:szCs w:val="28"/>
                    </w:rPr>
                    <w:t>careva bariere tehnice;</w:t>
                  </w:r>
                </w:p>
                <w:p w:rsidR="00000000" w:rsidRDefault="00053E90">
                  <w:pPr>
                    <w:pStyle w:val="HTMLPreformatted"/>
                    <w:jc w:val="both"/>
                    <w:rPr>
                      <w:rFonts w:ascii="Times New Roman" w:hAnsi="Times New Roman" w:cs="Times New Roman"/>
                      <w:bCs/>
                      <w:sz w:val="28"/>
                      <w:szCs w:val="28"/>
                    </w:rPr>
                  </w:pPr>
                  <w:r>
                    <w:rPr>
                      <w:rFonts w:ascii="Times New Roman" w:hAnsi="Times New Roman" w:cs="Times New Roman"/>
                      <w:bCs/>
                      <w:sz w:val="28"/>
                      <w:szCs w:val="28"/>
                    </w:rPr>
                    <w:t>- plasarea pe piaţa Moldovei a produselor competitive;</w:t>
                  </w:r>
                </w:p>
                <w:p w:rsidR="00000000" w:rsidRDefault="0005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Cs/>
                      <w:sz w:val="28"/>
                      <w:szCs w:val="28"/>
                    </w:rPr>
                    <w:t>- e</w:t>
                  </w:r>
                  <w:r>
                    <w:rPr>
                      <w:sz w:val="28"/>
                      <w:szCs w:val="28"/>
                    </w:rPr>
                    <w:t>xclud</w:t>
                  </w:r>
                  <w:r>
                    <w:rPr>
                      <w:sz w:val="28"/>
                      <w:szCs w:val="28"/>
                      <w:lang w:val="ro-RO"/>
                    </w:rPr>
                    <w:t>erea</w:t>
                  </w:r>
                  <w:r>
                    <w:rPr>
                      <w:sz w:val="28"/>
                      <w:szCs w:val="28"/>
                    </w:rPr>
                    <w:t xml:space="preserve"> prezen</w:t>
                  </w:r>
                  <w:r>
                    <w:rPr>
                      <w:sz w:val="28"/>
                      <w:szCs w:val="28"/>
                    </w:rPr>
                    <w:t>ț</w:t>
                  </w:r>
                  <w:r>
                    <w:rPr>
                      <w:sz w:val="28"/>
                      <w:szCs w:val="28"/>
                      <w:lang w:val="ro-RO"/>
                    </w:rPr>
                    <w:t>ei</w:t>
                  </w:r>
                  <w:r>
                    <w:rPr>
                      <w:sz w:val="28"/>
                      <w:szCs w:val="28"/>
                    </w:rPr>
                    <w:t xml:space="preserve"> unor produse neconforme;</w:t>
                  </w:r>
                </w:p>
                <w:p w:rsidR="00000000" w:rsidRDefault="0005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sporirea încrederii în marcajul „pi”;</w:t>
                  </w:r>
                </w:p>
                <w:p w:rsidR="00000000" w:rsidRDefault="0005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excluderea practicilor diferite, aplicate de autorită</w:t>
                  </w:r>
                  <w:r>
                    <w:rPr>
                      <w:sz w:val="28"/>
                      <w:szCs w:val="28"/>
                    </w:rPr>
                    <w:t>ț</w:t>
                  </w:r>
                  <w:r>
                    <w:rPr>
                      <w:sz w:val="28"/>
                      <w:szCs w:val="28"/>
                    </w:rPr>
                    <w:t>ile na</w:t>
                  </w:r>
                  <w:r>
                    <w:rPr>
                      <w:sz w:val="28"/>
                      <w:szCs w:val="28"/>
                    </w:rPr>
                    <w:t>ț</w:t>
                  </w:r>
                  <w:r>
                    <w:rPr>
                      <w:sz w:val="28"/>
                      <w:szCs w:val="28"/>
                    </w:rPr>
                    <w:t>ionale pentru desemnarea o</w:t>
                  </w:r>
                  <w:r>
                    <w:rPr>
                      <w:sz w:val="28"/>
                      <w:szCs w:val="28"/>
                    </w:rPr>
                    <w:t>rganismelor de evaluare a conformită</w:t>
                  </w:r>
                  <w:r>
                    <w:rPr>
                      <w:sz w:val="28"/>
                      <w:szCs w:val="28"/>
                    </w:rPr>
                    <w:t>ț</w:t>
                  </w:r>
                  <w:r>
                    <w:rPr>
                      <w:sz w:val="28"/>
                      <w:szCs w:val="28"/>
                    </w:rPr>
                    <w:t>ii;</w:t>
                  </w:r>
                </w:p>
                <w:p w:rsidR="00000000" w:rsidRDefault="0005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excluderea  problemelor legate de calitatea anumitor organisme notificate;</w:t>
                  </w:r>
                </w:p>
                <w:p w:rsidR="00000000" w:rsidRDefault="00053E90">
                  <w:pPr>
                    <w:tabs>
                      <w:tab w:val="left" w:pos="249"/>
                      <w:tab w:val="left" w:pos="675"/>
                      <w:tab w:val="left" w:pos="1230"/>
                    </w:tabs>
                    <w:jc w:val="both"/>
                    <w:rPr>
                      <w:sz w:val="28"/>
                      <w:szCs w:val="28"/>
                      <w:lang w:val="ro-RO"/>
                    </w:rPr>
                  </w:pPr>
                  <w:r>
                    <w:rPr>
                      <w:sz w:val="28"/>
                      <w:szCs w:val="28"/>
                      <w:lang w:val="ro-RO"/>
                    </w:rPr>
                    <w:t>- s</w:t>
                  </w:r>
                  <w:r>
                    <w:rPr>
                      <w:sz w:val="28"/>
                      <w:szCs w:val="28"/>
                    </w:rPr>
                    <w:t>porirea încrederii consumatorilor în produsele plasate pe pia</w:t>
                  </w:r>
                  <w:r>
                    <w:rPr>
                      <w:sz w:val="28"/>
                      <w:szCs w:val="28"/>
                    </w:rPr>
                    <w:t>ț</w:t>
                  </w:r>
                  <w:r>
                    <w:rPr>
                      <w:sz w:val="28"/>
                      <w:szCs w:val="28"/>
                    </w:rPr>
                    <w:t>a internă</w:t>
                  </w:r>
                  <w:r>
                    <w:rPr>
                      <w:sz w:val="28"/>
                      <w:szCs w:val="28"/>
                      <w:lang w:val="ro-RO"/>
                    </w:rPr>
                    <w:t>;</w:t>
                  </w:r>
                </w:p>
                <w:p w:rsidR="00000000" w:rsidRDefault="00053E90">
                  <w:pPr>
                    <w:pStyle w:val="HTMLPreformatted"/>
                    <w:jc w:val="both"/>
                    <w:rPr>
                      <w:rFonts w:ascii="Times New Roman" w:hAnsi="Times New Roman" w:cs="Times New Roman"/>
                      <w:bCs/>
                      <w:sz w:val="28"/>
                      <w:szCs w:val="28"/>
                      <w:lang w:val="pt-BR"/>
                    </w:rPr>
                  </w:pPr>
                  <w:r>
                    <w:rPr>
                      <w:rFonts w:ascii="Times New Roman" w:hAnsi="Times New Roman" w:cs="Times New Roman"/>
                      <w:bCs/>
                      <w:sz w:val="28"/>
                      <w:szCs w:val="28"/>
                    </w:rPr>
                    <w:t>-</w:t>
                  </w:r>
                  <w:r>
                    <w:rPr>
                      <w:rFonts w:ascii="Times New Roman" w:hAnsi="Times New Roman" w:cs="Times New Roman"/>
                      <w:bCs/>
                      <w:sz w:val="28"/>
                      <w:szCs w:val="28"/>
                      <w:lang w:val="pt-BR"/>
                    </w:rPr>
                    <w:t xml:space="preserve"> îndeplinirea de către Republica Moldova a condiţiilor necesa</w:t>
                  </w:r>
                  <w:r>
                    <w:rPr>
                      <w:rFonts w:ascii="Times New Roman" w:hAnsi="Times New Roman" w:cs="Times New Roman"/>
                      <w:bCs/>
                      <w:sz w:val="28"/>
                      <w:szCs w:val="28"/>
                      <w:lang w:val="pt-BR"/>
                    </w:rPr>
                    <w:t>re de armonizare a legislaţiei naţionale cu cea comunitară.</w:t>
                  </w:r>
                </w:p>
                <w:p w:rsidR="00000000" w:rsidRDefault="00053E90">
                  <w:pPr>
                    <w:tabs>
                      <w:tab w:val="left" w:pos="1020"/>
                    </w:tabs>
                    <w:jc w:val="both"/>
                    <w:rPr>
                      <w:bCs/>
                      <w:sz w:val="28"/>
                      <w:szCs w:val="28"/>
                      <w:lang w:val="pt-BR"/>
                    </w:rPr>
                  </w:pPr>
                </w:p>
              </w:tc>
              <w:tc>
                <w:tcPr>
                  <w:tcW w:w="3563" w:type="dxa"/>
                  <w:tcBorders>
                    <w:top w:val="single" w:sz="4" w:space="0" w:color="auto"/>
                    <w:left w:val="single" w:sz="4" w:space="0" w:color="auto"/>
                    <w:bottom w:val="single" w:sz="4" w:space="0" w:color="auto"/>
                    <w:right w:val="single" w:sz="4" w:space="0" w:color="auto"/>
                  </w:tcBorders>
                  <w:hideMark/>
                </w:tcPr>
                <w:p w:rsidR="00000000" w:rsidRDefault="0005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RO"/>
                    </w:rPr>
                  </w:pPr>
                  <w:r>
                    <w:rPr>
                      <w:sz w:val="28"/>
                      <w:szCs w:val="28"/>
                      <w:lang w:val="ro-RO"/>
                    </w:rPr>
                    <w:lastRenderedPageBreak/>
                    <w:t>Ne conformarea la cerinţele UE.</w:t>
                  </w:r>
                </w:p>
                <w:p w:rsidR="00000000" w:rsidRDefault="0005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eastAsia="ar-SA"/>
                    </w:rPr>
                  </w:pPr>
                  <w:r>
                    <w:rPr>
                      <w:sz w:val="28"/>
                      <w:szCs w:val="28"/>
                      <w:lang w:val="ro-RO"/>
                    </w:rPr>
                    <w:t xml:space="preserve">Ne luarea măsurilor necesare şi nerespectarea procedurilor </w:t>
                  </w:r>
                  <w:r>
                    <w:rPr>
                      <w:rFonts w:eastAsia="ArialMT"/>
                      <w:sz w:val="28"/>
                      <w:szCs w:val="28"/>
                    </w:rPr>
                    <w:t>vor pune în pericol securitatea şi sănătatea persoanelor sau siguranţa mărfurilor.</w:t>
                  </w:r>
                </w:p>
              </w:tc>
            </w:tr>
          </w:tbl>
          <w:p w:rsidR="00000000" w:rsidRDefault="00053E90">
            <w:pPr>
              <w:pStyle w:val="BodyText"/>
              <w:tabs>
                <w:tab w:val="left" w:pos="567"/>
              </w:tabs>
              <w:ind w:firstLine="381"/>
              <w:jc w:val="both"/>
              <w:rPr>
                <w:rFonts w:eastAsia="Times New Roman"/>
                <w:sz w:val="28"/>
                <w:szCs w:val="28"/>
                <w:lang w:val="ro-RO"/>
              </w:rPr>
            </w:pPr>
            <w:r>
              <w:rPr>
                <w:rFonts w:ascii="Times New Roman" w:hAnsi="Times New Roman" w:cs="Times New Roman"/>
                <w:sz w:val="28"/>
                <w:szCs w:val="28"/>
                <w:lang w:val="ro-RO" w:eastAsia="ro-RO"/>
              </w:rPr>
              <w:t>Ţinând cont de abordările alternative prezentate mai sus, şi anume de posibilele avantaje şi dezavantaje a fiecărei alternative, autorii AIR-lui recomandă alternativa a doua, care prezintă clar avantaje pentru asigurarea stabilităţii şi a proporţionalităţi</w:t>
            </w:r>
            <w:r>
              <w:rPr>
                <w:rFonts w:ascii="Times New Roman" w:hAnsi="Times New Roman" w:cs="Times New Roman"/>
                <w:sz w:val="28"/>
                <w:szCs w:val="28"/>
                <w:lang w:val="ro-RO" w:eastAsia="ro-RO"/>
              </w:rPr>
              <w:t>i actului normativ vizat, prin aplicarea principiilor previzibilităţii, transparenţei decizionale şi de reglementare, precum şi prin asigurarea intereselor societăţii şi a întreprinzătorilor cu o reputaţie bună (sau care râvnesc spre aceasta) pe piaţa.</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lastRenderedPageBreak/>
              <w:t>6</w:t>
            </w:r>
            <w:r>
              <w:rPr>
                <w:rFonts w:eastAsia="Times New Roman"/>
                <w:b/>
                <w:bCs/>
                <w:sz w:val="28"/>
                <w:szCs w:val="28"/>
                <w:lang w:val="ro-RO"/>
              </w:rPr>
              <w:t>. Implementarea şi monitorizarea (se completează pentru analiza complexă)</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ind w:firstLine="522"/>
              <w:jc w:val="both"/>
              <w:rPr>
                <w:sz w:val="28"/>
                <w:szCs w:val="28"/>
                <w:lang w:val="es-ES"/>
              </w:rPr>
            </w:pPr>
            <w:r>
              <w:rPr>
                <w:rFonts w:eastAsia="Times New Roman"/>
                <w:sz w:val="28"/>
                <w:szCs w:val="28"/>
                <w:lang w:val="ro-RO"/>
              </w:rPr>
              <w:t> </w:t>
            </w:r>
            <w:r>
              <w:rPr>
                <w:sz w:val="28"/>
                <w:szCs w:val="28"/>
                <w:lang w:val="es-ES"/>
              </w:rPr>
              <w:t xml:space="preserve">Implementarea va fi asigurată nemijlocit de Inspectoratul Principal de Stat pentru Supravegherea Tehnică a Obiectelor Industriale Periculoase conform Legii nr.7 din </w:t>
            </w:r>
            <w:r>
              <w:rPr>
                <w:rFonts w:eastAsia="Times New Roman"/>
                <w:bCs/>
                <w:sz w:val="28"/>
                <w:szCs w:val="28"/>
                <w:lang w:val="ro-RO" w:eastAsia="ru-RU"/>
              </w:rPr>
              <w:t>din 26.02.2016</w:t>
            </w:r>
            <w:r>
              <w:rPr>
                <w:rFonts w:eastAsia="Times New Roman"/>
                <w:sz w:val="28"/>
                <w:szCs w:val="28"/>
                <w:lang w:val="ro-RO"/>
              </w:rPr>
              <w:t xml:space="preserve"> </w:t>
            </w:r>
            <w:r>
              <w:rPr>
                <w:rFonts w:eastAsia="Times New Roman"/>
                <w:sz w:val="28"/>
                <w:szCs w:val="28"/>
              </w:rPr>
              <w:t xml:space="preserve">privind supravegherea pieţei în ceea ce priveşte comercializarea produselor </w:t>
            </w:r>
            <w:proofErr w:type="gramStart"/>
            <w:r>
              <w:rPr>
                <w:rFonts w:eastAsia="Times New Roman"/>
                <w:sz w:val="28"/>
                <w:szCs w:val="28"/>
              </w:rPr>
              <w:t>nealimentare</w:t>
            </w:r>
            <w:r>
              <w:rPr>
                <w:sz w:val="28"/>
                <w:szCs w:val="28"/>
                <w:lang w:val="es-ES"/>
              </w:rPr>
              <w:t xml:space="preserve"> .</w:t>
            </w:r>
            <w:proofErr w:type="gramEnd"/>
          </w:p>
          <w:p w:rsidR="00000000" w:rsidRDefault="00053E90">
            <w:pPr>
              <w:ind w:firstLine="709"/>
              <w:jc w:val="both"/>
              <w:rPr>
                <w:rFonts w:eastAsia="Times New Roman"/>
                <w:sz w:val="28"/>
                <w:szCs w:val="28"/>
                <w:lang w:val="es-ES"/>
              </w:rPr>
            </w:pPr>
            <w:r>
              <w:rPr>
                <w:sz w:val="28"/>
                <w:szCs w:val="28"/>
                <w:lang w:val="es-ES"/>
              </w:rPr>
              <w:t xml:space="preserve"> Monitorizarea urmează a fi efectuată de către Ministerul Economiei, în calitate de Organ abilitat în domeniul securită</w:t>
            </w:r>
            <w:r>
              <w:rPr>
                <w:sz w:val="28"/>
                <w:szCs w:val="28"/>
                <w:lang w:val="es-ES"/>
              </w:rPr>
              <w:t>ț</w:t>
            </w:r>
            <w:r>
              <w:rPr>
                <w:sz w:val="28"/>
                <w:szCs w:val="28"/>
                <w:lang w:val="es-ES"/>
              </w:rPr>
              <w:t>ii industriale, cu func</w:t>
            </w:r>
            <w:r>
              <w:rPr>
                <w:sz w:val="28"/>
                <w:szCs w:val="28"/>
                <w:lang w:val="es-ES"/>
              </w:rPr>
              <w:t>ț</w:t>
            </w:r>
            <w:r>
              <w:rPr>
                <w:sz w:val="28"/>
                <w:szCs w:val="28"/>
                <w:lang w:val="es-ES"/>
              </w:rPr>
              <w:t>ii speciale de regle</w:t>
            </w:r>
            <w:r>
              <w:rPr>
                <w:sz w:val="28"/>
                <w:szCs w:val="28"/>
                <w:lang w:val="es-ES"/>
              </w:rPr>
              <w:t>mentare normativă.</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sz w:val="28"/>
                <w:szCs w:val="28"/>
                <w:lang w:val="ro-RO"/>
              </w:rPr>
              <w:t>7. Consultarea</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tabs>
                <w:tab w:val="left" w:pos="555"/>
                <w:tab w:val="left" w:pos="3119"/>
              </w:tabs>
              <w:jc w:val="both"/>
              <w:rPr>
                <w:rFonts w:eastAsia="Times New Roman"/>
                <w:sz w:val="28"/>
                <w:szCs w:val="28"/>
                <w:lang w:val="ro-RO"/>
              </w:rPr>
            </w:pPr>
            <w:r>
              <w:rPr>
                <w:rFonts w:eastAsia="Times New Roman"/>
                <w:sz w:val="28"/>
                <w:szCs w:val="28"/>
              </w:rPr>
              <w:t xml:space="preserve">       </w:t>
            </w:r>
            <w:r>
              <w:rPr>
                <w:rFonts w:eastAsia="Times New Roman"/>
                <w:sz w:val="28"/>
                <w:szCs w:val="28"/>
                <w:lang w:val="ro-RO"/>
              </w:rPr>
              <w:t>P</w:t>
            </w:r>
            <w:r>
              <w:rPr>
                <w:sz w:val="28"/>
                <w:szCs w:val="28"/>
                <w:lang w:val="ro-RO"/>
              </w:rPr>
              <w:t xml:space="preserve">roiectul Hotărârii Guvernului </w:t>
            </w:r>
            <w:r>
              <w:rPr>
                <w:bCs/>
                <w:sz w:val="28"/>
                <w:szCs w:val="28"/>
                <w:lang w:val="ro-RO"/>
              </w:rPr>
              <w:t xml:space="preserve">cu privire la aprobarea Reglementării tehnice </w:t>
            </w:r>
            <w:r>
              <w:rPr>
                <w:rFonts w:eastAsia="Arial Unicode MS"/>
                <w:bCs/>
                <w:sz w:val="28"/>
                <w:szCs w:val="28"/>
                <w:lang w:val="ro-RO" w:eastAsia="ro-RO"/>
              </w:rPr>
              <w:t>privind echipamente sub presiune transportabile</w:t>
            </w:r>
            <w:r>
              <w:rPr>
                <w:sz w:val="28"/>
                <w:szCs w:val="28"/>
                <w:lang w:val="ro-RO"/>
              </w:rPr>
              <w:t>,</w:t>
            </w:r>
            <w:r>
              <w:rPr>
                <w:sz w:val="28"/>
                <w:szCs w:val="28"/>
                <w:lang w:val="ro-MD"/>
              </w:rPr>
              <w:t xml:space="preserve"> va fi consultat cu autorită</w:t>
            </w:r>
            <w:r>
              <w:rPr>
                <w:sz w:val="28"/>
                <w:szCs w:val="28"/>
                <w:lang w:val="ro-MD"/>
              </w:rPr>
              <w:t>ț</w:t>
            </w:r>
            <w:r>
              <w:rPr>
                <w:sz w:val="28"/>
                <w:szCs w:val="28"/>
                <w:lang w:val="ro-MD"/>
              </w:rPr>
              <w:t>ile publice interesate Ministerul Muncii, Protec</w:t>
            </w:r>
            <w:r>
              <w:rPr>
                <w:sz w:val="28"/>
                <w:szCs w:val="28"/>
                <w:lang w:val="ro-MD"/>
              </w:rPr>
              <w:t>ț</w:t>
            </w:r>
            <w:r>
              <w:rPr>
                <w:sz w:val="28"/>
                <w:szCs w:val="28"/>
                <w:lang w:val="ro-MD"/>
              </w:rPr>
              <w:t>iei Soci</w:t>
            </w:r>
            <w:r>
              <w:rPr>
                <w:sz w:val="28"/>
                <w:szCs w:val="28"/>
                <w:lang w:val="ro-MD"/>
              </w:rPr>
              <w:t xml:space="preserve">ale </w:t>
            </w:r>
            <w:r>
              <w:rPr>
                <w:sz w:val="28"/>
                <w:szCs w:val="28"/>
                <w:lang w:val="ro-MD"/>
              </w:rPr>
              <w:t>ș</w:t>
            </w:r>
            <w:r>
              <w:rPr>
                <w:sz w:val="28"/>
                <w:szCs w:val="28"/>
                <w:lang w:val="ro-MD"/>
              </w:rPr>
              <w:t xml:space="preserve">i Familiei, Ministerul Dezvoltării Regionale </w:t>
            </w:r>
            <w:r>
              <w:rPr>
                <w:sz w:val="28"/>
                <w:szCs w:val="28"/>
                <w:lang w:val="ro-MD"/>
              </w:rPr>
              <w:t>ș</w:t>
            </w:r>
            <w:r>
              <w:rPr>
                <w:sz w:val="28"/>
                <w:szCs w:val="28"/>
                <w:lang w:val="ro-MD"/>
              </w:rPr>
              <w:t>i Construc</w:t>
            </w:r>
            <w:r>
              <w:rPr>
                <w:sz w:val="28"/>
                <w:szCs w:val="28"/>
                <w:lang w:val="ro-MD"/>
              </w:rPr>
              <w:t>ț</w:t>
            </w:r>
            <w:r>
              <w:rPr>
                <w:sz w:val="28"/>
                <w:szCs w:val="28"/>
                <w:lang w:val="ro-MD"/>
              </w:rPr>
              <w:t xml:space="preserve">iilor, Ministerul Afacerilor Interne, Ministerul Transporturilor </w:t>
            </w:r>
            <w:r>
              <w:rPr>
                <w:sz w:val="28"/>
                <w:szCs w:val="28"/>
                <w:lang w:val="ro-MD"/>
              </w:rPr>
              <w:t>ș</w:t>
            </w:r>
            <w:r>
              <w:rPr>
                <w:sz w:val="28"/>
                <w:szCs w:val="28"/>
                <w:lang w:val="ro-MD"/>
              </w:rPr>
              <w:t>i Infrastructurii Drumurilor,</w:t>
            </w:r>
            <w:r>
              <w:rPr>
                <w:sz w:val="28"/>
                <w:szCs w:val="28"/>
                <w:lang w:val="ro-RO"/>
              </w:rPr>
              <w:t xml:space="preserve"> </w:t>
            </w:r>
            <w:r>
              <w:rPr>
                <w:sz w:val="28"/>
                <w:szCs w:val="28"/>
              </w:rPr>
              <w:t>ANRE,</w:t>
            </w:r>
            <w:r>
              <w:rPr>
                <w:sz w:val="28"/>
                <w:szCs w:val="28"/>
                <w:lang w:val="ro-RO"/>
              </w:rPr>
              <w:t xml:space="preserve"> Inspectoratul Principal de Stat pentru Supravegherea Tehnică a Obiectelor Industriale Pericu</w:t>
            </w:r>
            <w:r>
              <w:rPr>
                <w:sz w:val="28"/>
                <w:szCs w:val="28"/>
                <w:lang w:val="ro-RO"/>
              </w:rPr>
              <w:t xml:space="preserve">loase, ÎS ”Centrul Tehnic pentru Securitate Industrială </w:t>
            </w:r>
            <w:r>
              <w:rPr>
                <w:sz w:val="28"/>
                <w:szCs w:val="28"/>
                <w:lang w:val="ro-RO"/>
              </w:rPr>
              <w:t>ș</w:t>
            </w:r>
            <w:r>
              <w:rPr>
                <w:sz w:val="28"/>
                <w:szCs w:val="28"/>
                <w:lang w:val="ro-RO"/>
              </w:rPr>
              <w:t xml:space="preserve">i Certificare”. </w:t>
            </w:r>
          </w:p>
        </w:tc>
      </w:tr>
      <w:tr w:rsidR="0000000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053E90">
            <w:pPr>
              <w:rPr>
                <w:rFonts w:eastAsia="Times New Roman"/>
                <w:sz w:val="28"/>
                <w:szCs w:val="28"/>
                <w:lang w:val="ro-RO"/>
              </w:rPr>
            </w:pPr>
            <w:r>
              <w:rPr>
                <w:rFonts w:eastAsia="Times New Roman"/>
                <w:b/>
                <w:bCs/>
                <w:i/>
                <w:iCs/>
                <w:sz w:val="28"/>
                <w:szCs w:val="28"/>
                <w:lang w:val="ro-RO"/>
              </w:rPr>
              <w:t>Anexe</w:t>
            </w:r>
          </w:p>
        </w:tc>
      </w:tr>
    </w:tbl>
    <w:p w:rsidR="00000000" w:rsidRDefault="00053E90">
      <w:pPr>
        <w:tabs>
          <w:tab w:val="left" w:pos="567"/>
          <w:tab w:val="left" w:pos="709"/>
        </w:tabs>
        <w:jc w:val="both"/>
        <w:rPr>
          <w:rFonts w:eastAsia="Times New Roman"/>
          <w:sz w:val="28"/>
          <w:szCs w:val="28"/>
          <w:lang w:val="ro-RO" w:eastAsia="ru-RU"/>
        </w:rPr>
      </w:pPr>
    </w:p>
    <w:p w:rsidR="00053E90" w:rsidRDefault="00053E90">
      <w:pPr>
        <w:tabs>
          <w:tab w:val="left" w:pos="567"/>
          <w:tab w:val="left" w:pos="709"/>
        </w:tabs>
        <w:jc w:val="both"/>
        <w:rPr>
          <w:rFonts w:eastAsia="Times New Roman"/>
          <w:sz w:val="28"/>
          <w:szCs w:val="28"/>
          <w:lang w:val="ro-RO" w:eastAsia="ru-RU"/>
        </w:rPr>
      </w:pPr>
    </w:p>
    <w:sectPr w:rsidR="00053E90">
      <w:pgSz w:w="11906" w:h="16838"/>
      <w:pgMar w:top="142" w:right="1440" w:bottom="709"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729F6"/>
    <w:multiLevelType w:val="hybridMultilevel"/>
    <w:tmpl w:val="ED26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7BD7D07"/>
    <w:multiLevelType w:val="hybridMultilevel"/>
    <w:tmpl w:val="8C261322"/>
    <w:lvl w:ilvl="0" w:tplc="3B4095A2">
      <w:start w:val="1"/>
      <w:numFmt w:val="lowerLetter"/>
      <w:lvlText w:val="%1)"/>
      <w:lvlJc w:val="left"/>
      <w:pPr>
        <w:ind w:left="689" w:hanging="360"/>
      </w:pPr>
      <w:rPr>
        <w:rFonts w:eastAsia="Times New Roman"/>
        <w:b/>
        <w:color w:val="auto"/>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2" w15:restartNumberingAfterBreak="0">
    <w:nsid w:val="51393C5B"/>
    <w:multiLevelType w:val="hybridMultilevel"/>
    <w:tmpl w:val="5678BEA0"/>
    <w:lvl w:ilvl="0" w:tplc="8E8C3200">
      <w:start w:val="1"/>
      <w:numFmt w:val="lowerLetter"/>
      <w:lvlText w:val="%1)"/>
      <w:lvlJc w:val="left"/>
      <w:pPr>
        <w:ind w:left="1260" w:hanging="72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 w15:restartNumberingAfterBreak="0">
    <w:nsid w:val="7AB65B33"/>
    <w:multiLevelType w:val="hybridMultilevel"/>
    <w:tmpl w:val="7A963768"/>
    <w:lvl w:ilvl="0" w:tplc="3BA2387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9504D"/>
    <w:rsid w:val="00053E90"/>
    <w:rsid w:val="0079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414203-CBFE-44D0-B5EA-A39F689C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u-RU"/>
    </w:rPr>
  </w:style>
  <w:style w:type="character" w:customStyle="1" w:styleId="HTMLPreformattedChar">
    <w:name w:val="HTML Preformatted Char"/>
    <w:basedOn w:val="DefaultParagraphFont"/>
    <w:link w:val="HTMLPreformatted"/>
    <w:semiHidden/>
    <w:locked/>
    <w:rPr>
      <w:rFonts w:ascii="Arial Unicode MS" w:eastAsia="Arial Unicode MS" w:hAnsi="Arial Unicode MS" w:cs="Arial Unicode MS" w:hint="eastAsia"/>
      <w:lang w:val="ro-RO" w:eastAsia="ru-RU"/>
    </w:rPr>
  </w:style>
  <w:style w:type="paragraph" w:styleId="NormalWeb">
    <w:name w:val="Normal (Web)"/>
    <w:basedOn w:val="Normal"/>
    <w:uiPriority w:val="99"/>
    <w:semiHidden/>
    <w:unhideWhenUsed/>
    <w:pPr>
      <w:ind w:firstLine="567"/>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BodyText">
    <w:name w:val="Body Text"/>
    <w:basedOn w:val="Normal"/>
    <w:link w:val="BodyTextChar"/>
    <w:uiPriority w:val="1"/>
    <w:semiHidden/>
    <w:unhideWhenUsed/>
    <w:qFormat/>
    <w:pPr>
      <w:widowControl w:val="0"/>
    </w:pPr>
    <w:rPr>
      <w:rFonts w:ascii="Tahoma" w:eastAsia="Tahoma" w:hAnsi="Tahoma" w:cs="Tahoma"/>
      <w:sz w:val="18"/>
      <w:szCs w:val="18"/>
    </w:rPr>
  </w:style>
  <w:style w:type="character" w:customStyle="1" w:styleId="BodyTextChar">
    <w:name w:val="Body Text Char"/>
    <w:basedOn w:val="DefaultParagraphFont"/>
    <w:link w:val="BodyText"/>
    <w:uiPriority w:val="1"/>
    <w:semiHidden/>
    <w:locked/>
    <w:rPr>
      <w:rFonts w:ascii="Tahoma" w:eastAsia="Tahoma" w:hAnsi="Tahoma" w:cs="Tahoma" w:hint="default"/>
      <w:sz w:val="18"/>
      <w:szCs w:val="18"/>
      <w:lang w:val="en-US" w:eastAsia="en-US"/>
    </w:rPr>
  </w:style>
  <w:style w:type="paragraph" w:styleId="PlainText">
    <w:name w:val="Plain Text"/>
    <w:basedOn w:val="Normal"/>
    <w:link w:val="PlainTextChar"/>
    <w:uiPriority w:val="99"/>
    <w:semiHidden/>
    <w:unhideWhenUsed/>
    <w:rPr>
      <w:rFonts w:ascii="Courier New" w:eastAsia="Times New Roman" w:hAnsi="Courier New" w:cs="Courier New"/>
      <w:sz w:val="20"/>
      <w:szCs w:val="20"/>
      <w:lang w:val="ro-RO" w:eastAsia="ru-RU"/>
    </w:rPr>
  </w:style>
  <w:style w:type="character" w:customStyle="1" w:styleId="PlainTextChar">
    <w:name w:val="Plain Text Char"/>
    <w:basedOn w:val="DefaultParagraphFont"/>
    <w:link w:val="PlainText"/>
    <w:uiPriority w:val="99"/>
    <w:semiHidden/>
    <w:locked/>
    <w:rPr>
      <w:rFonts w:ascii="Courier New" w:hAnsi="Courier New" w:cs="Courier New" w:hint="default"/>
      <w:lang w:val="ro-RO" w:eastAsia="ru-RU"/>
    </w:rPr>
  </w:style>
  <w:style w:type="paragraph" w:styleId="NoSpacing">
    <w:name w:val="No Spacing"/>
    <w:uiPriority w:val="1"/>
    <w:semiHidden/>
    <w:qFormat/>
    <w:rPr>
      <w:rFonts w:asciiTheme="minorHAnsi" w:eastAsiaTheme="minorHAnsi" w:hAnsiTheme="minorHAnsi" w:cstheme="minorBidi"/>
      <w:sz w:val="22"/>
      <w:szCs w:val="22"/>
    </w:rPr>
  </w:style>
  <w:style w:type="paragraph" w:styleId="ListParagraph">
    <w:name w:val="List Paragraph"/>
    <w:basedOn w:val="Normal"/>
    <w:uiPriority w:val="34"/>
    <w:semiHidden/>
    <w:qFormat/>
    <w:pPr>
      <w:ind w:left="720"/>
      <w:contextualSpacing/>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sm">
    <w:name w:val="sm"/>
    <w:basedOn w:val="Normal"/>
    <w:uiPriority w:val="99"/>
    <w:semiHidden/>
    <w:pPr>
      <w:ind w:firstLine="567"/>
    </w:pPr>
    <w:rPr>
      <w:b/>
      <w:bCs/>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character" w:customStyle="1" w:styleId="a">
    <w:name w:val="Основной текст_"/>
    <w:link w:val="1"/>
    <w:locked/>
    <w:rPr>
      <w:sz w:val="23"/>
      <w:szCs w:val="23"/>
      <w:shd w:val="clear" w:color="auto" w:fill="FFFFFF"/>
    </w:rPr>
  </w:style>
  <w:style w:type="paragraph" w:customStyle="1" w:styleId="1">
    <w:name w:val="Основной текст1"/>
    <w:basedOn w:val="Normal"/>
    <w:link w:val="a"/>
    <w:uiPriority w:val="99"/>
    <w:semiHidden/>
    <w:pPr>
      <w:shd w:val="clear" w:color="auto" w:fill="FFFFFF"/>
      <w:spacing w:after="240" w:line="302" w:lineRule="exact"/>
      <w:ind w:hanging="460"/>
      <w:jc w:val="both"/>
    </w:pPr>
    <w:rPr>
      <w:rFonts w:eastAsia="Times New Roman"/>
      <w:sz w:val="23"/>
      <w:szCs w:val="23"/>
    </w:rPr>
  </w:style>
  <w:style w:type="paragraph" w:customStyle="1" w:styleId="Tiret0">
    <w:name w:val="Tiret 0"/>
    <w:basedOn w:val="Normal"/>
    <w:uiPriority w:val="99"/>
    <w:semiHidden/>
    <w:pPr>
      <w:numPr>
        <w:numId w:val="2"/>
      </w:numPr>
      <w:spacing w:before="120" w:after="120"/>
      <w:jc w:val="both"/>
    </w:pPr>
    <w:rPr>
      <w:rFonts w:eastAsia="Times New Roman"/>
      <w:szCs w:val="20"/>
      <w:lang w:val="ro-RO" w:eastAsia="ro-RO"/>
    </w:rPr>
  </w:style>
  <w:style w:type="paragraph" w:customStyle="1" w:styleId="WW-Web">
    <w:name w:val="WW-Обычный (Web)"/>
    <w:basedOn w:val="Normal"/>
    <w:uiPriority w:val="99"/>
    <w:semiHidden/>
    <w:pPr>
      <w:suppressAutoHyphens/>
      <w:ind w:firstLine="567"/>
      <w:jc w:val="both"/>
    </w:pPr>
    <w:rPr>
      <w:rFonts w:eastAsia="Times New Roman"/>
      <w:lang w:val="ro-RO" w:eastAsia="ar-SA"/>
    </w:rPr>
  </w:style>
  <w:style w:type="paragraph" w:customStyle="1" w:styleId="Default">
    <w:name w:val="Default"/>
    <w:uiPriority w:val="99"/>
    <w:semiHidden/>
    <w:pPr>
      <w:autoSpaceDE w:val="0"/>
      <w:autoSpaceDN w:val="0"/>
      <w:adjustRightInd w:val="0"/>
    </w:pPr>
    <w:rPr>
      <w:rFonts w:ascii="EUAlbertina" w:eastAsia="Calibri" w:hAnsi="EUAlbertina" w:cs="EUAlbertina"/>
      <w:color w:val="000000"/>
      <w:sz w:val="24"/>
      <w:szCs w:val="24"/>
      <w:lang w:val="ru-RU" w:eastAsia="ru-RU"/>
    </w:rPr>
  </w:style>
  <w:style w:type="paragraph" w:customStyle="1" w:styleId="CharChar">
    <w:name w:val="Char Char"/>
    <w:basedOn w:val="Normal"/>
    <w:uiPriority w:val="99"/>
    <w:semiHidden/>
    <w:pPr>
      <w:spacing w:after="160" w:line="240" w:lineRule="exact"/>
    </w:pPr>
    <w:rPr>
      <w:rFonts w:ascii="Arial" w:eastAsia="Batang" w:hAnsi="Arial" w:cs="Arial"/>
      <w:sz w:val="20"/>
      <w:szCs w:val="20"/>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99890">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5490</Words>
  <Characters>31294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Popov</cp:lastModifiedBy>
  <cp:revision>2</cp:revision>
  <dcterms:created xsi:type="dcterms:W3CDTF">2017-04-27T07:25:00Z</dcterms:created>
  <dcterms:modified xsi:type="dcterms:W3CDTF">2017-04-27T07:25:00Z</dcterms:modified>
</cp:coreProperties>
</file>