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186" w:rsidRPr="00EE19F1" w:rsidRDefault="00E57186" w:rsidP="00884197">
      <w:pPr>
        <w:pStyle w:val="Header"/>
        <w:rPr>
          <w:rFonts w:ascii="Times New Roman" w:hAnsi="Times New Roman"/>
          <w:lang w:val="ro-MD"/>
        </w:rPr>
      </w:pPr>
    </w:p>
    <w:p w:rsidR="00E57186" w:rsidRPr="00EE19F1" w:rsidRDefault="00E57186" w:rsidP="00884197">
      <w:pPr>
        <w:pStyle w:val="Header"/>
        <w:rPr>
          <w:rFonts w:ascii="Times New Roman" w:hAnsi="Times New Roman"/>
          <w:lang w:val="ro-MD"/>
        </w:rPr>
      </w:pPr>
    </w:p>
    <w:p w:rsidR="005840FE" w:rsidRPr="00F57066" w:rsidRDefault="005840FE" w:rsidP="005840FE">
      <w:pPr>
        <w:spacing w:after="0"/>
        <w:jc w:val="right"/>
        <w:rPr>
          <w:rFonts w:ascii="Times New Roman" w:hAnsi="Times New Roman"/>
          <w:b/>
          <w:sz w:val="23"/>
          <w:szCs w:val="23"/>
          <w:lang w:val="ro-RO"/>
        </w:rPr>
      </w:pPr>
    </w:p>
    <w:p w:rsidR="00032FB4" w:rsidRPr="00F57066" w:rsidRDefault="00032FB4" w:rsidP="00077CE4">
      <w:pPr>
        <w:spacing w:after="0"/>
        <w:ind w:right="427" w:firstLine="851"/>
        <w:jc w:val="center"/>
        <w:rPr>
          <w:rFonts w:ascii="Times New Roman" w:hAnsi="Times New Roman"/>
          <w:b/>
          <w:sz w:val="23"/>
          <w:szCs w:val="23"/>
          <w:lang w:val="ro-RO"/>
        </w:rPr>
      </w:pPr>
      <w:r w:rsidRPr="00F57066">
        <w:rPr>
          <w:rFonts w:ascii="Times New Roman" w:hAnsi="Times New Roman"/>
          <w:b/>
          <w:sz w:val="23"/>
          <w:szCs w:val="23"/>
          <w:lang w:val="ro-RO"/>
        </w:rPr>
        <w:t>NOTĂ INFORMATIVĂ</w:t>
      </w:r>
    </w:p>
    <w:p w:rsidR="00032FB4" w:rsidRPr="00F57066" w:rsidRDefault="00077CE4" w:rsidP="00077CE4">
      <w:pPr>
        <w:spacing w:after="0"/>
        <w:ind w:right="427" w:firstLine="851"/>
        <w:jc w:val="center"/>
        <w:rPr>
          <w:rFonts w:ascii="Times New Roman" w:hAnsi="Times New Roman"/>
          <w:b/>
          <w:sz w:val="23"/>
          <w:szCs w:val="23"/>
          <w:lang w:val="ro-RO"/>
        </w:rPr>
      </w:pPr>
      <w:r>
        <w:rPr>
          <w:rFonts w:ascii="Times New Roman" w:hAnsi="Times New Roman"/>
          <w:b/>
          <w:sz w:val="23"/>
          <w:szCs w:val="23"/>
          <w:lang w:val="ro-RO"/>
        </w:rPr>
        <w:t>la proiectul hotărîrii Guvernului „</w:t>
      </w:r>
      <w:r w:rsidRPr="00F57066">
        <w:rPr>
          <w:rFonts w:ascii="Times New Roman" w:hAnsi="Times New Roman"/>
          <w:b/>
          <w:sz w:val="23"/>
          <w:szCs w:val="23"/>
          <w:lang w:val="ro-RO"/>
        </w:rPr>
        <w:t>P</w:t>
      </w:r>
      <w:r>
        <w:rPr>
          <w:rFonts w:ascii="Times New Roman" w:hAnsi="Times New Roman"/>
          <w:b/>
          <w:sz w:val="23"/>
          <w:szCs w:val="23"/>
          <w:lang w:val="ro-RO"/>
        </w:rPr>
        <w:t xml:space="preserve">entru aprobarea </w:t>
      </w:r>
      <w:r w:rsidR="00032FB4" w:rsidRPr="00F57066">
        <w:rPr>
          <w:rFonts w:ascii="Times New Roman" w:hAnsi="Times New Roman"/>
          <w:b/>
          <w:sz w:val="23"/>
          <w:szCs w:val="23"/>
          <w:lang w:val="ro-RO"/>
        </w:rPr>
        <w:t>modific</w:t>
      </w:r>
      <w:r>
        <w:rPr>
          <w:rFonts w:ascii="Times New Roman" w:hAnsi="Times New Roman"/>
          <w:b/>
          <w:sz w:val="23"/>
          <w:szCs w:val="23"/>
          <w:lang w:val="ro-RO"/>
        </w:rPr>
        <w:t xml:space="preserve">ărilor și completărilor ce se operează în </w:t>
      </w:r>
      <w:r w:rsidR="00594BE5" w:rsidRPr="00F57066">
        <w:rPr>
          <w:rFonts w:ascii="Times New Roman" w:hAnsi="Times New Roman"/>
          <w:b/>
          <w:sz w:val="23"/>
          <w:szCs w:val="23"/>
          <w:lang w:val="ro-RO"/>
        </w:rPr>
        <w:t>Hotărârea</w:t>
      </w:r>
      <w:r w:rsidR="00032FB4" w:rsidRPr="00F57066">
        <w:rPr>
          <w:rFonts w:ascii="Times New Roman" w:hAnsi="Times New Roman"/>
          <w:b/>
          <w:sz w:val="23"/>
          <w:szCs w:val="23"/>
          <w:lang w:val="ro-RO"/>
        </w:rPr>
        <w:t xml:space="preserve"> Guvernului nr. 972 din 18 octombrie 2010 </w:t>
      </w:r>
    </w:p>
    <w:p w:rsidR="00032FB4" w:rsidRPr="00F57066" w:rsidRDefault="00032FB4" w:rsidP="00077CE4">
      <w:pPr>
        <w:spacing w:after="0"/>
        <w:ind w:right="427" w:firstLine="851"/>
        <w:jc w:val="both"/>
        <w:rPr>
          <w:rFonts w:ascii="Times New Roman" w:hAnsi="Times New Roman"/>
          <w:sz w:val="23"/>
          <w:szCs w:val="23"/>
          <w:lang w:val="ro-RO"/>
        </w:rPr>
      </w:pPr>
    </w:p>
    <w:p w:rsidR="00032FB4" w:rsidRPr="00077CE4" w:rsidRDefault="00032FB4" w:rsidP="00077CE4">
      <w:pPr>
        <w:ind w:right="427" w:firstLine="851"/>
        <w:jc w:val="both"/>
        <w:rPr>
          <w:rFonts w:ascii="Times New Roman" w:hAnsi="Times New Roman"/>
          <w:sz w:val="24"/>
          <w:szCs w:val="24"/>
          <w:lang w:val="ro-RO"/>
        </w:rPr>
      </w:pPr>
      <w:r w:rsidRPr="00077CE4">
        <w:rPr>
          <w:rFonts w:ascii="Times New Roman" w:hAnsi="Times New Roman"/>
          <w:sz w:val="24"/>
          <w:szCs w:val="24"/>
          <w:lang w:val="ro-RO"/>
        </w:rPr>
        <w:t>Reieșind din necesitatea asigurării unei continuităţi în procesul de elaborare şi implementare a măsurilor de suport pentru întreprinderile mici și mijlocii, în conformitate cu obiectivele prevăzute în Strategia Națională de Dezvoltare „Moldova 2020”; Strategia de dezvoltare a sectorului ÎMM pentru anii 2012-2020; Planul de Acțiuni pentru anii 2017-2019 privind susținerea reintegrării cetățe</w:t>
      </w:r>
      <w:r w:rsidR="005629D0" w:rsidRPr="00077CE4">
        <w:rPr>
          <w:rFonts w:ascii="Times New Roman" w:hAnsi="Times New Roman"/>
          <w:sz w:val="24"/>
          <w:szCs w:val="24"/>
          <w:lang w:val="ro-RO"/>
        </w:rPr>
        <w:t>nilor re</w:t>
      </w:r>
      <w:r w:rsidR="00077CE4" w:rsidRPr="00077CE4">
        <w:rPr>
          <w:rFonts w:ascii="Times New Roman" w:hAnsi="Times New Roman"/>
          <w:sz w:val="24"/>
          <w:szCs w:val="24"/>
          <w:lang w:val="ro-RO"/>
        </w:rPr>
        <w:t>î</w:t>
      </w:r>
      <w:r w:rsidR="00594BE5" w:rsidRPr="00077CE4">
        <w:rPr>
          <w:rFonts w:ascii="Times New Roman" w:hAnsi="Times New Roman"/>
          <w:sz w:val="24"/>
          <w:szCs w:val="24"/>
          <w:lang w:val="ro-RO"/>
        </w:rPr>
        <w:t>ntorși de peste hotare,</w:t>
      </w:r>
      <w:r w:rsidRPr="00077CE4">
        <w:rPr>
          <w:rFonts w:ascii="Times New Roman" w:hAnsi="Times New Roman"/>
          <w:sz w:val="24"/>
          <w:szCs w:val="24"/>
          <w:lang w:val="ro-RO"/>
        </w:rPr>
        <w:t xml:space="preserve"> precum și Planul naţional de acţiuni pentru implementarea Acordului de Asociere Republica Moldova – Uniunea Europeană în perioada 2017 – 2019, </w:t>
      </w:r>
      <w:r w:rsidR="00077CE4" w:rsidRPr="00077CE4">
        <w:rPr>
          <w:rFonts w:ascii="Times New Roman" w:hAnsi="Times New Roman"/>
          <w:sz w:val="24"/>
          <w:szCs w:val="24"/>
          <w:lang w:val="ro-RO"/>
        </w:rPr>
        <w:t>Ministerul Economiei</w:t>
      </w:r>
      <w:r w:rsidRPr="00077CE4">
        <w:rPr>
          <w:rFonts w:ascii="Times New Roman" w:hAnsi="Times New Roman"/>
          <w:sz w:val="24"/>
          <w:szCs w:val="24"/>
          <w:lang w:val="ro-RO"/>
        </w:rPr>
        <w:t xml:space="preserve"> în baza </w:t>
      </w:r>
      <w:r w:rsidR="005840FE" w:rsidRPr="00077CE4">
        <w:rPr>
          <w:rFonts w:ascii="Times New Roman" w:hAnsi="Times New Roman"/>
          <w:sz w:val="24"/>
          <w:szCs w:val="24"/>
          <w:lang w:val="ro-RO"/>
        </w:rPr>
        <w:t>Deciziei Comitetului de supraveghere a</w:t>
      </w:r>
      <w:r w:rsidR="007659BD" w:rsidRPr="00077CE4">
        <w:rPr>
          <w:rFonts w:ascii="Times New Roman" w:hAnsi="Times New Roman"/>
          <w:sz w:val="24"/>
          <w:szCs w:val="24"/>
          <w:lang w:val="ro-RO"/>
        </w:rPr>
        <w:t>l</w:t>
      </w:r>
      <w:r w:rsidR="005840FE" w:rsidRPr="00077CE4">
        <w:rPr>
          <w:rFonts w:ascii="Times New Roman" w:hAnsi="Times New Roman"/>
          <w:sz w:val="24"/>
          <w:szCs w:val="24"/>
          <w:lang w:val="ro-RO"/>
        </w:rPr>
        <w:t xml:space="preserve"> Programului de atragere a remitențelor în economie ”PARE 1+1” din 15 martie 2017,</w:t>
      </w:r>
      <w:r w:rsidRPr="00077CE4">
        <w:rPr>
          <w:rFonts w:ascii="Times New Roman" w:hAnsi="Times New Roman"/>
          <w:sz w:val="24"/>
          <w:szCs w:val="24"/>
          <w:lang w:val="ro-RO"/>
        </w:rPr>
        <w:t xml:space="preserve"> </w:t>
      </w:r>
      <w:r w:rsidR="002474E8" w:rsidRPr="00077CE4">
        <w:rPr>
          <w:rFonts w:ascii="Times New Roman" w:hAnsi="Times New Roman"/>
          <w:sz w:val="24"/>
          <w:szCs w:val="24"/>
          <w:lang w:val="ro-RO"/>
        </w:rPr>
        <w:t>înaintează</w:t>
      </w:r>
      <w:r w:rsidRPr="00077CE4">
        <w:rPr>
          <w:rFonts w:ascii="Times New Roman" w:hAnsi="Times New Roman"/>
          <w:sz w:val="24"/>
          <w:szCs w:val="24"/>
          <w:lang w:val="ro-RO"/>
        </w:rPr>
        <w:t xml:space="preserve"> propuneri</w:t>
      </w:r>
      <w:r w:rsidR="002474E8" w:rsidRPr="00077CE4">
        <w:rPr>
          <w:rFonts w:ascii="Times New Roman" w:hAnsi="Times New Roman"/>
          <w:sz w:val="24"/>
          <w:szCs w:val="24"/>
          <w:lang w:val="ro-RO"/>
        </w:rPr>
        <w:t>le</w:t>
      </w:r>
      <w:r w:rsidRPr="00077CE4">
        <w:rPr>
          <w:rFonts w:ascii="Times New Roman" w:hAnsi="Times New Roman"/>
          <w:sz w:val="24"/>
          <w:szCs w:val="24"/>
          <w:lang w:val="ro-RO"/>
        </w:rPr>
        <w:t xml:space="preserve"> de </w:t>
      </w:r>
      <w:r w:rsidR="002474E8" w:rsidRPr="00077CE4">
        <w:rPr>
          <w:rFonts w:ascii="Times New Roman" w:hAnsi="Times New Roman"/>
          <w:sz w:val="24"/>
          <w:szCs w:val="24"/>
          <w:lang w:val="ro-RO"/>
        </w:rPr>
        <w:t xml:space="preserve">ajustare și </w:t>
      </w:r>
      <w:r w:rsidRPr="00077CE4">
        <w:rPr>
          <w:rFonts w:ascii="Times New Roman" w:hAnsi="Times New Roman"/>
          <w:sz w:val="24"/>
          <w:szCs w:val="24"/>
          <w:lang w:val="ro-RO"/>
        </w:rPr>
        <w:t xml:space="preserve">îmbunătățire a Programului ”PARE 1+1”, aprobat prin Hotărârea Guvernului nr.972 din 18 octombrie 2010.  </w:t>
      </w:r>
    </w:p>
    <w:p w:rsidR="00032FB4" w:rsidRPr="00077CE4" w:rsidRDefault="00032FB4" w:rsidP="00077CE4">
      <w:pPr>
        <w:tabs>
          <w:tab w:val="left" w:pos="0"/>
        </w:tabs>
        <w:spacing w:before="240"/>
        <w:ind w:right="427" w:firstLine="851"/>
        <w:jc w:val="both"/>
        <w:rPr>
          <w:rFonts w:ascii="Times New Roman" w:hAnsi="Times New Roman"/>
          <w:sz w:val="24"/>
          <w:szCs w:val="24"/>
          <w:lang w:val="ro-RO"/>
        </w:rPr>
      </w:pPr>
      <w:r w:rsidRPr="00077CE4">
        <w:rPr>
          <w:rFonts w:ascii="Times New Roman" w:hAnsi="Times New Roman"/>
          <w:sz w:val="24"/>
          <w:szCs w:val="24"/>
          <w:lang w:val="ro-RO"/>
        </w:rPr>
        <w:t xml:space="preserve">Programul </w:t>
      </w:r>
      <w:r w:rsidR="005629D0" w:rsidRPr="00077CE4">
        <w:rPr>
          <w:rFonts w:ascii="Times New Roman" w:hAnsi="Times New Roman"/>
          <w:sz w:val="24"/>
          <w:szCs w:val="24"/>
          <w:lang w:val="ro-RO"/>
        </w:rPr>
        <w:t xml:space="preserve">de Atragere a Remitențelor în Economie </w:t>
      </w:r>
      <w:r w:rsidRPr="00077CE4">
        <w:rPr>
          <w:rFonts w:ascii="Times New Roman" w:hAnsi="Times New Roman"/>
          <w:sz w:val="24"/>
          <w:szCs w:val="24"/>
          <w:lang w:val="ro-RO"/>
        </w:rPr>
        <w:t>„PARE 1+1”</w:t>
      </w:r>
      <w:r w:rsidR="005629D0" w:rsidRPr="00077CE4">
        <w:rPr>
          <w:rFonts w:ascii="Times New Roman" w:hAnsi="Times New Roman"/>
          <w:sz w:val="24"/>
          <w:szCs w:val="24"/>
          <w:lang w:val="ro-RO"/>
        </w:rPr>
        <w:t xml:space="preserve"> (în continuare – Programul „PARE 1+1”)</w:t>
      </w:r>
      <w:r w:rsidRPr="00077CE4">
        <w:rPr>
          <w:rFonts w:ascii="Times New Roman" w:hAnsi="Times New Roman"/>
          <w:sz w:val="24"/>
          <w:szCs w:val="24"/>
          <w:lang w:val="ro-RO"/>
        </w:rPr>
        <w:t xml:space="preserve"> se bucură de un interes sporit în rândul migra</w:t>
      </w:r>
      <w:r w:rsidR="00594BE5" w:rsidRPr="00077CE4">
        <w:rPr>
          <w:rFonts w:ascii="Times New Roman" w:hAnsi="Times New Roman"/>
          <w:sz w:val="24"/>
          <w:szCs w:val="24"/>
          <w:lang w:val="ro-RO"/>
        </w:rPr>
        <w:t>n</w:t>
      </w:r>
      <w:r w:rsidRPr="00077CE4">
        <w:rPr>
          <w:rFonts w:ascii="Times New Roman" w:hAnsi="Times New Roman"/>
          <w:sz w:val="24"/>
          <w:szCs w:val="24"/>
          <w:lang w:val="ro-RO"/>
        </w:rPr>
        <w:t>ților şi rudelor acestora, fapt care determină creşterea constantă a numărului de</w:t>
      </w:r>
      <w:r w:rsidR="00FB6DB9" w:rsidRPr="00077CE4">
        <w:rPr>
          <w:rFonts w:ascii="Times New Roman" w:hAnsi="Times New Roman"/>
          <w:sz w:val="24"/>
          <w:szCs w:val="24"/>
          <w:lang w:val="ro-RO"/>
        </w:rPr>
        <w:t xml:space="preserve"> persoane interesate de a se reâ</w:t>
      </w:r>
      <w:r w:rsidRPr="00077CE4">
        <w:rPr>
          <w:rFonts w:ascii="Times New Roman" w:hAnsi="Times New Roman"/>
          <w:sz w:val="24"/>
          <w:szCs w:val="24"/>
          <w:lang w:val="ro-RO"/>
        </w:rPr>
        <w:t>ntoarce acasă ori de a investi remitenţele în crearea şi dezvoltarea unei afaceri proprii.</w:t>
      </w:r>
    </w:p>
    <w:p w:rsidR="00032FB4" w:rsidRPr="00077CE4" w:rsidRDefault="00032FB4" w:rsidP="00077CE4">
      <w:pPr>
        <w:ind w:right="427" w:firstLine="851"/>
        <w:jc w:val="both"/>
        <w:rPr>
          <w:rFonts w:ascii="Times New Roman" w:hAnsi="Times New Roman"/>
          <w:sz w:val="24"/>
          <w:szCs w:val="24"/>
          <w:lang w:val="ro-RO"/>
        </w:rPr>
      </w:pPr>
      <w:r w:rsidRPr="00077CE4">
        <w:rPr>
          <w:rFonts w:ascii="Times New Roman" w:hAnsi="Times New Roman"/>
          <w:sz w:val="24"/>
          <w:szCs w:val="24"/>
          <w:lang w:val="ro-RO"/>
        </w:rPr>
        <w:t xml:space="preserve">Programul „PARE 1+1” contribuie în mod direct la realizarea obiectivului de politică socio-economică, prin: </w:t>
      </w:r>
      <w:r w:rsidRPr="00077CE4">
        <w:rPr>
          <w:rFonts w:ascii="Times New Roman" w:hAnsi="Times New Roman"/>
          <w:b/>
          <w:sz w:val="24"/>
          <w:szCs w:val="24"/>
          <w:lang w:val="ro-RO"/>
        </w:rPr>
        <w:t>(i)</w:t>
      </w:r>
      <w:r w:rsidRPr="00077CE4">
        <w:rPr>
          <w:rFonts w:ascii="Times New Roman" w:hAnsi="Times New Roman"/>
          <w:sz w:val="24"/>
          <w:szCs w:val="24"/>
          <w:lang w:val="ro-RO"/>
        </w:rPr>
        <w:t xml:space="preserve"> creșterea investițiilor productive în activitățile de afaceri din Republica Moldova provenite </w:t>
      </w:r>
      <w:r w:rsidR="00FB6DB9" w:rsidRPr="00077CE4">
        <w:rPr>
          <w:rFonts w:ascii="Times New Roman" w:hAnsi="Times New Roman"/>
          <w:sz w:val="24"/>
          <w:szCs w:val="24"/>
          <w:lang w:val="ro-RO"/>
        </w:rPr>
        <w:t>din</w:t>
      </w:r>
      <w:r w:rsidRPr="00077CE4">
        <w:rPr>
          <w:rFonts w:ascii="Times New Roman" w:hAnsi="Times New Roman"/>
          <w:sz w:val="24"/>
          <w:szCs w:val="24"/>
          <w:lang w:val="ro-RO"/>
        </w:rPr>
        <w:t xml:space="preserve"> remitențe, </w:t>
      </w:r>
      <w:r w:rsidRPr="00077CE4">
        <w:rPr>
          <w:rFonts w:ascii="Times New Roman" w:hAnsi="Times New Roman"/>
          <w:b/>
          <w:sz w:val="24"/>
          <w:szCs w:val="24"/>
          <w:lang w:val="ro-RO"/>
        </w:rPr>
        <w:t>(ii)</w:t>
      </w:r>
      <w:r w:rsidRPr="00077CE4">
        <w:rPr>
          <w:rFonts w:ascii="Times New Roman" w:hAnsi="Times New Roman"/>
          <w:sz w:val="24"/>
          <w:szCs w:val="24"/>
          <w:lang w:val="ro-RO"/>
        </w:rPr>
        <w:t xml:space="preserve"> sprijinirea la întoarcerea lucrătorilor migranți, cetățeni ai Republicii Moldova și </w:t>
      </w:r>
      <w:r w:rsidRPr="00077CE4">
        <w:rPr>
          <w:rFonts w:ascii="Times New Roman" w:hAnsi="Times New Roman"/>
          <w:b/>
          <w:sz w:val="24"/>
          <w:szCs w:val="24"/>
          <w:lang w:val="ro-RO"/>
        </w:rPr>
        <w:t>(iii)</w:t>
      </w:r>
      <w:r w:rsidRPr="00077CE4">
        <w:rPr>
          <w:rFonts w:ascii="Times New Roman" w:hAnsi="Times New Roman"/>
          <w:sz w:val="24"/>
          <w:szCs w:val="24"/>
          <w:lang w:val="ro-RO"/>
        </w:rPr>
        <w:t xml:space="preserve"> sprijinirea familiilor dependente de mijloacele financiare provenite din remitențe în generarea de investiții.</w:t>
      </w:r>
    </w:p>
    <w:p w:rsidR="00032FB4" w:rsidRPr="00077CE4" w:rsidRDefault="00032FB4" w:rsidP="00077CE4">
      <w:pPr>
        <w:tabs>
          <w:tab w:val="num" w:pos="0"/>
        </w:tabs>
        <w:ind w:right="427" w:firstLine="851"/>
        <w:jc w:val="both"/>
        <w:rPr>
          <w:rFonts w:ascii="Times New Roman" w:hAnsi="Times New Roman"/>
          <w:sz w:val="24"/>
          <w:szCs w:val="24"/>
          <w:lang w:val="ro-RO"/>
        </w:rPr>
      </w:pPr>
      <w:r w:rsidRPr="00077CE4">
        <w:rPr>
          <w:rFonts w:ascii="Times New Roman" w:hAnsi="Times New Roman"/>
          <w:sz w:val="24"/>
          <w:szCs w:val="24"/>
          <w:lang w:val="ro-RO"/>
        </w:rPr>
        <w:t>În acest context, ca rezultat a implementării Programului ”PARE 1+1” se impune modificarea Hotărârii Guvernului nr. 972 din 18 octombrie 2010, reieșind din necesitatea revizuirii componentelor Programului ”PARE 1+1” și maximizării impactului Programului în crearea și dezvoltarea business-ului mic și mijlociu în Republica Moldova.</w:t>
      </w:r>
    </w:p>
    <w:p w:rsidR="00032FB4" w:rsidRPr="00077CE4" w:rsidRDefault="00032FB4" w:rsidP="00077CE4">
      <w:pPr>
        <w:pStyle w:val="ListParagraph"/>
        <w:numPr>
          <w:ilvl w:val="0"/>
          <w:numId w:val="9"/>
        </w:numPr>
        <w:tabs>
          <w:tab w:val="num" w:pos="0"/>
        </w:tabs>
        <w:spacing w:after="200" w:line="276" w:lineRule="auto"/>
        <w:ind w:left="0" w:right="427" w:firstLine="851"/>
        <w:rPr>
          <w:lang w:val="ro-RO"/>
        </w:rPr>
      </w:pPr>
      <w:r w:rsidRPr="00077CE4">
        <w:rPr>
          <w:lang w:val="ro-RO"/>
        </w:rPr>
        <w:t xml:space="preserve">În acest sens, în vederea optimizării procedurii de aplicarea la </w:t>
      </w:r>
      <w:r w:rsidRPr="00077CE4">
        <w:rPr>
          <w:b/>
          <w:lang w:val="ro-RO"/>
        </w:rPr>
        <w:t>Componenta II – Instruire și suport antreprenorial</w:t>
      </w:r>
      <w:r w:rsidRPr="00077CE4">
        <w:rPr>
          <w:lang w:val="ro-RO"/>
        </w:rPr>
        <w:t>, se propune următoarele:</w:t>
      </w:r>
    </w:p>
    <w:p w:rsidR="00032FB4" w:rsidRPr="00077CE4" w:rsidRDefault="00032FB4" w:rsidP="00077CE4">
      <w:pPr>
        <w:pStyle w:val="ListParagraph"/>
        <w:numPr>
          <w:ilvl w:val="0"/>
          <w:numId w:val="10"/>
        </w:numPr>
        <w:spacing w:before="240" w:line="276" w:lineRule="auto"/>
        <w:ind w:left="0" w:right="427" w:firstLine="851"/>
        <w:rPr>
          <w:lang w:val="ro-RO"/>
        </w:rPr>
      </w:pPr>
      <w:r w:rsidRPr="00077CE4">
        <w:rPr>
          <w:b/>
          <w:lang w:val="ro-RO"/>
        </w:rPr>
        <w:t>Optimizarea actelor procedurale necesare pentru aplicarea la Program</w:t>
      </w:r>
      <w:r w:rsidRPr="00077CE4">
        <w:rPr>
          <w:lang w:val="ro-RO"/>
        </w:rPr>
        <w:t xml:space="preserve"> cu elaborarea unui singur document – </w:t>
      </w:r>
      <w:r w:rsidRPr="00077CE4">
        <w:rPr>
          <w:lang w:val="en-US"/>
        </w:rPr>
        <w:t>“</w:t>
      </w:r>
      <w:r w:rsidRPr="00077CE4">
        <w:rPr>
          <w:i/>
          <w:lang w:val="ro-RO"/>
        </w:rPr>
        <w:t>cerere</w:t>
      </w:r>
      <w:r w:rsidR="001D1EE2" w:rsidRPr="00077CE4">
        <w:rPr>
          <w:i/>
          <w:lang w:val="ro-RO"/>
        </w:rPr>
        <w:t>-tip de participarea la P</w:t>
      </w:r>
      <w:r w:rsidRPr="00077CE4">
        <w:rPr>
          <w:i/>
          <w:lang w:val="ro-RO"/>
        </w:rPr>
        <w:t>rogram”,</w:t>
      </w:r>
      <w:r w:rsidRPr="00077CE4">
        <w:rPr>
          <w:lang w:val="ro-RO"/>
        </w:rPr>
        <w:t xml:space="preserve"> la care vor fi anexate documentele confirmative privind eligibilitatea la Program</w:t>
      </w:r>
      <w:r w:rsidRPr="00077CE4">
        <w:rPr>
          <w:i/>
          <w:lang w:val="ro-RO"/>
        </w:rPr>
        <w:t>: nota de concept a ideii preliminare a proiectului investițional</w:t>
      </w:r>
      <w:r w:rsidR="005840FE" w:rsidRPr="00077CE4">
        <w:rPr>
          <w:i/>
          <w:lang w:val="ro-RO"/>
        </w:rPr>
        <w:t xml:space="preserve"> </w:t>
      </w:r>
      <w:r w:rsidRPr="00077CE4">
        <w:rPr>
          <w:i/>
          <w:lang w:val="ro-RO"/>
        </w:rPr>
        <w:t>/afacerii; cererea de participare la instruire; declarația pe propria răspundere privind proveniența sumelor de bani din remitențe; declarația pe propria răspundere privind veridicitatea datelor furnizate în scopul participării la Program).</w:t>
      </w:r>
    </w:p>
    <w:p w:rsidR="00032FB4" w:rsidRPr="00077CE4" w:rsidRDefault="00032FB4" w:rsidP="00077CE4">
      <w:pPr>
        <w:spacing w:after="0" w:line="120" w:lineRule="auto"/>
        <w:ind w:right="427" w:firstLine="851"/>
        <w:jc w:val="both"/>
        <w:rPr>
          <w:rFonts w:ascii="Times New Roman" w:hAnsi="Times New Roman"/>
          <w:sz w:val="24"/>
          <w:szCs w:val="24"/>
          <w:lang w:val="ro-RO"/>
        </w:rPr>
      </w:pPr>
    </w:p>
    <w:p w:rsidR="00032FB4" w:rsidRPr="00077CE4" w:rsidRDefault="00032FB4" w:rsidP="000C2645">
      <w:pPr>
        <w:pStyle w:val="ListParagraph"/>
        <w:numPr>
          <w:ilvl w:val="0"/>
          <w:numId w:val="9"/>
        </w:numPr>
        <w:tabs>
          <w:tab w:val="left" w:pos="0"/>
          <w:tab w:val="left" w:pos="426"/>
        </w:tabs>
        <w:spacing w:line="276" w:lineRule="auto"/>
        <w:ind w:left="0" w:right="427" w:firstLine="851"/>
        <w:rPr>
          <w:lang w:val="ro-RO"/>
        </w:rPr>
      </w:pPr>
      <w:r w:rsidRPr="00077CE4">
        <w:rPr>
          <w:lang w:val="ro-RO"/>
        </w:rPr>
        <w:t>Analizând rezultatele implementării Programului ”PARE 1+1”, se constată că, în mediu, la un leu obținut sub formă de finanțare nerambursabilă se investesc 3 lei în dezvoltarea afacerii, fapt care demonstrează</w:t>
      </w:r>
      <w:r w:rsidR="00077CE4" w:rsidRPr="00077CE4">
        <w:rPr>
          <w:lang w:val="ro-RO"/>
        </w:rPr>
        <w:t xml:space="preserve"> </w:t>
      </w:r>
      <w:r w:rsidRPr="00077CE4">
        <w:rPr>
          <w:lang w:val="ro-RO"/>
        </w:rPr>
        <w:t>că, de facto, investițiile în crearea și dezvoltarea afacerilor sunt mult mai mari decât grantul oferit. Menționăm că, majoritatea beneficiarilor Programului</w:t>
      </w:r>
      <w:r w:rsidR="00E87C52" w:rsidRPr="00077CE4">
        <w:rPr>
          <w:lang w:val="ro-RO"/>
        </w:rPr>
        <w:t xml:space="preserve"> ”PARE 1+1”</w:t>
      </w:r>
      <w:r w:rsidRPr="00077CE4">
        <w:rPr>
          <w:lang w:val="ro-RO"/>
        </w:rPr>
        <w:t>, procură utilaje și tehnică importată și sunt influențați direct de deprecierea valutei naționale, care în 2017 comparativ cu 2010 (anul lansării Programului ”PARE 1+1”) s-a depreciat cu circa 25-30% (de la 16,40 lei pentru un EURO în 2010, până la 21,0 lei pentru un EURO în 2017). Totodată, circa ½ din totalul beneficiarilor î-și extind afacerea și întîmpină mari dificultăți financiare, legate de insuficiența mijloacelor bănești și costul înalt al acestora.</w:t>
      </w:r>
    </w:p>
    <w:p w:rsidR="007659BD" w:rsidRPr="00077CE4" w:rsidRDefault="007659BD" w:rsidP="00077CE4">
      <w:pPr>
        <w:pStyle w:val="ListParagraph"/>
        <w:tabs>
          <w:tab w:val="left" w:pos="426"/>
        </w:tabs>
        <w:spacing w:after="200" w:line="240" w:lineRule="auto"/>
        <w:ind w:left="0" w:right="427" w:firstLine="851"/>
        <w:rPr>
          <w:lang w:val="ro-RO"/>
        </w:rPr>
      </w:pPr>
    </w:p>
    <w:p w:rsidR="00077CE4" w:rsidRDefault="00077CE4" w:rsidP="00077CE4">
      <w:pPr>
        <w:pStyle w:val="ListParagraph"/>
        <w:tabs>
          <w:tab w:val="left" w:pos="426"/>
        </w:tabs>
        <w:spacing w:after="200" w:line="276" w:lineRule="auto"/>
        <w:ind w:left="0" w:right="427" w:firstLine="851"/>
        <w:rPr>
          <w:lang w:val="ro-RO"/>
        </w:rPr>
      </w:pPr>
    </w:p>
    <w:p w:rsidR="00077CE4" w:rsidRDefault="00077CE4" w:rsidP="00077CE4">
      <w:pPr>
        <w:pStyle w:val="ListParagraph"/>
        <w:tabs>
          <w:tab w:val="left" w:pos="426"/>
        </w:tabs>
        <w:spacing w:after="200" w:line="276" w:lineRule="auto"/>
        <w:ind w:left="0" w:right="427" w:firstLine="851"/>
        <w:rPr>
          <w:lang w:val="ro-RO"/>
        </w:rPr>
      </w:pPr>
    </w:p>
    <w:p w:rsidR="00032FB4" w:rsidRPr="00077CE4" w:rsidRDefault="00032FB4" w:rsidP="00077CE4">
      <w:pPr>
        <w:pStyle w:val="ListParagraph"/>
        <w:tabs>
          <w:tab w:val="left" w:pos="426"/>
        </w:tabs>
        <w:spacing w:after="200" w:line="276" w:lineRule="auto"/>
        <w:ind w:left="0" w:right="427" w:firstLine="851"/>
        <w:rPr>
          <w:lang w:val="ro-RO"/>
        </w:rPr>
      </w:pPr>
      <w:r w:rsidRPr="00077CE4">
        <w:rPr>
          <w:lang w:val="ro-RO"/>
        </w:rPr>
        <w:t xml:space="preserve">În această ordine de idei, </w:t>
      </w:r>
      <w:r w:rsidRPr="00077CE4">
        <w:rPr>
          <w:b/>
          <w:lang w:val="ro-RO"/>
        </w:rPr>
        <w:t>la Componenta III – Finanțarea afacerilor/</w:t>
      </w:r>
      <w:r w:rsidR="008D36BF" w:rsidRPr="00077CE4">
        <w:rPr>
          <w:b/>
          <w:lang w:val="ro-RO"/>
        </w:rPr>
        <w:t xml:space="preserve"> </w:t>
      </w:r>
      <w:r w:rsidRPr="00077CE4">
        <w:rPr>
          <w:b/>
          <w:lang w:val="ro-RO"/>
        </w:rPr>
        <w:t>Regula 1+1</w:t>
      </w:r>
      <w:r w:rsidRPr="00077CE4">
        <w:rPr>
          <w:lang w:val="ro-RO"/>
        </w:rPr>
        <w:t xml:space="preserve"> </w:t>
      </w:r>
      <w:r w:rsidRPr="00077CE4">
        <w:rPr>
          <w:b/>
          <w:lang w:val="ro-RO"/>
        </w:rPr>
        <w:t>se propune</w:t>
      </w:r>
      <w:r w:rsidRPr="00077CE4">
        <w:rPr>
          <w:lang w:val="ro-RO"/>
        </w:rPr>
        <w:t xml:space="preserve"> </w:t>
      </w:r>
      <w:r w:rsidRPr="00077CE4">
        <w:rPr>
          <w:b/>
          <w:lang w:val="ro-RO"/>
        </w:rPr>
        <w:t>majorarea cuantumului maxim al finanțării nerambursabile</w:t>
      </w:r>
      <w:r w:rsidRPr="00077CE4">
        <w:rPr>
          <w:lang w:val="ro-RO"/>
        </w:rPr>
        <w:t xml:space="preserve"> alocate din contul Programului ”PARE 1+1” de la </w:t>
      </w:r>
      <w:r w:rsidRPr="00077CE4">
        <w:rPr>
          <w:b/>
          <w:lang w:val="ro-RO"/>
        </w:rPr>
        <w:t>200 mii lei</w:t>
      </w:r>
      <w:r w:rsidRPr="00077CE4">
        <w:rPr>
          <w:lang w:val="ro-RO"/>
        </w:rPr>
        <w:t xml:space="preserve"> la </w:t>
      </w:r>
      <w:r w:rsidRPr="00077CE4">
        <w:rPr>
          <w:b/>
          <w:lang w:val="ro-RO"/>
        </w:rPr>
        <w:t>250 mii lei</w:t>
      </w:r>
      <w:r w:rsidRPr="00077CE4">
        <w:rPr>
          <w:lang w:val="ro-RO"/>
        </w:rPr>
        <w:t xml:space="preserve">. </w:t>
      </w:r>
    </w:p>
    <w:p w:rsidR="00032FB4" w:rsidRPr="00077CE4" w:rsidRDefault="00032FB4" w:rsidP="00077CE4">
      <w:pPr>
        <w:ind w:right="427" w:firstLine="851"/>
        <w:jc w:val="both"/>
        <w:rPr>
          <w:rFonts w:ascii="Times New Roman" w:hAnsi="Times New Roman"/>
          <w:sz w:val="24"/>
          <w:szCs w:val="24"/>
          <w:lang w:val="ro-RO"/>
        </w:rPr>
      </w:pPr>
      <w:r w:rsidRPr="00077CE4">
        <w:rPr>
          <w:rFonts w:ascii="Times New Roman" w:hAnsi="Times New Roman"/>
          <w:sz w:val="24"/>
          <w:szCs w:val="24"/>
          <w:lang w:val="ro-RO"/>
        </w:rPr>
        <w:t>Menționăm că, majorarea plafonului finanțării nerambursabil</w:t>
      </w:r>
      <w:r w:rsidR="008D36BF" w:rsidRPr="00077CE4">
        <w:rPr>
          <w:rFonts w:ascii="Times New Roman" w:hAnsi="Times New Roman"/>
          <w:sz w:val="24"/>
          <w:szCs w:val="24"/>
          <w:lang w:val="ro-RO"/>
        </w:rPr>
        <w:t>e a fost recomandat în Studiul</w:t>
      </w:r>
      <w:r w:rsidRPr="00077CE4">
        <w:rPr>
          <w:rFonts w:ascii="Times New Roman" w:hAnsi="Times New Roman"/>
          <w:sz w:val="24"/>
          <w:szCs w:val="24"/>
          <w:lang w:val="ro-RO"/>
        </w:rPr>
        <w:t xml:space="preserve"> privind eficientizarea Programului ”PARE 1+1”</w:t>
      </w:r>
      <w:r w:rsidR="008D36BF" w:rsidRPr="00077CE4">
        <w:rPr>
          <w:rFonts w:ascii="Times New Roman" w:hAnsi="Times New Roman"/>
          <w:sz w:val="24"/>
          <w:szCs w:val="24"/>
          <w:lang w:val="ro-RO"/>
        </w:rPr>
        <w:t xml:space="preserve">, elaborat de către experții Uniunii Europene </w:t>
      </w:r>
      <w:r w:rsidRPr="00077CE4">
        <w:rPr>
          <w:rFonts w:ascii="Times New Roman" w:hAnsi="Times New Roman"/>
          <w:sz w:val="24"/>
          <w:szCs w:val="24"/>
          <w:lang w:val="ro-RO"/>
        </w:rPr>
        <w:t>în cadrul suportului oferit de DCFTA.</w:t>
      </w:r>
    </w:p>
    <w:p w:rsidR="00032FB4" w:rsidRPr="00077CE4" w:rsidRDefault="00032FB4" w:rsidP="00077CE4">
      <w:pPr>
        <w:spacing w:after="60"/>
        <w:ind w:right="427" w:firstLine="851"/>
        <w:contextualSpacing/>
        <w:jc w:val="both"/>
        <w:rPr>
          <w:rFonts w:ascii="Times New Roman" w:hAnsi="Times New Roman"/>
          <w:b/>
          <w:sz w:val="24"/>
          <w:szCs w:val="24"/>
          <w:lang w:val="ro-RO"/>
        </w:rPr>
      </w:pPr>
      <w:r w:rsidRPr="00077CE4">
        <w:rPr>
          <w:rFonts w:ascii="Times New Roman" w:hAnsi="Times New Roman"/>
          <w:sz w:val="24"/>
          <w:szCs w:val="24"/>
          <w:lang w:val="ro-RO"/>
        </w:rPr>
        <w:t>Este important de subliniat că</w:t>
      </w:r>
      <w:r w:rsidR="00594BE5" w:rsidRPr="00077CE4">
        <w:rPr>
          <w:rFonts w:ascii="Times New Roman" w:hAnsi="Times New Roman"/>
          <w:sz w:val="24"/>
          <w:szCs w:val="24"/>
          <w:lang w:val="ro-RO"/>
        </w:rPr>
        <w:t>,</w:t>
      </w:r>
      <w:r w:rsidRPr="00077CE4">
        <w:rPr>
          <w:rFonts w:ascii="Times New Roman" w:hAnsi="Times New Roman"/>
          <w:sz w:val="24"/>
          <w:szCs w:val="24"/>
          <w:lang w:val="ro-RO"/>
        </w:rPr>
        <w:t xml:space="preserve"> interesul cetățenilor Republicii Moldova, precum și eficiența implementării Programului ”PARE 1+1”, poate fi cuantificat prin ultimele date din anul 2016, și anume numărului de contracte de finanțare încheiate care au constituit </w:t>
      </w:r>
      <w:r w:rsidRPr="00077CE4">
        <w:rPr>
          <w:rFonts w:ascii="Times New Roman" w:hAnsi="Times New Roman"/>
          <w:b/>
          <w:bCs/>
          <w:sz w:val="24"/>
          <w:szCs w:val="24"/>
          <w:lang w:val="ro-RO"/>
        </w:rPr>
        <w:t xml:space="preserve">346 </w:t>
      </w:r>
      <w:r w:rsidRPr="00077CE4">
        <w:rPr>
          <w:rFonts w:ascii="Times New Roman" w:hAnsi="Times New Roman"/>
          <w:sz w:val="24"/>
          <w:szCs w:val="24"/>
          <w:lang w:val="ro-RO"/>
        </w:rPr>
        <w:t xml:space="preserve">(136 obligația din anul 2015 și 210 - anul 2016), în sumă totală de </w:t>
      </w:r>
      <w:r w:rsidRPr="00077CE4">
        <w:rPr>
          <w:rFonts w:ascii="Times New Roman" w:hAnsi="Times New Roman"/>
          <w:b/>
          <w:sz w:val="24"/>
          <w:szCs w:val="24"/>
          <w:lang w:val="ro-RO"/>
        </w:rPr>
        <w:t>66,97 mil. lei</w:t>
      </w:r>
      <w:r w:rsidRPr="00077CE4">
        <w:rPr>
          <w:rFonts w:ascii="Times New Roman" w:hAnsi="Times New Roman"/>
          <w:sz w:val="24"/>
          <w:szCs w:val="24"/>
          <w:lang w:val="ro-RO"/>
        </w:rPr>
        <w:t xml:space="preserve">, ceea ce va favoriza investițiile în economie națională de </w:t>
      </w:r>
      <w:r w:rsidRPr="00077CE4">
        <w:rPr>
          <w:rFonts w:ascii="Times New Roman" w:hAnsi="Times New Roman"/>
          <w:b/>
          <w:sz w:val="24"/>
          <w:szCs w:val="24"/>
          <w:lang w:val="ro-RO"/>
        </w:rPr>
        <w:t>248,50 mil. lei</w:t>
      </w:r>
      <w:r w:rsidRPr="00077CE4">
        <w:rPr>
          <w:rFonts w:ascii="Times New Roman" w:hAnsi="Times New Roman"/>
          <w:sz w:val="24"/>
          <w:szCs w:val="24"/>
          <w:lang w:val="ro-RO"/>
        </w:rPr>
        <w:t>.</w:t>
      </w:r>
    </w:p>
    <w:p w:rsidR="00032FB4" w:rsidRPr="00077CE4" w:rsidRDefault="00032FB4" w:rsidP="00077CE4">
      <w:pPr>
        <w:pStyle w:val="ListParagraph"/>
        <w:numPr>
          <w:ilvl w:val="0"/>
          <w:numId w:val="9"/>
        </w:numPr>
        <w:tabs>
          <w:tab w:val="left" w:pos="426"/>
        </w:tabs>
        <w:spacing w:before="240" w:after="200" w:line="276" w:lineRule="auto"/>
        <w:ind w:left="0" w:right="427" w:firstLine="851"/>
        <w:rPr>
          <w:lang w:val="ro-MD"/>
        </w:rPr>
      </w:pPr>
      <w:r w:rsidRPr="00077CE4">
        <w:rPr>
          <w:lang w:val="ro-RO"/>
        </w:rPr>
        <w:t xml:space="preserve">Totodată se propune </w:t>
      </w:r>
      <w:r w:rsidRPr="00077CE4">
        <w:rPr>
          <w:b/>
          <w:lang w:val="ro-RO"/>
        </w:rPr>
        <w:t xml:space="preserve">optimizarea documentelor procedurale necesare de aplicare, inclusiv și la Componenta III </w:t>
      </w:r>
      <w:r w:rsidR="008D36BF" w:rsidRPr="00077CE4">
        <w:rPr>
          <w:b/>
          <w:lang w:val="ro-RO"/>
        </w:rPr>
        <w:t>– Finanțarea afacerilor/ Regula 1+1</w:t>
      </w:r>
      <w:r w:rsidR="008D36BF" w:rsidRPr="00077CE4">
        <w:rPr>
          <w:lang w:val="ro-RO"/>
        </w:rPr>
        <w:t xml:space="preserve"> </w:t>
      </w:r>
      <w:r w:rsidRPr="00077CE4">
        <w:rPr>
          <w:lang w:val="ro-RO"/>
        </w:rPr>
        <w:t xml:space="preserve">reieșind din </w:t>
      </w:r>
      <w:r w:rsidRPr="00077CE4">
        <w:rPr>
          <w:lang w:val="ro-MD"/>
        </w:rPr>
        <w:t>modificările cadrului legal în domeniul antreprenoriatului, precum și legislației în domeniul ajutorului de stat.</w:t>
      </w:r>
      <w:r w:rsidR="008D36BF" w:rsidRPr="00077CE4">
        <w:rPr>
          <w:lang w:val="ro-MD"/>
        </w:rPr>
        <w:t xml:space="preserve"> Astfel, </w:t>
      </w:r>
      <w:r w:rsidR="008D36BF" w:rsidRPr="00077CE4">
        <w:rPr>
          <w:i/>
          <w:iCs/>
          <w:lang w:val="ro-MD"/>
        </w:rPr>
        <w:t>î</w:t>
      </w:r>
      <w:r w:rsidRPr="00077CE4">
        <w:rPr>
          <w:i/>
          <w:iCs/>
          <w:lang w:val="ro-MD"/>
        </w:rPr>
        <w:t>n lista documentelor procedurale se propune de a include suplimentar Declarația pe propria răspundere privind beneficierea de ajutoare de stat din contul altor Programe de suport pe articolele de investiții propuse în cadrul proiectului investițional depus în cadrul Programului ”PARE 1+1”.</w:t>
      </w:r>
    </w:p>
    <w:p w:rsidR="008D36BF" w:rsidRPr="00077CE4" w:rsidRDefault="008D36BF" w:rsidP="00077CE4">
      <w:pPr>
        <w:pStyle w:val="ListParagraph"/>
        <w:tabs>
          <w:tab w:val="left" w:pos="426"/>
        </w:tabs>
        <w:spacing w:before="240" w:after="200" w:line="240" w:lineRule="auto"/>
        <w:ind w:left="0" w:right="427" w:firstLine="851"/>
        <w:rPr>
          <w:lang w:val="ro-MD"/>
        </w:rPr>
      </w:pPr>
    </w:p>
    <w:p w:rsidR="00032FB4" w:rsidRPr="00077CE4" w:rsidRDefault="00032FB4" w:rsidP="00077CE4">
      <w:pPr>
        <w:pStyle w:val="ListParagraph"/>
        <w:numPr>
          <w:ilvl w:val="0"/>
          <w:numId w:val="9"/>
        </w:numPr>
        <w:tabs>
          <w:tab w:val="left" w:pos="426"/>
        </w:tabs>
        <w:spacing w:after="200" w:line="276" w:lineRule="auto"/>
        <w:ind w:left="0" w:right="427" w:firstLine="851"/>
        <w:rPr>
          <w:lang w:val="ro-MD"/>
        </w:rPr>
      </w:pPr>
      <w:r w:rsidRPr="00077CE4">
        <w:rPr>
          <w:lang w:val="ro-MD"/>
        </w:rPr>
        <w:t>La etapa de examinare a cererilor de finanțare și a dosarului solicitantului de către Comitetului de supraveghere a Programului ”PARE 1+1”, se propune de specificat dreptul membrilor Comitetului de supraveghere de a lua următoarele decizii în rezultatul analizei dosarelor:</w:t>
      </w:r>
    </w:p>
    <w:p w:rsidR="00032FB4" w:rsidRPr="00077CE4" w:rsidRDefault="00032FB4" w:rsidP="00077CE4">
      <w:pPr>
        <w:pStyle w:val="ListParagraph"/>
        <w:numPr>
          <w:ilvl w:val="0"/>
          <w:numId w:val="3"/>
        </w:numPr>
        <w:spacing w:line="276" w:lineRule="auto"/>
        <w:ind w:left="0" w:right="427" w:firstLine="851"/>
        <w:contextualSpacing w:val="0"/>
        <w:rPr>
          <w:i/>
          <w:lang w:val="ro-MD"/>
        </w:rPr>
      </w:pPr>
      <w:r w:rsidRPr="00077CE4">
        <w:rPr>
          <w:i/>
          <w:lang w:val="ro-MD"/>
        </w:rPr>
        <w:t>Acceptarea cererii de finanțare;</w:t>
      </w:r>
    </w:p>
    <w:p w:rsidR="00032FB4" w:rsidRPr="00077CE4" w:rsidRDefault="00032FB4" w:rsidP="00077CE4">
      <w:pPr>
        <w:pStyle w:val="ListParagraph"/>
        <w:numPr>
          <w:ilvl w:val="0"/>
          <w:numId w:val="3"/>
        </w:numPr>
        <w:spacing w:line="276" w:lineRule="auto"/>
        <w:ind w:left="0" w:right="427" w:firstLine="851"/>
        <w:contextualSpacing w:val="0"/>
        <w:rPr>
          <w:i/>
          <w:lang w:val="ro-MD"/>
        </w:rPr>
      </w:pPr>
      <w:r w:rsidRPr="00077CE4">
        <w:rPr>
          <w:i/>
          <w:lang w:val="ro-MD"/>
        </w:rPr>
        <w:t>Respingerea cererii de finanțare cu indicarea motivelor;</w:t>
      </w:r>
    </w:p>
    <w:p w:rsidR="00032FB4" w:rsidRPr="00077CE4" w:rsidRDefault="00032FB4" w:rsidP="00077CE4">
      <w:pPr>
        <w:pStyle w:val="ListParagraph"/>
        <w:numPr>
          <w:ilvl w:val="0"/>
          <w:numId w:val="3"/>
        </w:numPr>
        <w:spacing w:after="240" w:line="276" w:lineRule="auto"/>
        <w:ind w:left="0" w:right="427" w:firstLine="851"/>
        <w:contextualSpacing w:val="0"/>
        <w:rPr>
          <w:i/>
          <w:lang w:val="ro-MD"/>
        </w:rPr>
      </w:pPr>
      <w:r w:rsidRPr="00077CE4">
        <w:rPr>
          <w:i/>
          <w:lang w:val="ro-MD"/>
        </w:rPr>
        <w:t>Introducerea în lista de așteptare pentru clarificarea unor nereguli constatate.</w:t>
      </w:r>
    </w:p>
    <w:p w:rsidR="00032FB4" w:rsidRPr="00077CE4" w:rsidRDefault="00077CE4" w:rsidP="00077CE4">
      <w:pPr>
        <w:spacing w:after="240"/>
        <w:ind w:right="427" w:firstLine="851"/>
        <w:jc w:val="both"/>
        <w:rPr>
          <w:rFonts w:ascii="Times New Roman" w:hAnsi="Times New Roman"/>
          <w:sz w:val="24"/>
          <w:szCs w:val="24"/>
          <w:lang w:val="ro-RO"/>
        </w:rPr>
      </w:pPr>
      <w:r w:rsidRPr="00077CE4">
        <w:rPr>
          <w:rFonts w:ascii="Times New Roman" w:hAnsi="Times New Roman"/>
          <w:sz w:val="24"/>
          <w:szCs w:val="24"/>
          <w:lang w:val="ro-RO"/>
        </w:rPr>
        <w:t>Suplimentar</w:t>
      </w:r>
      <w:r w:rsidR="00032FB4" w:rsidRPr="00077CE4">
        <w:rPr>
          <w:rFonts w:ascii="Times New Roman" w:hAnsi="Times New Roman"/>
          <w:sz w:val="24"/>
          <w:szCs w:val="24"/>
          <w:lang w:val="ro-RO"/>
        </w:rPr>
        <w:t xml:space="preserve">, la </w:t>
      </w:r>
      <w:r w:rsidR="00032FB4" w:rsidRPr="00077CE4">
        <w:rPr>
          <w:rFonts w:ascii="Times New Roman" w:hAnsi="Times New Roman"/>
          <w:b/>
          <w:sz w:val="24"/>
          <w:szCs w:val="24"/>
          <w:lang w:val="ro-RO"/>
        </w:rPr>
        <w:t>Componenta III, la capitolul costuri neeligibile la Program se propune de adăugat bunuri procurate de la persoane fizice</w:t>
      </w:r>
      <w:r w:rsidR="00032FB4" w:rsidRPr="00077CE4">
        <w:rPr>
          <w:rFonts w:ascii="Times New Roman" w:hAnsi="Times New Roman"/>
          <w:sz w:val="24"/>
          <w:szCs w:val="24"/>
          <w:lang w:val="ro-RO"/>
        </w:rPr>
        <w:t>, dat fiind</w:t>
      </w:r>
      <w:r w:rsidR="00032FB4" w:rsidRPr="00077CE4">
        <w:rPr>
          <w:rFonts w:ascii="Times New Roman" w:hAnsi="Times New Roman"/>
          <w:b/>
          <w:sz w:val="24"/>
          <w:szCs w:val="24"/>
          <w:lang w:val="ro-RO"/>
        </w:rPr>
        <w:t xml:space="preserve"> </w:t>
      </w:r>
      <w:r w:rsidR="00032FB4" w:rsidRPr="00077CE4">
        <w:rPr>
          <w:rFonts w:ascii="Times New Roman" w:hAnsi="Times New Roman"/>
          <w:sz w:val="24"/>
          <w:szCs w:val="24"/>
          <w:lang w:val="ro-RO"/>
        </w:rPr>
        <w:t xml:space="preserve">riscul apariției unor tranzacții fictive. </w:t>
      </w:r>
    </w:p>
    <w:p w:rsidR="00032FB4" w:rsidRPr="00077CE4" w:rsidRDefault="00032FB4" w:rsidP="00077CE4">
      <w:pPr>
        <w:ind w:right="427" w:firstLine="851"/>
        <w:jc w:val="both"/>
        <w:rPr>
          <w:rFonts w:ascii="Times New Roman" w:hAnsi="Times New Roman"/>
          <w:sz w:val="24"/>
          <w:szCs w:val="24"/>
          <w:lang w:val="ro-MD"/>
        </w:rPr>
      </w:pPr>
      <w:r w:rsidRPr="00077CE4">
        <w:rPr>
          <w:rFonts w:ascii="Times New Roman" w:hAnsi="Times New Roman"/>
          <w:sz w:val="24"/>
          <w:szCs w:val="24"/>
          <w:lang w:val="ro-RO"/>
        </w:rPr>
        <w:t>Totodată</w:t>
      </w:r>
      <w:r w:rsidR="00594BE5" w:rsidRPr="00077CE4">
        <w:rPr>
          <w:rFonts w:ascii="Times New Roman" w:hAnsi="Times New Roman"/>
          <w:sz w:val="24"/>
          <w:szCs w:val="24"/>
          <w:lang w:val="ro-RO"/>
        </w:rPr>
        <w:t>,</w:t>
      </w:r>
      <w:r w:rsidRPr="00077CE4">
        <w:rPr>
          <w:rFonts w:ascii="Times New Roman" w:hAnsi="Times New Roman"/>
          <w:sz w:val="24"/>
          <w:szCs w:val="24"/>
          <w:lang w:val="ro-RO"/>
        </w:rPr>
        <w:t xml:space="preserve"> pentru a </w:t>
      </w:r>
      <w:r w:rsidRPr="00077CE4">
        <w:rPr>
          <w:rFonts w:ascii="Times New Roman" w:hAnsi="Times New Roman"/>
          <w:sz w:val="24"/>
          <w:szCs w:val="24"/>
          <w:lang w:val="ro-MD"/>
        </w:rPr>
        <w:t xml:space="preserve">minimiza riscurile realizării proiectelor investiționale cu rea credință </w:t>
      </w:r>
      <w:r w:rsidRPr="00077CE4">
        <w:rPr>
          <w:rFonts w:ascii="Times New Roman" w:hAnsi="Times New Roman"/>
          <w:b/>
          <w:sz w:val="24"/>
          <w:szCs w:val="24"/>
          <w:lang w:val="ro-MD"/>
        </w:rPr>
        <w:t xml:space="preserve">se propune de introdus în Program noțiunile de </w:t>
      </w:r>
      <w:r w:rsidRPr="00077CE4">
        <w:rPr>
          <w:rFonts w:ascii="Times New Roman" w:hAnsi="Times New Roman"/>
          <w:b/>
          <w:i/>
          <w:sz w:val="24"/>
          <w:szCs w:val="24"/>
          <w:lang w:val="ro-MD"/>
        </w:rPr>
        <w:t>“conflict de interes”</w:t>
      </w:r>
      <w:r w:rsidRPr="00077CE4">
        <w:rPr>
          <w:rFonts w:ascii="Times New Roman" w:hAnsi="Times New Roman"/>
          <w:sz w:val="24"/>
          <w:szCs w:val="24"/>
          <w:lang w:val="ro-MD"/>
        </w:rPr>
        <w:t xml:space="preserve"> și </w:t>
      </w:r>
      <w:r w:rsidRPr="00077CE4">
        <w:rPr>
          <w:rFonts w:ascii="Times New Roman" w:hAnsi="Times New Roman"/>
          <w:b/>
          <w:i/>
          <w:sz w:val="24"/>
          <w:szCs w:val="24"/>
          <w:lang w:val="ro-MD"/>
        </w:rPr>
        <w:t xml:space="preserve">„persoane afiliate”. </w:t>
      </w:r>
      <w:r w:rsidRPr="00077CE4">
        <w:rPr>
          <w:rFonts w:ascii="Times New Roman" w:hAnsi="Times New Roman"/>
          <w:i/>
          <w:sz w:val="24"/>
          <w:szCs w:val="24"/>
          <w:lang w:val="ro-MD"/>
        </w:rPr>
        <w:t>Astfel</w:t>
      </w:r>
      <w:r w:rsidR="00967CD3" w:rsidRPr="00077CE4">
        <w:rPr>
          <w:rFonts w:ascii="Times New Roman" w:hAnsi="Times New Roman"/>
          <w:i/>
          <w:sz w:val="24"/>
          <w:szCs w:val="24"/>
          <w:lang w:val="ro-MD"/>
        </w:rPr>
        <w:t>,</w:t>
      </w:r>
      <w:r w:rsidRPr="00077CE4">
        <w:rPr>
          <w:rFonts w:ascii="Times New Roman" w:hAnsi="Times New Roman"/>
          <w:i/>
          <w:sz w:val="24"/>
          <w:szCs w:val="24"/>
          <w:lang w:val="ro-MD"/>
        </w:rPr>
        <w:t xml:space="preserve">  în cadrul Programului se va considera conflict de interes </w:t>
      </w:r>
      <w:r w:rsidRPr="00077CE4">
        <w:rPr>
          <w:rStyle w:val="docbody"/>
          <w:rFonts w:ascii="Times New Roman" w:hAnsi="Times New Roman"/>
          <w:i/>
          <w:sz w:val="24"/>
          <w:szCs w:val="24"/>
          <w:lang w:val="ro-MD"/>
        </w:rPr>
        <w:t>utilizarea calității de</w:t>
      </w:r>
      <w:r w:rsidR="00600D21" w:rsidRPr="00077CE4">
        <w:rPr>
          <w:rStyle w:val="docbody"/>
          <w:rFonts w:ascii="Times New Roman" w:hAnsi="Times New Roman"/>
          <w:i/>
          <w:sz w:val="24"/>
          <w:szCs w:val="24"/>
          <w:lang w:val="ro-MD"/>
        </w:rPr>
        <w:t xml:space="preserve"> fondator/</w:t>
      </w:r>
      <w:r w:rsidRPr="00077CE4">
        <w:rPr>
          <w:rStyle w:val="docbody"/>
          <w:rFonts w:ascii="Times New Roman" w:hAnsi="Times New Roman"/>
          <w:i/>
          <w:sz w:val="24"/>
          <w:szCs w:val="24"/>
          <w:lang w:val="ro-MD"/>
        </w:rPr>
        <w:t xml:space="preserve">administrator al întreprinderii în folos propriu sau a persoanelor afiliate, pentru aranjarea tranzacțiilor fictive cu Beneficiarii Programului pentru </w:t>
      </w:r>
      <w:r w:rsidRPr="00077CE4">
        <w:rPr>
          <w:rFonts w:ascii="Times New Roman" w:hAnsi="Times New Roman"/>
          <w:i/>
          <w:sz w:val="24"/>
          <w:szCs w:val="24"/>
          <w:lang w:val="ro-MD"/>
        </w:rPr>
        <w:t>justificarea efectuării investiţiei din contul remitenţelor și finanțării nerambursabile</w:t>
      </w:r>
      <w:r w:rsidRPr="00077CE4">
        <w:rPr>
          <w:rFonts w:ascii="Times New Roman" w:hAnsi="Times New Roman"/>
          <w:sz w:val="24"/>
          <w:szCs w:val="24"/>
          <w:lang w:val="ro-MD"/>
        </w:rPr>
        <w:t xml:space="preserve">. </w:t>
      </w:r>
    </w:p>
    <w:p w:rsidR="00032FB4" w:rsidRPr="00077CE4" w:rsidRDefault="00032FB4" w:rsidP="00077CE4">
      <w:pPr>
        <w:spacing w:after="0"/>
        <w:ind w:right="427" w:firstLine="851"/>
        <w:jc w:val="both"/>
        <w:rPr>
          <w:rFonts w:ascii="Times New Roman" w:eastAsia="Times New Roman" w:hAnsi="Times New Roman"/>
          <w:sz w:val="24"/>
          <w:szCs w:val="24"/>
          <w:lang w:val="ro-MD"/>
        </w:rPr>
      </w:pPr>
      <w:r w:rsidRPr="00077CE4">
        <w:rPr>
          <w:rFonts w:ascii="Times New Roman" w:eastAsia="Times New Roman" w:hAnsi="Times New Roman"/>
          <w:sz w:val="24"/>
          <w:szCs w:val="24"/>
          <w:lang w:val="ro-MD"/>
        </w:rPr>
        <w:t xml:space="preserve">Reieșind din cele expuse, solicităm </w:t>
      </w:r>
      <w:r w:rsidR="00DC6130" w:rsidRPr="00077CE4">
        <w:rPr>
          <w:rFonts w:ascii="Times New Roman" w:eastAsia="Times New Roman" w:hAnsi="Times New Roman"/>
          <w:sz w:val="24"/>
          <w:szCs w:val="24"/>
          <w:lang w:val="ro-MD"/>
        </w:rPr>
        <w:t xml:space="preserve">respectuos </w:t>
      </w:r>
      <w:r w:rsidR="00077CE4" w:rsidRPr="00077CE4">
        <w:rPr>
          <w:rFonts w:ascii="Times New Roman" w:eastAsia="Times New Roman" w:hAnsi="Times New Roman"/>
          <w:sz w:val="24"/>
          <w:szCs w:val="24"/>
          <w:lang w:val="ro-MD"/>
        </w:rPr>
        <w:t>avizarea proiectului vizat</w:t>
      </w:r>
      <w:r w:rsidRPr="00077CE4">
        <w:rPr>
          <w:rFonts w:ascii="Times New Roman" w:eastAsia="Times New Roman" w:hAnsi="Times New Roman"/>
          <w:sz w:val="24"/>
          <w:szCs w:val="24"/>
          <w:lang w:val="ro-MD"/>
        </w:rPr>
        <w:t>.</w:t>
      </w:r>
    </w:p>
    <w:p w:rsidR="00032FB4" w:rsidRPr="00077CE4" w:rsidRDefault="00032FB4" w:rsidP="00077CE4">
      <w:pPr>
        <w:spacing w:after="0"/>
        <w:ind w:right="427" w:firstLine="851"/>
        <w:jc w:val="both"/>
        <w:rPr>
          <w:rFonts w:ascii="Times New Roman" w:eastAsia="Times New Roman" w:hAnsi="Times New Roman"/>
          <w:b/>
          <w:color w:val="383536"/>
          <w:sz w:val="24"/>
          <w:szCs w:val="24"/>
          <w:lang w:val="ro-MD"/>
        </w:rPr>
      </w:pPr>
    </w:p>
    <w:p w:rsidR="00077CE4" w:rsidRPr="00077CE4" w:rsidRDefault="00077CE4" w:rsidP="00077CE4">
      <w:pPr>
        <w:spacing w:after="0"/>
        <w:ind w:right="427" w:firstLine="851"/>
        <w:jc w:val="both"/>
        <w:rPr>
          <w:rFonts w:ascii="Times New Roman" w:eastAsia="Times New Roman" w:hAnsi="Times New Roman"/>
          <w:b/>
          <w:color w:val="383536"/>
          <w:sz w:val="24"/>
          <w:szCs w:val="24"/>
          <w:lang w:val="ro-MD"/>
        </w:rPr>
      </w:pPr>
    </w:p>
    <w:p w:rsidR="00077CE4" w:rsidRPr="00077CE4" w:rsidRDefault="00077CE4" w:rsidP="00077CE4">
      <w:pPr>
        <w:spacing w:after="0"/>
        <w:ind w:right="427" w:firstLine="851"/>
        <w:jc w:val="both"/>
        <w:rPr>
          <w:rFonts w:ascii="Times New Roman" w:eastAsia="Times New Roman" w:hAnsi="Times New Roman"/>
          <w:b/>
          <w:color w:val="383536"/>
          <w:sz w:val="24"/>
          <w:szCs w:val="24"/>
          <w:lang w:val="ro-MD"/>
        </w:rPr>
      </w:pPr>
      <w:r w:rsidRPr="00077CE4">
        <w:rPr>
          <w:rFonts w:ascii="Times New Roman" w:eastAsia="Times New Roman" w:hAnsi="Times New Roman"/>
          <w:b/>
          <w:color w:val="383536"/>
          <w:sz w:val="24"/>
          <w:szCs w:val="24"/>
          <w:lang w:val="ro-MD"/>
        </w:rPr>
        <w:t>Viceministru</w:t>
      </w:r>
      <w:r w:rsidRPr="00077CE4">
        <w:rPr>
          <w:rFonts w:ascii="Times New Roman" w:eastAsia="Times New Roman" w:hAnsi="Times New Roman"/>
          <w:b/>
          <w:color w:val="383536"/>
          <w:sz w:val="24"/>
          <w:szCs w:val="24"/>
          <w:lang w:val="ro-MD"/>
        </w:rPr>
        <w:tab/>
      </w:r>
      <w:r w:rsidRPr="00077CE4">
        <w:rPr>
          <w:rFonts w:ascii="Times New Roman" w:eastAsia="Times New Roman" w:hAnsi="Times New Roman"/>
          <w:b/>
          <w:color w:val="383536"/>
          <w:sz w:val="24"/>
          <w:szCs w:val="24"/>
          <w:lang w:val="ro-MD"/>
        </w:rPr>
        <w:tab/>
      </w:r>
      <w:r w:rsidRPr="00077CE4">
        <w:rPr>
          <w:rFonts w:ascii="Times New Roman" w:eastAsia="Times New Roman" w:hAnsi="Times New Roman"/>
          <w:b/>
          <w:color w:val="383536"/>
          <w:sz w:val="24"/>
          <w:szCs w:val="24"/>
          <w:lang w:val="ro-MD"/>
        </w:rPr>
        <w:tab/>
      </w:r>
      <w:r w:rsidRPr="00077CE4">
        <w:rPr>
          <w:rFonts w:ascii="Times New Roman" w:eastAsia="Times New Roman" w:hAnsi="Times New Roman"/>
          <w:b/>
          <w:color w:val="383536"/>
          <w:sz w:val="24"/>
          <w:szCs w:val="24"/>
          <w:lang w:val="ro-MD"/>
        </w:rPr>
        <w:tab/>
      </w:r>
      <w:r w:rsidRPr="00077CE4">
        <w:rPr>
          <w:rFonts w:ascii="Times New Roman" w:eastAsia="Times New Roman" w:hAnsi="Times New Roman"/>
          <w:b/>
          <w:color w:val="383536"/>
          <w:sz w:val="24"/>
          <w:szCs w:val="24"/>
          <w:lang w:val="ro-MD"/>
        </w:rPr>
        <w:tab/>
      </w:r>
      <w:r w:rsidRPr="00077CE4">
        <w:rPr>
          <w:rFonts w:ascii="Times New Roman" w:eastAsia="Times New Roman" w:hAnsi="Times New Roman"/>
          <w:b/>
          <w:color w:val="383536"/>
          <w:sz w:val="24"/>
          <w:szCs w:val="24"/>
          <w:lang w:val="ro-MD"/>
        </w:rPr>
        <w:tab/>
      </w:r>
      <w:r w:rsidRPr="00077CE4">
        <w:rPr>
          <w:rFonts w:ascii="Times New Roman" w:eastAsia="Times New Roman" w:hAnsi="Times New Roman"/>
          <w:b/>
          <w:color w:val="383536"/>
          <w:sz w:val="24"/>
          <w:szCs w:val="24"/>
          <w:lang w:val="ro-MD"/>
        </w:rPr>
        <w:tab/>
      </w:r>
      <w:r w:rsidRPr="00077CE4">
        <w:rPr>
          <w:rFonts w:ascii="Times New Roman" w:eastAsia="Times New Roman" w:hAnsi="Times New Roman"/>
          <w:b/>
          <w:color w:val="383536"/>
          <w:sz w:val="24"/>
          <w:szCs w:val="24"/>
          <w:lang w:val="ro-MD"/>
        </w:rPr>
        <w:tab/>
        <w:t>Vitalie IURCU</w:t>
      </w:r>
    </w:p>
    <w:p w:rsidR="00077CE4" w:rsidRDefault="00077CE4" w:rsidP="00077CE4">
      <w:pPr>
        <w:spacing w:after="0"/>
        <w:ind w:right="427" w:firstLine="851"/>
        <w:jc w:val="both"/>
        <w:rPr>
          <w:rFonts w:ascii="Times New Roman" w:eastAsia="Times New Roman" w:hAnsi="Times New Roman"/>
          <w:b/>
          <w:color w:val="383536"/>
          <w:sz w:val="23"/>
          <w:szCs w:val="23"/>
          <w:lang w:val="ro-MD"/>
        </w:rPr>
      </w:pPr>
    </w:p>
    <w:p w:rsidR="00077CE4" w:rsidRDefault="00077CE4" w:rsidP="00077CE4">
      <w:pPr>
        <w:pStyle w:val="Footer"/>
        <w:rPr>
          <w:rFonts w:ascii="Times New Roman" w:hAnsi="Times New Roman"/>
          <w:sz w:val="20"/>
          <w:szCs w:val="20"/>
          <w:lang w:val="ro-RO"/>
        </w:rPr>
      </w:pPr>
    </w:p>
    <w:p w:rsidR="00077CE4" w:rsidRDefault="00077CE4" w:rsidP="00077CE4">
      <w:pPr>
        <w:pStyle w:val="Footer"/>
        <w:rPr>
          <w:rFonts w:ascii="Times New Roman" w:hAnsi="Times New Roman"/>
          <w:sz w:val="20"/>
          <w:szCs w:val="20"/>
          <w:lang w:val="ro-RO"/>
        </w:rPr>
      </w:pPr>
    </w:p>
    <w:p w:rsidR="00077CE4" w:rsidRDefault="00077CE4" w:rsidP="00077CE4">
      <w:pPr>
        <w:pStyle w:val="Footer"/>
        <w:rPr>
          <w:rFonts w:ascii="Times New Roman" w:hAnsi="Times New Roman"/>
          <w:sz w:val="20"/>
          <w:szCs w:val="20"/>
          <w:lang w:val="ro-RO"/>
        </w:rPr>
      </w:pPr>
      <w:bookmarkStart w:id="0" w:name="_GoBack"/>
      <w:bookmarkEnd w:id="0"/>
    </w:p>
    <w:sectPr w:rsidR="00077CE4" w:rsidSect="005840FE">
      <w:pgSz w:w="11907" w:h="16840" w:code="9"/>
      <w:pgMar w:top="360" w:right="567" w:bottom="630" w:left="990" w:header="709" w:footer="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EF1" w:rsidRDefault="00E23EF1" w:rsidP="005840FE">
      <w:pPr>
        <w:spacing w:after="0" w:line="240" w:lineRule="auto"/>
      </w:pPr>
      <w:r>
        <w:separator/>
      </w:r>
    </w:p>
  </w:endnote>
  <w:endnote w:type="continuationSeparator" w:id="0">
    <w:p w:rsidR="00E23EF1" w:rsidRDefault="00E23EF1" w:rsidP="0058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EF1" w:rsidRDefault="00E23EF1" w:rsidP="005840FE">
      <w:pPr>
        <w:spacing w:after="0" w:line="240" w:lineRule="auto"/>
      </w:pPr>
      <w:r>
        <w:separator/>
      </w:r>
    </w:p>
  </w:footnote>
  <w:footnote w:type="continuationSeparator" w:id="0">
    <w:p w:rsidR="00E23EF1" w:rsidRDefault="00E23EF1" w:rsidP="005840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566C4"/>
    <w:multiLevelType w:val="hybridMultilevel"/>
    <w:tmpl w:val="96466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F5D34"/>
    <w:multiLevelType w:val="hybridMultilevel"/>
    <w:tmpl w:val="5720D4BA"/>
    <w:lvl w:ilvl="0" w:tplc="7D34A8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17863"/>
    <w:multiLevelType w:val="hybridMultilevel"/>
    <w:tmpl w:val="F4DAEE24"/>
    <w:lvl w:ilvl="0" w:tplc="B0EAA232">
      <w:start w:val="1"/>
      <w:numFmt w:val="bullet"/>
      <w:lvlText w:val=""/>
      <w:lvlJc w:val="left"/>
      <w:pPr>
        <w:ind w:left="720" w:hanging="360"/>
      </w:pPr>
      <w:rPr>
        <w:rFonts w:ascii="Wingdings" w:hAnsi="Wingdings" w:hint="default"/>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F8A1CE8"/>
    <w:multiLevelType w:val="hybridMultilevel"/>
    <w:tmpl w:val="9882236A"/>
    <w:lvl w:ilvl="0" w:tplc="041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3437A98"/>
    <w:multiLevelType w:val="hybridMultilevel"/>
    <w:tmpl w:val="64F44128"/>
    <w:lvl w:ilvl="0" w:tplc="041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B5727D9"/>
    <w:multiLevelType w:val="hybridMultilevel"/>
    <w:tmpl w:val="E6E44AAC"/>
    <w:lvl w:ilvl="0" w:tplc="1138E324">
      <w:start w:val="1"/>
      <w:numFmt w:val="lowerLetter"/>
      <w:lvlText w:val="%1)"/>
      <w:lvlJc w:val="left"/>
      <w:pPr>
        <w:ind w:left="1080" w:hanging="360"/>
      </w:pPr>
      <w:rPr>
        <w:rFonts w:ascii="Times New Roman" w:eastAsia="Calibri" w:hAnsi="Times New Roman" w:cs="Times New Roman"/>
        <w:color w:val="00000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37B1063"/>
    <w:multiLevelType w:val="hybridMultilevel"/>
    <w:tmpl w:val="B82011A8"/>
    <w:lvl w:ilvl="0" w:tplc="041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CC431C8"/>
    <w:multiLevelType w:val="hybridMultilevel"/>
    <w:tmpl w:val="013CAAD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63840D3A"/>
    <w:multiLevelType w:val="hybridMultilevel"/>
    <w:tmpl w:val="E766B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758A4"/>
    <w:multiLevelType w:val="hybridMultilevel"/>
    <w:tmpl w:val="11C6294A"/>
    <w:lvl w:ilvl="0" w:tplc="B0EAA232">
      <w:start w:val="1"/>
      <w:numFmt w:val="bullet"/>
      <w:lvlText w:val=""/>
      <w:lvlJc w:val="left"/>
      <w:pPr>
        <w:ind w:left="720" w:hanging="360"/>
      </w:pPr>
      <w:rPr>
        <w:rFonts w:ascii="Wingdings" w:hAnsi="Wingdings" w:hint="default"/>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9"/>
  </w:num>
  <w:num w:numId="5">
    <w:abstractNumId w:val="2"/>
  </w:num>
  <w:num w:numId="6">
    <w:abstractNumId w:val="3"/>
  </w:num>
  <w:num w:numId="7">
    <w:abstractNumId w:val="4"/>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B4"/>
    <w:rsid w:val="00022769"/>
    <w:rsid w:val="00032FB4"/>
    <w:rsid w:val="0007204D"/>
    <w:rsid w:val="00077639"/>
    <w:rsid w:val="00077CE4"/>
    <w:rsid w:val="000C05B6"/>
    <w:rsid w:val="000C2F54"/>
    <w:rsid w:val="000D4166"/>
    <w:rsid w:val="00122937"/>
    <w:rsid w:val="001634FC"/>
    <w:rsid w:val="0017597F"/>
    <w:rsid w:val="001D1EE2"/>
    <w:rsid w:val="002474E8"/>
    <w:rsid w:val="00282CA7"/>
    <w:rsid w:val="002913B0"/>
    <w:rsid w:val="002A12F9"/>
    <w:rsid w:val="002D6F1C"/>
    <w:rsid w:val="002F44D5"/>
    <w:rsid w:val="00332E7A"/>
    <w:rsid w:val="00340449"/>
    <w:rsid w:val="00347B6B"/>
    <w:rsid w:val="00373C43"/>
    <w:rsid w:val="003A2B27"/>
    <w:rsid w:val="004602DB"/>
    <w:rsid w:val="00461C98"/>
    <w:rsid w:val="00465F47"/>
    <w:rsid w:val="00492EB2"/>
    <w:rsid w:val="004A5629"/>
    <w:rsid w:val="00517779"/>
    <w:rsid w:val="005612AA"/>
    <w:rsid w:val="005629D0"/>
    <w:rsid w:val="00565D08"/>
    <w:rsid w:val="005840FE"/>
    <w:rsid w:val="00594BE5"/>
    <w:rsid w:val="00600D21"/>
    <w:rsid w:val="006A2EE4"/>
    <w:rsid w:val="006B7FBB"/>
    <w:rsid w:val="006C0937"/>
    <w:rsid w:val="00717512"/>
    <w:rsid w:val="007521FD"/>
    <w:rsid w:val="00754766"/>
    <w:rsid w:val="00756723"/>
    <w:rsid w:val="00764CAA"/>
    <w:rsid w:val="007659BD"/>
    <w:rsid w:val="00787F93"/>
    <w:rsid w:val="007A183A"/>
    <w:rsid w:val="007A704E"/>
    <w:rsid w:val="0083111A"/>
    <w:rsid w:val="00836A1C"/>
    <w:rsid w:val="00840A2E"/>
    <w:rsid w:val="00884197"/>
    <w:rsid w:val="00895D65"/>
    <w:rsid w:val="008A222E"/>
    <w:rsid w:val="008D36BF"/>
    <w:rsid w:val="008E5D27"/>
    <w:rsid w:val="00915274"/>
    <w:rsid w:val="00946167"/>
    <w:rsid w:val="00967CD3"/>
    <w:rsid w:val="009B00A4"/>
    <w:rsid w:val="00A25784"/>
    <w:rsid w:val="00A74AC4"/>
    <w:rsid w:val="00AF2954"/>
    <w:rsid w:val="00BD370B"/>
    <w:rsid w:val="00C030DB"/>
    <w:rsid w:val="00C218A6"/>
    <w:rsid w:val="00C319CC"/>
    <w:rsid w:val="00CA72DD"/>
    <w:rsid w:val="00CC0490"/>
    <w:rsid w:val="00D0322E"/>
    <w:rsid w:val="00D12332"/>
    <w:rsid w:val="00D125F0"/>
    <w:rsid w:val="00D37856"/>
    <w:rsid w:val="00D535E2"/>
    <w:rsid w:val="00DC45A8"/>
    <w:rsid w:val="00DC6130"/>
    <w:rsid w:val="00DD12B3"/>
    <w:rsid w:val="00E11251"/>
    <w:rsid w:val="00E23EF1"/>
    <w:rsid w:val="00E57186"/>
    <w:rsid w:val="00E87C52"/>
    <w:rsid w:val="00EC615D"/>
    <w:rsid w:val="00EE19F1"/>
    <w:rsid w:val="00EF79BB"/>
    <w:rsid w:val="00F03026"/>
    <w:rsid w:val="00F12417"/>
    <w:rsid w:val="00F2216C"/>
    <w:rsid w:val="00F4603B"/>
    <w:rsid w:val="00F57066"/>
    <w:rsid w:val="00FB2F68"/>
    <w:rsid w:val="00FB6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4457B9-0D44-42C7-BFE6-C707F6AA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5E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1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8419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84197"/>
    <w:rPr>
      <w:rFonts w:ascii="Tahoma" w:hAnsi="Tahoma" w:cs="Tahoma"/>
      <w:sz w:val="16"/>
      <w:szCs w:val="16"/>
    </w:rPr>
  </w:style>
  <w:style w:type="paragraph" w:styleId="Header">
    <w:name w:val="header"/>
    <w:basedOn w:val="Normal"/>
    <w:link w:val="HeaderChar"/>
    <w:uiPriority w:val="99"/>
    <w:unhideWhenUsed/>
    <w:rsid w:val="00884197"/>
    <w:pPr>
      <w:tabs>
        <w:tab w:val="center" w:pos="4844"/>
        <w:tab w:val="right" w:pos="9689"/>
      </w:tabs>
      <w:spacing w:after="0" w:line="240" w:lineRule="auto"/>
    </w:pPr>
    <w:rPr>
      <w:rFonts w:eastAsia="Times New Roman"/>
      <w:sz w:val="20"/>
      <w:szCs w:val="20"/>
    </w:rPr>
  </w:style>
  <w:style w:type="character" w:customStyle="1" w:styleId="HeaderChar">
    <w:name w:val="Header Char"/>
    <w:link w:val="Header"/>
    <w:uiPriority w:val="99"/>
    <w:rsid w:val="00884197"/>
    <w:rPr>
      <w:rFonts w:ascii="Calibri" w:eastAsia="Times New Roman" w:hAnsi="Calibri" w:cs="Times New Roman"/>
    </w:rPr>
  </w:style>
  <w:style w:type="character" w:styleId="Hyperlink">
    <w:name w:val="Hyperlink"/>
    <w:rsid w:val="00884197"/>
    <w:rPr>
      <w:color w:val="0000FF"/>
      <w:u w:val="single"/>
    </w:rPr>
  </w:style>
  <w:style w:type="paragraph" w:styleId="NoSpacing">
    <w:name w:val="No Spacing"/>
    <w:uiPriority w:val="1"/>
    <w:qFormat/>
    <w:rsid w:val="003A2B27"/>
    <w:rPr>
      <w:rFonts w:eastAsia="Times New Roman"/>
      <w:sz w:val="22"/>
      <w:szCs w:val="22"/>
    </w:rPr>
  </w:style>
  <w:style w:type="paragraph" w:styleId="ListParagraph">
    <w:name w:val="List Paragraph"/>
    <w:basedOn w:val="Normal"/>
    <w:uiPriority w:val="34"/>
    <w:qFormat/>
    <w:rsid w:val="006B7FBB"/>
    <w:pPr>
      <w:spacing w:after="0" w:line="360" w:lineRule="auto"/>
      <w:ind w:left="720"/>
      <w:contextualSpacing/>
      <w:jc w:val="both"/>
    </w:pPr>
    <w:rPr>
      <w:rFonts w:ascii="Times New Roman" w:hAnsi="Times New Roman"/>
      <w:sz w:val="24"/>
      <w:szCs w:val="24"/>
      <w:lang w:val="ru-RU"/>
    </w:rPr>
  </w:style>
  <w:style w:type="paragraph" w:styleId="PlainText">
    <w:name w:val="Plain Text"/>
    <w:basedOn w:val="Normal"/>
    <w:link w:val="PlainTextChar"/>
    <w:uiPriority w:val="99"/>
    <w:unhideWhenUsed/>
    <w:rsid w:val="006C0937"/>
    <w:pPr>
      <w:spacing w:after="0" w:line="240" w:lineRule="auto"/>
    </w:pPr>
    <w:rPr>
      <w:rFonts w:ascii="Consolas" w:hAnsi="Consolas"/>
      <w:sz w:val="21"/>
      <w:szCs w:val="21"/>
    </w:rPr>
  </w:style>
  <w:style w:type="character" w:customStyle="1" w:styleId="PlainTextChar">
    <w:name w:val="Plain Text Char"/>
    <w:link w:val="PlainText"/>
    <w:uiPriority w:val="99"/>
    <w:rsid w:val="006C0937"/>
    <w:rPr>
      <w:rFonts w:ascii="Consolas" w:eastAsia="Calibri" w:hAnsi="Consolas" w:cs="Times New Roman"/>
      <w:sz w:val="21"/>
      <w:szCs w:val="21"/>
    </w:rPr>
  </w:style>
  <w:style w:type="paragraph" w:styleId="NormalWeb">
    <w:name w:val="Normal (Web)"/>
    <w:basedOn w:val="Normal"/>
    <w:uiPriority w:val="99"/>
    <w:unhideWhenUsed/>
    <w:rsid w:val="00032FB4"/>
    <w:pPr>
      <w:spacing w:before="100" w:beforeAutospacing="1" w:after="100" w:afterAutospacing="1" w:line="240" w:lineRule="auto"/>
    </w:pPr>
    <w:rPr>
      <w:rFonts w:ascii="Times New Roman" w:eastAsia="Times New Roman" w:hAnsi="Times New Roman"/>
      <w:sz w:val="24"/>
      <w:szCs w:val="24"/>
    </w:rPr>
  </w:style>
  <w:style w:type="character" w:customStyle="1" w:styleId="docbody">
    <w:name w:val="doc_body"/>
    <w:basedOn w:val="DefaultParagraphFont"/>
    <w:rsid w:val="00032FB4"/>
  </w:style>
  <w:style w:type="paragraph" w:styleId="Footer">
    <w:name w:val="footer"/>
    <w:basedOn w:val="Normal"/>
    <w:link w:val="FooterChar"/>
    <w:uiPriority w:val="99"/>
    <w:unhideWhenUsed/>
    <w:rsid w:val="00584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0F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lorea\Desktop\NEW_ANTET%20FINAL%20APROBAT%20ROM%20201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NEW_ANTET FINAL APROBAT ROM 2016</Template>
  <TotalTime>1</TotalTime>
  <Pages>2</Pages>
  <Words>939</Words>
  <Characters>5449</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6376</CharactersWithSpaces>
  <SharedDoc>false</SharedDoc>
  <HLinks>
    <vt:vector size="6" baseType="variant">
      <vt:variant>
        <vt:i4>720934</vt:i4>
      </vt:variant>
      <vt:variant>
        <vt:i4>0</vt:i4>
      </vt:variant>
      <vt:variant>
        <vt:i4>0</vt:i4>
      </vt:variant>
      <vt:variant>
        <vt:i4>5</vt:i4>
      </vt:variant>
      <vt:variant>
        <vt:lpwstr>mailto:office@odimm.md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n.florea</dc:creator>
  <cp:lastModifiedBy>VZabolotnic</cp:lastModifiedBy>
  <cp:revision>4</cp:revision>
  <cp:lastPrinted>2017-05-04T06:20:00Z</cp:lastPrinted>
  <dcterms:created xsi:type="dcterms:W3CDTF">2017-05-12T11:29:00Z</dcterms:created>
  <dcterms:modified xsi:type="dcterms:W3CDTF">2017-05-12T11:39:00Z</dcterms:modified>
</cp:coreProperties>
</file>