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D9" w:rsidRDefault="00E777D9" w:rsidP="00632379">
      <w:pPr>
        <w:rPr>
          <w:b/>
          <w:caps/>
          <w:lang w:val="ro-RO"/>
        </w:rPr>
      </w:pPr>
      <w:bookmarkStart w:id="0" w:name="_GoBack"/>
      <w:bookmarkEnd w:id="0"/>
    </w:p>
    <w:p w:rsidR="00E777D9" w:rsidRPr="003932DB" w:rsidRDefault="00E777D9" w:rsidP="00E777D9">
      <w:pPr>
        <w:jc w:val="center"/>
        <w:rPr>
          <w:b/>
          <w:caps/>
          <w:lang w:val="ro-RO"/>
        </w:rPr>
      </w:pPr>
    </w:p>
    <w:p w:rsidR="00E60694" w:rsidRPr="003932DB" w:rsidRDefault="00E60694" w:rsidP="00E777D9">
      <w:pPr>
        <w:jc w:val="center"/>
        <w:rPr>
          <w:b/>
          <w:caps/>
          <w:lang w:val="ro-RO"/>
        </w:rPr>
      </w:pPr>
      <w:r w:rsidRPr="003932DB">
        <w:rPr>
          <w:b/>
          <w:caps/>
          <w:lang w:val="ro-RO"/>
        </w:rPr>
        <w:t>Tabelul de concordanţă</w:t>
      </w:r>
    </w:p>
    <w:p w:rsidR="00815BA8" w:rsidRPr="003932DB" w:rsidRDefault="00E60694" w:rsidP="003932DB">
      <w:pPr>
        <w:pStyle w:val="doc-ti"/>
        <w:spacing w:before="240" w:beforeAutospacing="0" w:after="120" w:afterAutospacing="0"/>
        <w:jc w:val="center"/>
        <w:rPr>
          <w:b/>
          <w:bCs/>
          <w:color w:val="000000"/>
        </w:rPr>
      </w:pPr>
      <w:r w:rsidRPr="003932DB">
        <w:rPr>
          <w:b/>
          <w:sz w:val="28"/>
          <w:szCs w:val="28"/>
        </w:rPr>
        <w:t xml:space="preserve">a proiectului </w:t>
      </w:r>
      <w:proofErr w:type="spellStart"/>
      <w:r w:rsidRPr="003932DB">
        <w:rPr>
          <w:b/>
          <w:sz w:val="28"/>
          <w:szCs w:val="28"/>
        </w:rPr>
        <w:t>Hotărîrii</w:t>
      </w:r>
      <w:proofErr w:type="spellEnd"/>
      <w:r w:rsidRPr="003932DB">
        <w:rPr>
          <w:b/>
          <w:sz w:val="28"/>
          <w:szCs w:val="28"/>
        </w:rPr>
        <w:t xml:space="preserve"> Guvernului</w:t>
      </w:r>
      <w:r w:rsidR="00B60904" w:rsidRPr="003932DB">
        <w:rPr>
          <w:b/>
          <w:sz w:val="28"/>
          <w:szCs w:val="28"/>
        </w:rPr>
        <w:t xml:space="preserve"> de aprobare a </w:t>
      </w:r>
      <w:r w:rsidR="00B60904" w:rsidRPr="003932DB">
        <w:rPr>
          <w:sz w:val="28"/>
          <w:szCs w:val="28"/>
        </w:rPr>
        <w:t>„</w:t>
      </w:r>
      <w:r w:rsidR="00B60904" w:rsidRPr="003932DB">
        <w:t>Regulamentul sanitar</w:t>
      </w:r>
      <w:r w:rsidRPr="003932DB">
        <w:rPr>
          <w:sz w:val="28"/>
          <w:szCs w:val="28"/>
        </w:rPr>
        <w:t xml:space="preserve"> </w:t>
      </w:r>
      <w:r w:rsidR="00E777D9" w:rsidRPr="003932DB">
        <w:rPr>
          <w:sz w:val="28"/>
          <w:szCs w:val="28"/>
        </w:rPr>
        <w:t xml:space="preserve"> </w:t>
      </w:r>
      <w:r w:rsidR="003813BD" w:rsidRPr="003932DB">
        <w:rPr>
          <w:bCs/>
          <w:color w:val="000000"/>
        </w:rPr>
        <w:t>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w:t>
      </w:r>
    </w:p>
    <w:p w:rsidR="00E60694" w:rsidRPr="003932DB" w:rsidRDefault="00E60694" w:rsidP="00E60694">
      <w:pPr>
        <w:jc w:val="center"/>
        <w:rPr>
          <w:b/>
          <w:lang w:val="ro-RO"/>
        </w:rPr>
      </w:pPr>
    </w:p>
    <w:tbl>
      <w:tblPr>
        <w:tblStyle w:val="a3"/>
        <w:tblW w:w="14884" w:type="dxa"/>
        <w:tblInd w:w="-34" w:type="dxa"/>
        <w:tblLayout w:type="fixed"/>
        <w:tblLook w:val="01E0" w:firstRow="1" w:lastRow="1" w:firstColumn="1" w:lastColumn="1" w:noHBand="0" w:noVBand="0"/>
      </w:tblPr>
      <w:tblGrid>
        <w:gridCol w:w="4253"/>
        <w:gridCol w:w="3544"/>
        <w:gridCol w:w="1559"/>
        <w:gridCol w:w="1985"/>
        <w:gridCol w:w="1559"/>
        <w:gridCol w:w="1984"/>
      </w:tblGrid>
      <w:tr w:rsidR="006B1ABD" w:rsidRPr="003932DB" w:rsidTr="00A60468">
        <w:trPr>
          <w:trHeight w:val="328"/>
        </w:trPr>
        <w:tc>
          <w:tcPr>
            <w:tcW w:w="14884" w:type="dxa"/>
            <w:gridSpan w:val="6"/>
          </w:tcPr>
          <w:p w:rsidR="006B1ABD" w:rsidRPr="003932DB" w:rsidRDefault="006B1ABD" w:rsidP="00632379">
            <w:pPr>
              <w:ind w:left="-426"/>
              <w:rPr>
                <w:lang w:val="ro-RO"/>
              </w:rPr>
            </w:pPr>
          </w:p>
        </w:tc>
      </w:tr>
      <w:tr w:rsidR="00E60694" w:rsidRPr="003932DB" w:rsidTr="00A60468">
        <w:trPr>
          <w:trHeight w:val="2241"/>
        </w:trPr>
        <w:tc>
          <w:tcPr>
            <w:tcW w:w="14884" w:type="dxa"/>
            <w:gridSpan w:val="6"/>
          </w:tcPr>
          <w:p w:rsidR="003813BD" w:rsidRPr="003932DB" w:rsidRDefault="004D50D3" w:rsidP="003813BD">
            <w:pPr>
              <w:pStyle w:val="doc-ti"/>
              <w:spacing w:before="240" w:beforeAutospacing="0" w:after="120" w:afterAutospacing="0"/>
              <w:jc w:val="both"/>
              <w:rPr>
                <w:bCs/>
                <w:color w:val="000000"/>
              </w:rPr>
            </w:pPr>
            <w:r w:rsidRPr="003932DB">
              <w:rPr>
                <w:b/>
                <w:sz w:val="28"/>
                <w:szCs w:val="28"/>
              </w:rPr>
              <w:t xml:space="preserve">       </w:t>
            </w:r>
            <w:r w:rsidR="003813BD" w:rsidRPr="003932DB">
              <w:rPr>
                <w:b/>
                <w:sz w:val="28"/>
                <w:szCs w:val="28"/>
              </w:rPr>
              <w:t>1.</w:t>
            </w:r>
            <w:r w:rsidR="00E60694" w:rsidRPr="003932DB">
              <w:rPr>
                <w:b/>
                <w:sz w:val="28"/>
                <w:szCs w:val="28"/>
              </w:rPr>
              <w:t>Titlul actelor comunitare, subiectul reglementat şi scopul acestuia:</w:t>
            </w:r>
            <w:r w:rsidR="00253FD3" w:rsidRPr="003932DB">
              <w:rPr>
                <w:rFonts w:ascii="inherit" w:hAnsi="inherit"/>
                <w:sz w:val="28"/>
                <w:szCs w:val="28"/>
                <w:bdr w:val="none" w:sz="0" w:space="0" w:color="auto" w:frame="1"/>
              </w:rPr>
              <w:t xml:space="preserve"> </w:t>
            </w:r>
            <w:r w:rsidR="003813BD" w:rsidRPr="003932DB">
              <w:rPr>
                <w:bCs/>
                <w:color w:val="000000"/>
              </w:rPr>
              <w:t>REGULAMENTUL (UE) NR. 284/2011 AL COMISIEI din 22 martie 2011 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w:t>
            </w:r>
            <w:r w:rsidRPr="003932DB">
              <w:rPr>
                <w:rFonts w:ascii="Lucida Sans Unicode" w:hAnsi="Lucida Sans Unicode" w:cs="Lucida Sans Unicode"/>
                <w:i/>
                <w:iCs/>
                <w:color w:val="444444"/>
                <w:sz w:val="19"/>
                <w:szCs w:val="19"/>
              </w:rPr>
              <w:t xml:space="preserve"> OJ L 77, 23.3.2011, p. 25–29</w:t>
            </w:r>
          </w:p>
          <w:p w:rsidR="004D50D3" w:rsidRPr="003932DB" w:rsidRDefault="004D50D3" w:rsidP="004D50D3">
            <w:pPr>
              <w:spacing w:before="240" w:after="120"/>
              <w:jc w:val="both"/>
              <w:rPr>
                <w:bCs/>
                <w:color w:val="000000"/>
                <w:lang w:val="ro-RO"/>
              </w:rPr>
            </w:pPr>
            <w:r w:rsidRPr="003932DB">
              <w:rPr>
                <w:b/>
                <w:sz w:val="28"/>
                <w:szCs w:val="28"/>
                <w:lang w:val="ro-RO"/>
              </w:rPr>
              <w:t xml:space="preserve">     1. </w:t>
            </w:r>
            <w:r w:rsidR="00E60694" w:rsidRPr="003932DB">
              <w:rPr>
                <w:b/>
                <w:sz w:val="28"/>
                <w:szCs w:val="28"/>
                <w:lang w:val="ro-RO"/>
              </w:rPr>
              <w:t>Titlul actului comunitar</w:t>
            </w:r>
            <w:r w:rsidR="00440B5E" w:rsidRPr="003932DB">
              <w:rPr>
                <w:b/>
                <w:sz w:val="28"/>
                <w:szCs w:val="28"/>
                <w:lang w:val="ro-RO"/>
              </w:rPr>
              <w:t>:</w:t>
            </w:r>
            <w:r w:rsidR="00253FD3" w:rsidRPr="003932DB">
              <w:rPr>
                <w:sz w:val="28"/>
                <w:szCs w:val="28"/>
                <w:shd w:val="clear" w:color="auto" w:fill="FFFFFF"/>
                <w:lang w:val="ro-RO"/>
              </w:rPr>
              <w:t xml:space="preserve"> </w:t>
            </w:r>
            <w:r w:rsidRPr="003932DB">
              <w:rPr>
                <w:bCs/>
                <w:color w:val="000000"/>
                <w:lang w:val="ro-RO"/>
              </w:rPr>
              <w:t xml:space="preserve">COMMISSION REGULATION (EU) No 284/2011 of 22 </w:t>
            </w:r>
            <w:proofErr w:type="spellStart"/>
            <w:r w:rsidRPr="003932DB">
              <w:rPr>
                <w:bCs/>
                <w:color w:val="000000"/>
                <w:lang w:val="ro-RO"/>
              </w:rPr>
              <w:t>March</w:t>
            </w:r>
            <w:proofErr w:type="spellEnd"/>
            <w:r w:rsidRPr="003932DB">
              <w:rPr>
                <w:bCs/>
                <w:color w:val="000000"/>
                <w:lang w:val="ro-RO"/>
              </w:rPr>
              <w:t xml:space="preserve"> 2011 </w:t>
            </w:r>
            <w:proofErr w:type="spellStart"/>
            <w:r w:rsidRPr="003932DB">
              <w:rPr>
                <w:bCs/>
                <w:color w:val="000000"/>
                <w:lang w:val="ro-RO"/>
              </w:rPr>
              <w:t>laying</w:t>
            </w:r>
            <w:proofErr w:type="spellEnd"/>
            <w:r w:rsidRPr="003932DB">
              <w:rPr>
                <w:bCs/>
                <w:color w:val="000000"/>
                <w:lang w:val="ro-RO"/>
              </w:rPr>
              <w:t xml:space="preserve"> </w:t>
            </w:r>
            <w:proofErr w:type="spellStart"/>
            <w:r w:rsidRPr="003932DB">
              <w:rPr>
                <w:bCs/>
                <w:color w:val="000000"/>
                <w:lang w:val="ro-RO"/>
              </w:rPr>
              <w:t>down</w:t>
            </w:r>
            <w:proofErr w:type="spellEnd"/>
            <w:r w:rsidRPr="003932DB">
              <w:rPr>
                <w:bCs/>
                <w:color w:val="000000"/>
                <w:lang w:val="ro-RO"/>
              </w:rPr>
              <w:t xml:space="preserve"> specific </w:t>
            </w:r>
            <w:proofErr w:type="spellStart"/>
            <w:r w:rsidRPr="003932DB">
              <w:rPr>
                <w:bCs/>
                <w:color w:val="000000"/>
                <w:lang w:val="ro-RO"/>
              </w:rPr>
              <w:t>conditions</w:t>
            </w:r>
            <w:proofErr w:type="spellEnd"/>
            <w:r w:rsidRPr="003932DB">
              <w:rPr>
                <w:bCs/>
                <w:color w:val="000000"/>
                <w:lang w:val="ro-RO"/>
              </w:rPr>
              <w:t xml:space="preserve"> </w:t>
            </w:r>
            <w:proofErr w:type="spellStart"/>
            <w:r w:rsidRPr="003932DB">
              <w:rPr>
                <w:bCs/>
                <w:color w:val="000000"/>
                <w:lang w:val="ro-RO"/>
              </w:rPr>
              <w:t>and</w:t>
            </w:r>
            <w:proofErr w:type="spellEnd"/>
            <w:r w:rsidRPr="003932DB">
              <w:rPr>
                <w:bCs/>
                <w:color w:val="000000"/>
                <w:lang w:val="ro-RO"/>
              </w:rPr>
              <w:t xml:space="preserve"> </w:t>
            </w:r>
            <w:proofErr w:type="spellStart"/>
            <w:r w:rsidRPr="003932DB">
              <w:rPr>
                <w:bCs/>
                <w:color w:val="000000"/>
                <w:lang w:val="ro-RO"/>
              </w:rPr>
              <w:t>detailed</w:t>
            </w:r>
            <w:proofErr w:type="spellEnd"/>
            <w:r w:rsidRPr="003932DB">
              <w:rPr>
                <w:bCs/>
                <w:color w:val="000000"/>
                <w:lang w:val="ro-RO"/>
              </w:rPr>
              <w:t xml:space="preserve"> </w:t>
            </w:r>
            <w:proofErr w:type="spellStart"/>
            <w:r w:rsidRPr="003932DB">
              <w:rPr>
                <w:bCs/>
                <w:color w:val="000000"/>
                <w:lang w:val="ro-RO"/>
              </w:rPr>
              <w:t>procedures</w:t>
            </w:r>
            <w:proofErr w:type="spellEnd"/>
            <w:r w:rsidRPr="003932DB">
              <w:rPr>
                <w:bCs/>
                <w:color w:val="000000"/>
                <w:lang w:val="ro-RO"/>
              </w:rPr>
              <w:t xml:space="preserve"> for </w:t>
            </w:r>
            <w:proofErr w:type="spellStart"/>
            <w:r w:rsidRPr="003932DB">
              <w:rPr>
                <w:bCs/>
                <w:color w:val="000000"/>
                <w:lang w:val="ro-RO"/>
              </w:rPr>
              <w:t>the</w:t>
            </w:r>
            <w:proofErr w:type="spellEnd"/>
            <w:r w:rsidRPr="003932DB">
              <w:rPr>
                <w:bCs/>
                <w:color w:val="000000"/>
                <w:lang w:val="ro-RO"/>
              </w:rPr>
              <w:t xml:space="preserve"> import of </w:t>
            </w:r>
            <w:proofErr w:type="spellStart"/>
            <w:r w:rsidRPr="003932DB">
              <w:rPr>
                <w:bCs/>
                <w:color w:val="000000"/>
                <w:lang w:val="ro-RO"/>
              </w:rPr>
              <w:t>polyamide</w:t>
            </w:r>
            <w:proofErr w:type="spellEnd"/>
            <w:r w:rsidRPr="003932DB">
              <w:rPr>
                <w:bCs/>
                <w:color w:val="000000"/>
                <w:lang w:val="ro-RO"/>
              </w:rPr>
              <w:t xml:space="preserve"> </w:t>
            </w:r>
            <w:proofErr w:type="spellStart"/>
            <w:r w:rsidRPr="003932DB">
              <w:rPr>
                <w:bCs/>
                <w:color w:val="000000"/>
                <w:lang w:val="ro-RO"/>
              </w:rPr>
              <w:t>and</w:t>
            </w:r>
            <w:proofErr w:type="spellEnd"/>
            <w:r w:rsidRPr="003932DB">
              <w:rPr>
                <w:bCs/>
                <w:color w:val="000000"/>
                <w:lang w:val="ro-RO"/>
              </w:rPr>
              <w:t xml:space="preserve"> melamine plastic </w:t>
            </w:r>
            <w:proofErr w:type="spellStart"/>
            <w:r w:rsidRPr="003932DB">
              <w:rPr>
                <w:bCs/>
                <w:color w:val="000000"/>
                <w:lang w:val="ro-RO"/>
              </w:rPr>
              <w:t>kitchenware</w:t>
            </w:r>
            <w:proofErr w:type="spellEnd"/>
            <w:r w:rsidRPr="003932DB">
              <w:rPr>
                <w:bCs/>
                <w:color w:val="000000"/>
                <w:lang w:val="ro-RO"/>
              </w:rPr>
              <w:t xml:space="preserve"> </w:t>
            </w:r>
            <w:proofErr w:type="spellStart"/>
            <w:r w:rsidRPr="003932DB">
              <w:rPr>
                <w:bCs/>
                <w:color w:val="000000"/>
                <w:lang w:val="ro-RO"/>
              </w:rPr>
              <w:t>originating</w:t>
            </w:r>
            <w:proofErr w:type="spellEnd"/>
            <w:r w:rsidRPr="003932DB">
              <w:rPr>
                <w:bCs/>
                <w:color w:val="000000"/>
                <w:lang w:val="ro-RO"/>
              </w:rPr>
              <w:t xml:space="preserve"> in or </w:t>
            </w:r>
            <w:proofErr w:type="spellStart"/>
            <w:r w:rsidRPr="003932DB">
              <w:rPr>
                <w:bCs/>
                <w:color w:val="000000"/>
                <w:lang w:val="ro-RO"/>
              </w:rPr>
              <w:t>consigned</w:t>
            </w:r>
            <w:proofErr w:type="spellEnd"/>
            <w:r w:rsidRPr="003932DB">
              <w:rPr>
                <w:bCs/>
                <w:color w:val="000000"/>
                <w:lang w:val="ro-RO"/>
              </w:rPr>
              <w:t xml:space="preserve"> </w:t>
            </w:r>
            <w:proofErr w:type="spellStart"/>
            <w:r w:rsidRPr="003932DB">
              <w:rPr>
                <w:bCs/>
                <w:color w:val="000000"/>
                <w:lang w:val="ro-RO"/>
              </w:rPr>
              <w:t>from</w:t>
            </w:r>
            <w:proofErr w:type="spellEnd"/>
            <w:r w:rsidRPr="003932DB">
              <w:rPr>
                <w:bCs/>
                <w:color w:val="000000"/>
                <w:lang w:val="ro-RO"/>
              </w:rPr>
              <w:t xml:space="preserve"> </w:t>
            </w:r>
            <w:proofErr w:type="spellStart"/>
            <w:r w:rsidRPr="003932DB">
              <w:rPr>
                <w:bCs/>
                <w:color w:val="000000"/>
                <w:lang w:val="ro-RO"/>
              </w:rPr>
              <w:t>the</w:t>
            </w:r>
            <w:proofErr w:type="spellEnd"/>
            <w:r w:rsidRPr="003932DB">
              <w:rPr>
                <w:bCs/>
                <w:color w:val="000000"/>
                <w:lang w:val="ro-RO"/>
              </w:rPr>
              <w:t xml:space="preserve"> </w:t>
            </w:r>
            <w:proofErr w:type="spellStart"/>
            <w:r w:rsidRPr="003932DB">
              <w:rPr>
                <w:bCs/>
                <w:color w:val="000000"/>
                <w:lang w:val="ro-RO"/>
              </w:rPr>
              <w:t>People</w:t>
            </w:r>
            <w:proofErr w:type="spellEnd"/>
            <w:r w:rsidRPr="003932DB">
              <w:rPr>
                <w:bCs/>
                <w:color w:val="000000"/>
                <w:lang w:val="ro-RO"/>
              </w:rPr>
              <w:t xml:space="preserve">’s Republic of China </w:t>
            </w:r>
            <w:proofErr w:type="spellStart"/>
            <w:r w:rsidRPr="003932DB">
              <w:rPr>
                <w:bCs/>
                <w:color w:val="000000"/>
                <w:lang w:val="ro-RO"/>
              </w:rPr>
              <w:t>and</w:t>
            </w:r>
            <w:proofErr w:type="spellEnd"/>
            <w:r w:rsidRPr="003932DB">
              <w:rPr>
                <w:bCs/>
                <w:color w:val="000000"/>
                <w:lang w:val="ro-RO"/>
              </w:rPr>
              <w:t xml:space="preserve"> Hong Kong Special Administrative </w:t>
            </w:r>
            <w:proofErr w:type="spellStart"/>
            <w:r w:rsidRPr="003932DB">
              <w:rPr>
                <w:bCs/>
                <w:color w:val="000000"/>
                <w:lang w:val="ro-RO"/>
              </w:rPr>
              <w:t>Region</w:t>
            </w:r>
            <w:proofErr w:type="spellEnd"/>
            <w:r w:rsidRPr="003932DB">
              <w:rPr>
                <w:bCs/>
                <w:color w:val="000000"/>
                <w:lang w:val="ro-RO"/>
              </w:rPr>
              <w:t>, China</w:t>
            </w:r>
            <w:r w:rsidRPr="003932DB">
              <w:rPr>
                <w:rFonts w:ascii="Lucida Sans Unicode" w:hAnsi="Lucida Sans Unicode" w:cs="Lucida Sans Unicode"/>
                <w:i/>
                <w:iCs/>
                <w:color w:val="444444"/>
                <w:sz w:val="19"/>
                <w:szCs w:val="19"/>
                <w:lang w:val="ro-RO"/>
              </w:rPr>
              <w:t xml:space="preserve"> OJ L 77, 23.3.2011, p. 25–29</w:t>
            </w:r>
          </w:p>
          <w:p w:rsidR="003813BD" w:rsidRPr="003932DB" w:rsidRDefault="00E60694" w:rsidP="004D50D3">
            <w:pPr>
              <w:pStyle w:val="doc-ti"/>
              <w:spacing w:before="240" w:beforeAutospacing="0" w:after="120" w:afterAutospacing="0"/>
              <w:jc w:val="both"/>
              <w:rPr>
                <w:bCs/>
                <w:color w:val="000000"/>
              </w:rPr>
            </w:pPr>
            <w:r w:rsidRPr="003932DB">
              <w:rPr>
                <w:b/>
              </w:rPr>
              <w:t>Subiectul reglementat</w:t>
            </w:r>
            <w:r w:rsidRPr="003932DB">
              <w:t>: cadrul juridic referitor la</w:t>
            </w:r>
            <w:r w:rsidR="00D447D6" w:rsidRPr="003932DB">
              <w:t xml:space="preserve"> Regle</w:t>
            </w:r>
            <w:r w:rsidR="0060748D" w:rsidRPr="003932DB">
              <w:t>mentarea</w:t>
            </w:r>
            <w:r w:rsidR="004D50D3" w:rsidRPr="003932DB">
              <w:t xml:space="preserve"> </w:t>
            </w:r>
            <w:r w:rsidR="003813BD" w:rsidRPr="003932DB">
              <w:rPr>
                <w:bCs/>
                <w:color w:val="000000"/>
              </w:rPr>
              <w:t>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w:t>
            </w:r>
          </w:p>
          <w:p w:rsidR="003813BD" w:rsidRPr="003932DB" w:rsidRDefault="00E60694" w:rsidP="004D50D3">
            <w:pPr>
              <w:pStyle w:val="doc-ti"/>
              <w:spacing w:before="240" w:beforeAutospacing="0" w:after="120" w:afterAutospacing="0"/>
              <w:rPr>
                <w:bCs/>
                <w:color w:val="000000"/>
              </w:rPr>
            </w:pPr>
            <w:r w:rsidRPr="003932DB">
              <w:rPr>
                <w:b/>
              </w:rPr>
              <w:t>Scopul</w:t>
            </w:r>
            <w:r w:rsidRPr="003932DB">
              <w:t>: protecţia sănătăţii publice</w:t>
            </w:r>
            <w:r w:rsidR="006950BE" w:rsidRPr="003932DB">
              <w:t xml:space="preserve">, reglementarea </w:t>
            </w:r>
            <w:r w:rsidR="001E1240" w:rsidRPr="003932DB">
              <w:t xml:space="preserve">sanitară a </w:t>
            </w:r>
            <w:r w:rsidR="003813BD" w:rsidRPr="003932DB">
              <w:rPr>
                <w:b/>
                <w:bCs/>
                <w:color w:val="000000"/>
              </w:rPr>
              <w:t xml:space="preserve"> </w:t>
            </w:r>
            <w:r w:rsidR="003813BD" w:rsidRPr="003932DB">
              <w:rPr>
                <w:bCs/>
                <w:color w:val="000000"/>
              </w:rPr>
              <w:t>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w:t>
            </w:r>
          </w:p>
          <w:p w:rsidR="00E60694" w:rsidRPr="003932DB" w:rsidRDefault="00E60694" w:rsidP="004D50D3">
            <w:pPr>
              <w:pStyle w:val="ab"/>
              <w:rPr>
                <w:lang w:val="ro-RO"/>
              </w:rPr>
            </w:pPr>
          </w:p>
        </w:tc>
      </w:tr>
      <w:tr w:rsidR="00E60694" w:rsidRPr="003932DB" w:rsidTr="00A60468">
        <w:trPr>
          <w:trHeight w:val="1665"/>
        </w:trPr>
        <w:tc>
          <w:tcPr>
            <w:tcW w:w="14884" w:type="dxa"/>
            <w:gridSpan w:val="6"/>
          </w:tcPr>
          <w:p w:rsidR="00E60694" w:rsidRPr="003932DB" w:rsidRDefault="00E60694" w:rsidP="00DA75E0">
            <w:pPr>
              <w:rPr>
                <w:lang w:val="ro-RO"/>
              </w:rPr>
            </w:pPr>
            <w:r w:rsidRPr="003932DB">
              <w:rPr>
                <w:lang w:val="ro-RO"/>
              </w:rPr>
              <w:t xml:space="preserve">2. </w:t>
            </w:r>
            <w:r w:rsidRPr="003932DB">
              <w:rPr>
                <w:b/>
                <w:lang w:val="ro-RO"/>
              </w:rPr>
              <w:t>Titlul actului normativ naţional, subiectul reglementat şi scopul acestuia:</w:t>
            </w:r>
            <w:r w:rsidR="001E1240" w:rsidRPr="003932DB">
              <w:rPr>
                <w:b/>
                <w:sz w:val="28"/>
                <w:szCs w:val="28"/>
                <w:lang w:val="ro-RO"/>
              </w:rPr>
              <w:t xml:space="preserve"> </w:t>
            </w:r>
            <w:r w:rsidR="001E1240" w:rsidRPr="003932DB">
              <w:rPr>
                <w:lang w:val="ro-RO"/>
              </w:rPr>
              <w:t xml:space="preserve">Regulamentul sanitar </w:t>
            </w:r>
            <w:r w:rsidR="004D50D3" w:rsidRPr="003932DB">
              <w:rPr>
                <w:bCs/>
                <w:color w:val="000000"/>
                <w:lang w:val="ro-RO"/>
              </w:rPr>
              <w:t>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w:t>
            </w:r>
          </w:p>
          <w:p w:rsidR="001E1240" w:rsidRPr="003932DB" w:rsidRDefault="00E60694" w:rsidP="00440B5E">
            <w:pPr>
              <w:pStyle w:val="doc-ti"/>
              <w:spacing w:before="240" w:beforeAutospacing="0" w:after="120" w:afterAutospacing="0"/>
              <w:jc w:val="both"/>
              <w:rPr>
                <w:sz w:val="28"/>
                <w:szCs w:val="28"/>
              </w:rPr>
            </w:pPr>
            <w:r w:rsidRPr="003932DB">
              <w:rPr>
                <w:b/>
              </w:rPr>
              <w:t>Titlul actului normativ naţional:</w:t>
            </w:r>
            <w:r w:rsidR="004D50D3" w:rsidRPr="003932DB">
              <w:rPr>
                <w:b/>
                <w:bCs/>
                <w:color w:val="000000"/>
              </w:rPr>
              <w:t xml:space="preserve"> </w:t>
            </w:r>
            <w:r w:rsidR="004D50D3" w:rsidRPr="003932DB">
              <w:t xml:space="preserve">Regulamentul sanitar </w:t>
            </w:r>
            <w:r w:rsidR="004D50D3" w:rsidRPr="003932DB">
              <w:rPr>
                <w:bCs/>
                <w:color w:val="000000"/>
              </w:rPr>
              <w:t>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w:t>
            </w:r>
            <w:r w:rsidRPr="003932DB">
              <w:t xml:space="preserve"> </w:t>
            </w:r>
          </w:p>
          <w:p w:rsidR="003813BD" w:rsidRPr="003932DB" w:rsidRDefault="001E1240" w:rsidP="003813BD">
            <w:pPr>
              <w:pStyle w:val="doc-ti"/>
              <w:spacing w:before="240" w:beforeAutospacing="0" w:after="120" w:afterAutospacing="0"/>
              <w:jc w:val="center"/>
              <w:rPr>
                <w:b/>
                <w:bCs/>
                <w:color w:val="000000"/>
              </w:rPr>
            </w:pPr>
            <w:r w:rsidRPr="003932DB">
              <w:rPr>
                <w:b/>
              </w:rPr>
              <w:lastRenderedPageBreak/>
              <w:t xml:space="preserve"> </w:t>
            </w:r>
            <w:r w:rsidR="00E60694" w:rsidRPr="003932DB">
              <w:rPr>
                <w:b/>
              </w:rPr>
              <w:t>Subiectul reglementat</w:t>
            </w:r>
            <w:r w:rsidR="00E60694" w:rsidRPr="003932DB">
              <w:t>:</w:t>
            </w:r>
            <w:r w:rsidR="00B63179" w:rsidRPr="003932DB">
              <w:t xml:space="preserve"> </w:t>
            </w:r>
            <w:r w:rsidR="003813BD" w:rsidRPr="003932DB">
              <w:rPr>
                <w:bCs/>
                <w:color w:val="000000"/>
              </w:rPr>
              <w:t>articolele de bucătărie din material plastic pe bază de poliamidă și melamină originare sau expediate din Republica Populară Chineză și din Regiunea Administrativă Specială Hong Kong a Republicii Populare Chineze</w:t>
            </w:r>
          </w:p>
          <w:p w:rsidR="00E60694" w:rsidRPr="003932DB" w:rsidRDefault="00E60694" w:rsidP="003932DB">
            <w:pPr>
              <w:pStyle w:val="doc-ti"/>
              <w:spacing w:before="240" w:beforeAutospacing="0" w:after="120" w:afterAutospacing="0"/>
              <w:jc w:val="center"/>
            </w:pPr>
            <w:r w:rsidRPr="003932DB">
              <w:rPr>
                <w:b/>
              </w:rPr>
              <w:t>Scopul</w:t>
            </w:r>
            <w:r w:rsidRPr="003932DB">
              <w:t xml:space="preserve">: </w:t>
            </w:r>
            <w:r w:rsidR="00543BD0" w:rsidRPr="003932DB">
              <w:t>protecţia sănătăţii publice,</w:t>
            </w:r>
            <w:r w:rsidR="0060748D" w:rsidRPr="003932DB">
              <w:t xml:space="preserve"> reglementarea sanitară</w:t>
            </w:r>
            <w:r w:rsidR="00440B5E" w:rsidRPr="003932DB">
              <w:t xml:space="preserve"> a</w:t>
            </w:r>
            <w:r w:rsidR="001E1240" w:rsidRPr="003932DB">
              <w:rPr>
                <w:bCs/>
                <w:color w:val="000000"/>
              </w:rPr>
              <w:t xml:space="preserve"> </w:t>
            </w:r>
            <w:r w:rsidR="003813BD" w:rsidRPr="003932DB">
              <w:rPr>
                <w:bCs/>
                <w:color w:val="000000"/>
              </w:rPr>
              <w:t>articolelor de bucătărie din material plastic pe bază de poliamidă și melamină originare sau expediate din Republica Populară Chineză și din Regiunea Administrativă Specială Hong Kong a Republicii Populare Chineze</w:t>
            </w:r>
          </w:p>
        </w:tc>
      </w:tr>
      <w:tr w:rsidR="00E60694" w:rsidRPr="003932DB" w:rsidTr="00A60468">
        <w:trPr>
          <w:trHeight w:val="343"/>
        </w:trPr>
        <w:tc>
          <w:tcPr>
            <w:tcW w:w="14884" w:type="dxa"/>
            <w:gridSpan w:val="6"/>
          </w:tcPr>
          <w:p w:rsidR="00E60694" w:rsidRPr="003932DB" w:rsidRDefault="00E60694" w:rsidP="00DA75E0">
            <w:pPr>
              <w:rPr>
                <w:lang w:val="ro-RO"/>
              </w:rPr>
            </w:pPr>
            <w:r w:rsidRPr="003932DB">
              <w:rPr>
                <w:lang w:val="ro-RO"/>
              </w:rPr>
              <w:lastRenderedPageBreak/>
              <w:t xml:space="preserve">3. </w:t>
            </w:r>
            <w:r w:rsidRPr="003932DB">
              <w:rPr>
                <w:b/>
                <w:smallCaps/>
                <w:lang w:val="ro-RO"/>
              </w:rPr>
              <w:t>G</w:t>
            </w:r>
            <w:r w:rsidRPr="003932DB">
              <w:rPr>
                <w:b/>
                <w:lang w:val="ro-RO"/>
              </w:rPr>
              <w:t>radul de compatibilitate</w:t>
            </w:r>
            <w:r w:rsidRPr="003932DB">
              <w:rPr>
                <w:lang w:val="ro-RO"/>
              </w:rPr>
              <w:t xml:space="preserve">: </w:t>
            </w:r>
          </w:p>
        </w:tc>
      </w:tr>
      <w:tr w:rsidR="00E60694" w:rsidRPr="003932DB" w:rsidTr="00DC0624">
        <w:trPr>
          <w:trHeight w:val="1727"/>
        </w:trPr>
        <w:tc>
          <w:tcPr>
            <w:tcW w:w="4253" w:type="dxa"/>
          </w:tcPr>
          <w:p w:rsidR="00E60694" w:rsidRPr="003932DB" w:rsidRDefault="00E60694" w:rsidP="00DA75E0">
            <w:pPr>
              <w:jc w:val="center"/>
              <w:rPr>
                <w:b/>
                <w:lang w:val="ro-RO"/>
              </w:rPr>
            </w:pPr>
            <w:r w:rsidRPr="003932DB">
              <w:rPr>
                <w:b/>
                <w:lang w:val="ro-RO"/>
              </w:rPr>
              <w:t>4. Prevederile şi cerinţele reglementărilor comunitare (articolul, paragraful)</w:t>
            </w:r>
          </w:p>
        </w:tc>
        <w:tc>
          <w:tcPr>
            <w:tcW w:w="3544" w:type="dxa"/>
          </w:tcPr>
          <w:p w:rsidR="00E60694" w:rsidRPr="003932DB" w:rsidRDefault="00E60694" w:rsidP="00DA75E0">
            <w:pPr>
              <w:jc w:val="center"/>
              <w:rPr>
                <w:b/>
                <w:lang w:val="ro-RO"/>
              </w:rPr>
            </w:pPr>
            <w:r w:rsidRPr="003932DB">
              <w:rPr>
                <w:b/>
                <w:lang w:val="ro-RO"/>
              </w:rPr>
              <w:t>5. Prevederile actului normativ naţional (capitolul, articolul, subparagraful, punctul etc.)</w:t>
            </w:r>
          </w:p>
        </w:tc>
        <w:tc>
          <w:tcPr>
            <w:tcW w:w="1559" w:type="dxa"/>
          </w:tcPr>
          <w:p w:rsidR="00E60694" w:rsidRPr="003932DB" w:rsidRDefault="00E60694" w:rsidP="00DA75E0">
            <w:pPr>
              <w:rPr>
                <w:b/>
                <w:lang w:val="ro-RO"/>
              </w:rPr>
            </w:pPr>
            <w:r w:rsidRPr="003932DB">
              <w:rPr>
                <w:b/>
                <w:lang w:val="ro-RO"/>
              </w:rPr>
              <w:t xml:space="preserve">6. Diferenţe </w:t>
            </w:r>
          </w:p>
        </w:tc>
        <w:tc>
          <w:tcPr>
            <w:tcW w:w="1985" w:type="dxa"/>
          </w:tcPr>
          <w:p w:rsidR="00E60694" w:rsidRPr="003932DB" w:rsidRDefault="00E60694" w:rsidP="00DA75E0">
            <w:pPr>
              <w:rPr>
                <w:b/>
                <w:lang w:val="ro-RO"/>
              </w:rPr>
            </w:pPr>
            <w:r w:rsidRPr="003932DB">
              <w:rPr>
                <w:b/>
                <w:lang w:val="ro-RO"/>
              </w:rPr>
              <w:t>7. Motivele ce explică faptul că proiectul este parţial compatibil sau incompatibil</w:t>
            </w:r>
          </w:p>
        </w:tc>
        <w:tc>
          <w:tcPr>
            <w:tcW w:w="1559" w:type="dxa"/>
          </w:tcPr>
          <w:p w:rsidR="00E60694" w:rsidRPr="003932DB" w:rsidRDefault="00E60694" w:rsidP="00DA75E0">
            <w:pPr>
              <w:jc w:val="center"/>
              <w:rPr>
                <w:b/>
                <w:lang w:val="ro-RO"/>
              </w:rPr>
            </w:pPr>
            <w:r w:rsidRPr="003932DB">
              <w:rPr>
                <w:b/>
                <w:lang w:val="ro-RO"/>
              </w:rPr>
              <w:t xml:space="preserve">8. Instituţia </w:t>
            </w:r>
            <w:r w:rsidR="00C234A9" w:rsidRPr="003932DB">
              <w:rPr>
                <w:b/>
                <w:lang w:val="ro-RO"/>
              </w:rPr>
              <w:t>responsa</w:t>
            </w:r>
            <w:r w:rsidRPr="003932DB">
              <w:rPr>
                <w:b/>
                <w:lang w:val="ro-RO"/>
              </w:rPr>
              <w:t>bilă</w:t>
            </w:r>
          </w:p>
        </w:tc>
        <w:tc>
          <w:tcPr>
            <w:tcW w:w="1984" w:type="dxa"/>
          </w:tcPr>
          <w:p w:rsidR="00E60694" w:rsidRPr="003932DB" w:rsidRDefault="00E60694" w:rsidP="00DA75E0">
            <w:pPr>
              <w:jc w:val="center"/>
              <w:rPr>
                <w:b/>
                <w:lang w:val="ro-RO"/>
              </w:rPr>
            </w:pPr>
            <w:r w:rsidRPr="003932DB">
              <w:rPr>
                <w:b/>
                <w:lang w:val="ro-RO"/>
              </w:rPr>
              <w:t xml:space="preserve">9. Terme-nul - limită de asigurare a </w:t>
            </w:r>
            <w:proofErr w:type="spellStart"/>
            <w:r w:rsidRPr="003932DB">
              <w:rPr>
                <w:b/>
                <w:lang w:val="ro-RO"/>
              </w:rPr>
              <w:t>compati-bilităţii</w:t>
            </w:r>
            <w:proofErr w:type="spellEnd"/>
            <w:r w:rsidRPr="003932DB">
              <w:rPr>
                <w:b/>
                <w:lang w:val="ro-RO"/>
              </w:rPr>
              <w:t xml:space="preserve"> complete a actului naţional</w:t>
            </w:r>
          </w:p>
          <w:p w:rsidR="00E60694" w:rsidRPr="003932DB" w:rsidRDefault="00E60694" w:rsidP="00DA75E0">
            <w:pPr>
              <w:jc w:val="center"/>
              <w:rPr>
                <w:b/>
                <w:lang w:val="ro-RO"/>
              </w:rPr>
            </w:pPr>
          </w:p>
        </w:tc>
      </w:tr>
      <w:tr w:rsidR="004D50D3" w:rsidRPr="003932DB" w:rsidTr="00DC0624">
        <w:trPr>
          <w:trHeight w:val="1727"/>
        </w:trPr>
        <w:tc>
          <w:tcPr>
            <w:tcW w:w="4253" w:type="dxa"/>
          </w:tcPr>
          <w:p w:rsidR="004D50D3" w:rsidRPr="003932DB" w:rsidRDefault="004D50D3" w:rsidP="00DA75E0">
            <w:pPr>
              <w:jc w:val="center"/>
              <w:rPr>
                <w:b/>
                <w:lang w:val="ro-RO"/>
              </w:rPr>
            </w:pPr>
          </w:p>
        </w:tc>
        <w:tc>
          <w:tcPr>
            <w:tcW w:w="3544" w:type="dxa"/>
          </w:tcPr>
          <w:p w:rsidR="004D50D3" w:rsidRPr="003932DB" w:rsidRDefault="004D50D3" w:rsidP="008A63BA">
            <w:pPr>
              <w:pStyle w:val="doc-ti"/>
              <w:spacing w:before="240" w:beforeAutospacing="0" w:after="120" w:afterAutospacing="0"/>
              <w:jc w:val="both"/>
              <w:rPr>
                <w:b/>
              </w:rPr>
            </w:pPr>
            <w:r w:rsidRPr="003932DB">
              <w:rPr>
                <w:color w:val="000000"/>
                <w:lang w:eastAsia="ru-RU"/>
              </w:rPr>
              <w:tab/>
            </w:r>
            <w:r w:rsidRPr="003932DB">
              <w:t xml:space="preserve">Regulamentul sanitar </w:t>
            </w:r>
            <w:r w:rsidRPr="003932DB">
              <w:rPr>
                <w:bCs/>
                <w:color w:val="000000"/>
              </w:rPr>
              <w:t xml:space="preserve">de stabilire a condițiilor specifice și a procedurilor detaliate pentru importul de articole de bucătărie din material plastic pe bază de poliamidă și melamină originare sau expediate din Republica Populară Chineză și din Regiunea Administrativă Specială Hong Kong a Republicii Populare Chineze </w:t>
            </w:r>
            <w:r w:rsidRPr="003932DB">
              <w:t xml:space="preserve"> (în continuare–R</w:t>
            </w:r>
            <w:r w:rsidR="004A297D" w:rsidRPr="003932DB">
              <w:t xml:space="preserve">egulament) </w:t>
            </w:r>
            <w:r w:rsidRPr="003932DB">
              <w:t>transpune prevederile</w:t>
            </w:r>
            <w:r w:rsidRPr="003932DB">
              <w:rPr>
                <w:b/>
                <w:sz w:val="28"/>
                <w:szCs w:val="28"/>
              </w:rPr>
              <w:t xml:space="preserve"> </w:t>
            </w:r>
            <w:r w:rsidRPr="003932DB">
              <w:t>Regulamentului (CE</w:t>
            </w:r>
            <w:r w:rsidRPr="003932DB">
              <w:rPr>
                <w:rFonts w:ascii="inherit" w:hAnsi="inherit"/>
                <w:sz w:val="28"/>
                <w:szCs w:val="28"/>
                <w:bdr w:val="none" w:sz="0" w:space="0" w:color="auto" w:frame="1"/>
              </w:rPr>
              <w:t xml:space="preserve"> </w:t>
            </w:r>
            <w:r w:rsidRPr="003932DB">
              <w:rPr>
                <w:bCs/>
                <w:color w:val="000000"/>
              </w:rPr>
              <w:t xml:space="preserve">(UE) NR. 284/2011 al comisiei din 22 martie 2011 de stabilire a condițiilor specifice și a procedurilor detaliate pentru importul de articole de bucătărie din material plastic pe bază de poliamidă și melamină originare </w:t>
            </w:r>
            <w:r w:rsidRPr="003932DB">
              <w:rPr>
                <w:bCs/>
                <w:color w:val="000000"/>
              </w:rPr>
              <w:lastRenderedPageBreak/>
              <w:t>sau expediate din Republica Populară Chineză și din Regiunea Administrativă Specială Hong Kong a Republicii Populare Chineze</w:t>
            </w:r>
            <w:r w:rsidRPr="003932DB">
              <w:rPr>
                <w:rFonts w:ascii="Lucida Sans Unicode" w:hAnsi="Lucida Sans Unicode" w:cs="Lucida Sans Unicode"/>
                <w:i/>
                <w:iCs/>
                <w:color w:val="444444"/>
                <w:sz w:val="19"/>
                <w:szCs w:val="19"/>
              </w:rPr>
              <w:t xml:space="preserve"> OJ L 77, 23.3.2011, p. 25–29</w:t>
            </w:r>
            <w:r w:rsidR="008A63BA" w:rsidRPr="003932DB">
              <w:rPr>
                <w:rFonts w:ascii="Lucida Sans Unicode" w:hAnsi="Lucida Sans Unicode" w:cs="Lucida Sans Unicode"/>
                <w:i/>
                <w:iCs/>
                <w:color w:val="444444"/>
                <w:sz w:val="19"/>
                <w:szCs w:val="19"/>
              </w:rPr>
              <w:t>.</w:t>
            </w:r>
          </w:p>
        </w:tc>
        <w:tc>
          <w:tcPr>
            <w:tcW w:w="1559" w:type="dxa"/>
          </w:tcPr>
          <w:p w:rsidR="004D50D3" w:rsidRPr="003932DB" w:rsidRDefault="003121CC" w:rsidP="00DA75E0">
            <w:pPr>
              <w:rPr>
                <w:b/>
                <w:lang w:val="ro-RO"/>
              </w:rPr>
            </w:pPr>
            <w:r w:rsidRPr="003932DB">
              <w:rPr>
                <w:b/>
                <w:lang w:val="ro-RO"/>
              </w:rPr>
              <w:lastRenderedPageBreak/>
              <w:t>Transpus in conformitate cu Actul UE</w:t>
            </w:r>
          </w:p>
        </w:tc>
        <w:tc>
          <w:tcPr>
            <w:tcW w:w="1985" w:type="dxa"/>
          </w:tcPr>
          <w:p w:rsidR="004D50D3" w:rsidRPr="003932DB" w:rsidRDefault="004D50D3" w:rsidP="00DA75E0">
            <w:pPr>
              <w:rPr>
                <w:b/>
                <w:lang w:val="ro-RO"/>
              </w:rPr>
            </w:pPr>
          </w:p>
        </w:tc>
        <w:tc>
          <w:tcPr>
            <w:tcW w:w="1559" w:type="dxa"/>
          </w:tcPr>
          <w:p w:rsidR="004D50D3" w:rsidRPr="003932DB" w:rsidRDefault="004D50D3" w:rsidP="00DA75E0">
            <w:pPr>
              <w:jc w:val="center"/>
              <w:rPr>
                <w:b/>
                <w:lang w:val="ro-RO"/>
              </w:rPr>
            </w:pPr>
          </w:p>
        </w:tc>
        <w:tc>
          <w:tcPr>
            <w:tcW w:w="1984" w:type="dxa"/>
          </w:tcPr>
          <w:p w:rsidR="004D50D3" w:rsidRPr="003932DB" w:rsidRDefault="004D50D3" w:rsidP="00DA75E0">
            <w:pPr>
              <w:jc w:val="center"/>
              <w:rPr>
                <w:b/>
                <w:lang w:val="ro-RO"/>
              </w:rPr>
            </w:pPr>
          </w:p>
        </w:tc>
      </w:tr>
      <w:tr w:rsidR="004D50D3" w:rsidRPr="003932DB" w:rsidTr="00DC0624">
        <w:trPr>
          <w:trHeight w:val="1727"/>
        </w:trPr>
        <w:tc>
          <w:tcPr>
            <w:tcW w:w="4253" w:type="dxa"/>
          </w:tcPr>
          <w:p w:rsidR="008F75A6" w:rsidRPr="003932DB" w:rsidRDefault="008F75A6" w:rsidP="008F75A6">
            <w:pPr>
              <w:pStyle w:val="ti-art"/>
              <w:spacing w:before="360" w:beforeAutospacing="0" w:after="120" w:afterAutospacing="0"/>
              <w:jc w:val="center"/>
              <w:rPr>
                <w:i/>
                <w:iCs/>
                <w:color w:val="000000"/>
                <w:lang w:val="ro-RO"/>
              </w:rPr>
            </w:pPr>
            <w:r w:rsidRPr="003932DB">
              <w:rPr>
                <w:i/>
                <w:iCs/>
                <w:color w:val="000000"/>
                <w:lang w:val="ro-RO"/>
              </w:rPr>
              <w:lastRenderedPageBreak/>
              <w:t>Articolul 1</w:t>
            </w:r>
          </w:p>
          <w:p w:rsidR="008F75A6" w:rsidRPr="003932DB" w:rsidRDefault="008F75A6" w:rsidP="008F75A6">
            <w:pPr>
              <w:pStyle w:val="sti-art"/>
              <w:spacing w:before="60" w:beforeAutospacing="0" w:after="120" w:afterAutospacing="0"/>
              <w:jc w:val="center"/>
              <w:rPr>
                <w:b/>
                <w:bCs/>
                <w:color w:val="000000"/>
                <w:lang w:val="ro-RO"/>
              </w:rPr>
            </w:pPr>
            <w:r w:rsidRPr="003932DB">
              <w:rPr>
                <w:b/>
                <w:bCs/>
                <w:color w:val="000000"/>
                <w:lang w:val="ro-RO"/>
              </w:rPr>
              <w:t>Obiect</w:t>
            </w:r>
          </w:p>
          <w:p w:rsidR="008F75A6" w:rsidRPr="003932DB" w:rsidRDefault="008F75A6" w:rsidP="008F75A6">
            <w:pPr>
              <w:pStyle w:val="11"/>
              <w:spacing w:before="120" w:beforeAutospacing="0" w:after="0" w:afterAutospacing="0"/>
              <w:jc w:val="both"/>
              <w:rPr>
                <w:color w:val="000000"/>
                <w:lang w:val="ro-RO"/>
              </w:rPr>
            </w:pPr>
            <w:r w:rsidRPr="003932DB">
              <w:rPr>
                <w:color w:val="000000"/>
                <w:lang w:val="ro-RO"/>
              </w:rPr>
              <w:t>Prezentul regulament stabilește condițiile specifice și procedurile detaliate pentru importul de articole de bucătărie din material plastic pe bază de poliamidă și melamină originare sau expediate din Republica Populară Chineză (denumită în continuare China) și din Regiunea Administrativă Specială Hong Kong a Republicii Populare Chineze (denumită în continuare Hong Kong).</w:t>
            </w:r>
          </w:p>
          <w:p w:rsidR="004D50D3" w:rsidRPr="003932DB" w:rsidRDefault="004D50D3" w:rsidP="00DA75E0">
            <w:pPr>
              <w:jc w:val="center"/>
              <w:rPr>
                <w:b/>
                <w:lang w:val="ro-RO"/>
              </w:rPr>
            </w:pPr>
          </w:p>
        </w:tc>
        <w:tc>
          <w:tcPr>
            <w:tcW w:w="3544" w:type="dxa"/>
          </w:tcPr>
          <w:p w:rsidR="008F75A6" w:rsidRPr="003932DB" w:rsidRDefault="008F75A6" w:rsidP="008F75A6">
            <w:pPr>
              <w:spacing w:line="276" w:lineRule="auto"/>
              <w:jc w:val="both"/>
              <w:rPr>
                <w:rStyle w:val="a4"/>
                <w:b/>
                <w:i w:val="0"/>
                <w:sz w:val="28"/>
                <w:szCs w:val="28"/>
                <w:lang w:val="ro-RO"/>
              </w:rPr>
            </w:pPr>
            <w:r w:rsidRPr="003932DB">
              <w:rPr>
                <w:rStyle w:val="a4"/>
                <w:b/>
                <w:i w:val="0"/>
                <w:sz w:val="28"/>
                <w:szCs w:val="28"/>
                <w:lang w:val="ro-RO"/>
              </w:rPr>
              <w:t xml:space="preserve">I. </w:t>
            </w:r>
            <w:r w:rsidRPr="003932DB">
              <w:rPr>
                <w:rStyle w:val="a4"/>
                <w:b/>
                <w:sz w:val="28"/>
                <w:szCs w:val="28"/>
                <w:lang w:val="ro-RO"/>
              </w:rPr>
              <w:t>Dispoziţii generale</w:t>
            </w:r>
          </w:p>
          <w:p w:rsidR="008F75A6" w:rsidRPr="003932DB" w:rsidRDefault="008F75A6" w:rsidP="008F75A6">
            <w:pPr>
              <w:pStyle w:val="11"/>
              <w:spacing w:before="120" w:beforeAutospacing="0" w:after="0" w:afterAutospacing="0"/>
              <w:jc w:val="both"/>
              <w:rPr>
                <w:color w:val="000000"/>
                <w:lang w:val="ro-RO"/>
              </w:rPr>
            </w:pPr>
            <w:r w:rsidRPr="003932DB">
              <w:rPr>
                <w:color w:val="000000"/>
                <w:lang w:val="ro-RO"/>
              </w:rPr>
              <w:t>1. Prezentul regulament stabilește condițiile specifice și procedurile detaliate pentru importul de articole de bucătărie din material plastic pe bază de poliamidă și melamină originare sau expediate din Republica Populară Chineză (denumită în continuare China) și din Regiunea Administrativă Specială Hong Kong a Republicii Populare Chineze (denumită în continuare Hong Kong).</w:t>
            </w:r>
          </w:p>
          <w:p w:rsidR="004D50D3" w:rsidRPr="003932DB" w:rsidRDefault="004D50D3" w:rsidP="00DA75E0">
            <w:pPr>
              <w:jc w:val="center"/>
              <w:rPr>
                <w:b/>
                <w:lang w:val="ro-RO"/>
              </w:rPr>
            </w:pPr>
          </w:p>
        </w:tc>
        <w:tc>
          <w:tcPr>
            <w:tcW w:w="1559" w:type="dxa"/>
          </w:tcPr>
          <w:p w:rsidR="004D50D3" w:rsidRPr="003932DB" w:rsidRDefault="003121CC" w:rsidP="003121CC">
            <w:pPr>
              <w:rPr>
                <w:b/>
                <w:lang w:val="ro-RO"/>
              </w:rPr>
            </w:pPr>
            <w:r w:rsidRPr="003932DB">
              <w:rPr>
                <w:b/>
                <w:lang w:val="ro-RO"/>
              </w:rPr>
              <w:t xml:space="preserve">Transpus totalmente </w:t>
            </w:r>
          </w:p>
        </w:tc>
        <w:tc>
          <w:tcPr>
            <w:tcW w:w="1985" w:type="dxa"/>
          </w:tcPr>
          <w:p w:rsidR="004D50D3" w:rsidRPr="003932DB" w:rsidRDefault="004D50D3" w:rsidP="00DA75E0">
            <w:pPr>
              <w:rPr>
                <w:b/>
                <w:lang w:val="ro-RO"/>
              </w:rPr>
            </w:pPr>
          </w:p>
        </w:tc>
        <w:tc>
          <w:tcPr>
            <w:tcW w:w="1559" w:type="dxa"/>
          </w:tcPr>
          <w:p w:rsidR="004D50D3" w:rsidRPr="003932DB" w:rsidRDefault="004D50D3" w:rsidP="00DA75E0">
            <w:pPr>
              <w:jc w:val="center"/>
              <w:rPr>
                <w:b/>
                <w:lang w:val="ro-RO"/>
              </w:rPr>
            </w:pPr>
          </w:p>
        </w:tc>
        <w:tc>
          <w:tcPr>
            <w:tcW w:w="1984" w:type="dxa"/>
          </w:tcPr>
          <w:p w:rsidR="004D50D3" w:rsidRPr="003932DB" w:rsidRDefault="004D50D3" w:rsidP="00DA75E0">
            <w:pPr>
              <w:jc w:val="center"/>
              <w:rPr>
                <w:b/>
                <w:lang w:val="ro-RO"/>
              </w:rPr>
            </w:pPr>
          </w:p>
        </w:tc>
      </w:tr>
      <w:tr w:rsidR="004D50D3" w:rsidRPr="003932DB" w:rsidTr="00DC0624">
        <w:trPr>
          <w:trHeight w:val="1727"/>
        </w:trPr>
        <w:tc>
          <w:tcPr>
            <w:tcW w:w="4253" w:type="dxa"/>
          </w:tcPr>
          <w:p w:rsidR="00AA490C" w:rsidRPr="003932DB" w:rsidRDefault="00AA490C" w:rsidP="00AA490C">
            <w:pPr>
              <w:pStyle w:val="ti-art"/>
              <w:spacing w:before="360" w:beforeAutospacing="0" w:after="120" w:afterAutospacing="0"/>
              <w:jc w:val="center"/>
              <w:rPr>
                <w:i/>
                <w:iCs/>
                <w:color w:val="000000"/>
                <w:lang w:val="ro-RO"/>
              </w:rPr>
            </w:pPr>
            <w:r w:rsidRPr="003932DB">
              <w:rPr>
                <w:i/>
                <w:iCs/>
                <w:color w:val="000000"/>
                <w:lang w:val="ro-RO"/>
              </w:rPr>
              <w:t>Articolul 2</w:t>
            </w:r>
          </w:p>
          <w:p w:rsidR="00AA490C" w:rsidRPr="003932DB" w:rsidRDefault="00AA490C" w:rsidP="00AA490C">
            <w:pPr>
              <w:pStyle w:val="sti-art"/>
              <w:spacing w:before="60" w:beforeAutospacing="0" w:after="120" w:afterAutospacing="0"/>
              <w:jc w:val="center"/>
              <w:rPr>
                <w:b/>
                <w:bCs/>
                <w:color w:val="000000"/>
                <w:lang w:val="ro-RO"/>
              </w:rPr>
            </w:pPr>
            <w:r w:rsidRPr="003932DB">
              <w:rPr>
                <w:b/>
                <w:bCs/>
                <w:color w:val="000000"/>
                <w:lang w:val="ro-RO"/>
              </w:rPr>
              <w:t>Definiții</w:t>
            </w:r>
          </w:p>
          <w:p w:rsidR="00AA490C" w:rsidRPr="003932DB" w:rsidRDefault="00AA490C" w:rsidP="00AA490C">
            <w:pPr>
              <w:pStyle w:val="11"/>
              <w:spacing w:before="120" w:beforeAutospacing="0" w:after="0" w:afterAutospacing="0"/>
              <w:jc w:val="both"/>
              <w:rPr>
                <w:color w:val="000000"/>
                <w:lang w:val="ro-RO"/>
              </w:rPr>
            </w:pPr>
            <w:r w:rsidRPr="003932DB">
              <w:rPr>
                <w:color w:val="000000"/>
                <w:lang w:val="ro-RO"/>
              </w:rPr>
              <w:t>În sensul p</w:t>
            </w:r>
          </w:p>
          <w:tbl>
            <w:tblPr>
              <w:tblW w:w="5000" w:type="pct"/>
              <w:tblCellSpacing w:w="0" w:type="dxa"/>
              <w:tblLayout w:type="fixed"/>
              <w:tblCellMar>
                <w:left w:w="0" w:type="dxa"/>
                <w:right w:w="0" w:type="dxa"/>
              </w:tblCellMar>
              <w:tblLook w:val="04A0" w:firstRow="1" w:lastRow="0" w:firstColumn="1" w:lastColumn="0" w:noHBand="0" w:noVBand="1"/>
            </w:tblPr>
            <w:tblGrid>
              <w:gridCol w:w="126"/>
              <w:gridCol w:w="3911"/>
            </w:tblGrid>
            <w:tr w:rsidR="00AA490C" w:rsidRPr="003932DB" w:rsidTr="00410C66">
              <w:trPr>
                <w:tblCellSpacing w:w="0" w:type="dxa"/>
              </w:trPr>
              <w:tc>
                <w:tcPr>
                  <w:tcW w:w="267"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(a)</w:t>
                  </w:r>
                </w:p>
              </w:tc>
              <w:tc>
                <w:tcPr>
                  <w:tcW w:w="9088"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„articole de bucătărie din material plastic” înseamnă materiale plastice astfel cum au fost descrise la articolul 1 alineatele (1) și (2) din Directiva 2002/72/CE și care se încadrează la codul NC ex 3924 10 00;</w:t>
                  </w:r>
                </w:p>
              </w:tc>
            </w:tr>
          </w:tbl>
          <w:p w:rsidR="00AA490C" w:rsidRPr="003932DB" w:rsidRDefault="00AA490C" w:rsidP="00AA490C">
            <w:pPr>
              <w:rPr>
                <w:vanish/>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132"/>
              <w:gridCol w:w="3905"/>
            </w:tblGrid>
            <w:tr w:rsidR="00AA490C" w:rsidRPr="003932DB" w:rsidTr="00410C66">
              <w:trPr>
                <w:tblCellSpacing w:w="0" w:type="dxa"/>
              </w:trPr>
              <w:tc>
                <w:tcPr>
                  <w:tcW w:w="280"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(b</w:t>
                  </w:r>
                  <w:r w:rsidRPr="003932DB">
                    <w:rPr>
                      <w:rFonts w:ascii="inherit" w:hAnsi="inherit"/>
                      <w:color w:val="000000"/>
                      <w:lang w:val="ro-RO"/>
                    </w:rPr>
                    <w:lastRenderedPageBreak/>
                    <w:t>)</w:t>
                  </w:r>
                </w:p>
              </w:tc>
              <w:tc>
                <w:tcPr>
                  <w:tcW w:w="9075" w:type="dxa"/>
                  <w:hideMark/>
                </w:tcPr>
                <w:p w:rsidR="00AA490C" w:rsidRPr="003932DB" w:rsidRDefault="00AA490C" w:rsidP="00410C66">
                  <w:pPr>
                    <w:pStyle w:val="11"/>
                    <w:spacing w:before="120" w:beforeAutospacing="0" w:after="0" w:afterAutospacing="0"/>
                    <w:jc w:val="both"/>
                    <w:rPr>
                      <w:rFonts w:ascii="inherit" w:hAnsi="inherit"/>
                      <w:b/>
                      <w:color w:val="000000"/>
                      <w:lang w:val="ro-RO"/>
                    </w:rPr>
                  </w:pPr>
                  <w:r w:rsidRPr="003932DB">
                    <w:rPr>
                      <w:rFonts w:ascii="inherit" w:hAnsi="inherit"/>
                      <w:b/>
                      <w:color w:val="000000"/>
                      <w:lang w:val="ro-RO"/>
                    </w:rPr>
                    <w:lastRenderedPageBreak/>
                    <w:t xml:space="preserve">„lot” înseamnă o cantitate de articole de bucătărie din material plastic pe </w:t>
                  </w:r>
                  <w:r w:rsidRPr="003932DB">
                    <w:rPr>
                      <w:rFonts w:ascii="inherit" w:hAnsi="inherit"/>
                      <w:b/>
                      <w:color w:val="000000"/>
                      <w:lang w:val="ro-RO"/>
                    </w:rPr>
                    <w:lastRenderedPageBreak/>
                    <w:t>bază de poliamidă și melamină, care intră sub incidența aceluiași document (acelorași documente), expediată cu același mijloc de transport și originară din aceeași țară terță;</w:t>
                  </w:r>
                </w:p>
              </w:tc>
            </w:tr>
          </w:tbl>
          <w:p w:rsidR="00AA490C" w:rsidRPr="003932DB" w:rsidRDefault="00AA490C" w:rsidP="00AA490C">
            <w:pPr>
              <w:rPr>
                <w:vanish/>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126"/>
              <w:gridCol w:w="3911"/>
            </w:tblGrid>
            <w:tr w:rsidR="00AA490C" w:rsidRPr="003932DB" w:rsidTr="00410C66">
              <w:trPr>
                <w:tblCellSpacing w:w="0" w:type="dxa"/>
              </w:trPr>
              <w:tc>
                <w:tcPr>
                  <w:tcW w:w="267"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(c)</w:t>
                  </w:r>
                </w:p>
              </w:tc>
              <w:tc>
                <w:tcPr>
                  <w:tcW w:w="9088"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„autorități competente” înseamnă autoritățile competente ale statelor membre desemnate în conformitate cu articolul 4 din Regulamentul (CE) nr. 882/2004;</w:t>
                  </w:r>
                </w:p>
              </w:tc>
            </w:tr>
          </w:tbl>
          <w:p w:rsidR="00AA490C" w:rsidRPr="003932DB" w:rsidRDefault="00AA490C" w:rsidP="00AA490C">
            <w:pPr>
              <w:rPr>
                <w:vanish/>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162"/>
              <w:gridCol w:w="3875"/>
            </w:tblGrid>
            <w:tr w:rsidR="00AA490C" w:rsidRPr="003932DB" w:rsidTr="00410C66">
              <w:trPr>
                <w:tblCellSpacing w:w="0" w:type="dxa"/>
              </w:trPr>
              <w:tc>
                <w:tcPr>
                  <w:tcW w:w="351"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(d)</w:t>
                  </w:r>
                </w:p>
              </w:tc>
              <w:tc>
                <w:tcPr>
                  <w:tcW w:w="9004"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„primul punct de intrare” înseamnă punctul de intrare a unui lot în Uniune;</w:t>
                  </w:r>
                </w:p>
              </w:tc>
            </w:tr>
          </w:tbl>
          <w:p w:rsidR="00AA490C" w:rsidRPr="003932DB" w:rsidRDefault="00AA490C" w:rsidP="00AA490C">
            <w:pPr>
              <w:rPr>
                <w:vanish/>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126"/>
              <w:gridCol w:w="3911"/>
            </w:tblGrid>
            <w:tr w:rsidR="00AA490C" w:rsidRPr="003932DB" w:rsidTr="00410C66">
              <w:trPr>
                <w:tblCellSpacing w:w="0" w:type="dxa"/>
              </w:trPr>
              <w:tc>
                <w:tcPr>
                  <w:tcW w:w="267"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(e)</w:t>
                  </w:r>
                </w:p>
              </w:tc>
              <w:tc>
                <w:tcPr>
                  <w:tcW w:w="9088"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„controlul documentelor” înseamnă verificarea documentelor menționate la articolul 3 din prezentul regulament;</w:t>
                  </w:r>
                </w:p>
              </w:tc>
            </w:tr>
          </w:tbl>
          <w:p w:rsidR="00AA490C" w:rsidRPr="003932DB" w:rsidRDefault="00AA490C" w:rsidP="00AA490C">
            <w:pPr>
              <w:rPr>
                <w:vanish/>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114"/>
              <w:gridCol w:w="3923"/>
            </w:tblGrid>
            <w:tr w:rsidR="00AA490C" w:rsidRPr="003932DB" w:rsidTr="00410C66">
              <w:trPr>
                <w:tblCellSpacing w:w="0" w:type="dxa"/>
              </w:trPr>
              <w:tc>
                <w:tcPr>
                  <w:tcW w:w="240"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(f)</w:t>
                  </w:r>
                </w:p>
              </w:tc>
              <w:tc>
                <w:tcPr>
                  <w:tcW w:w="9115"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„controlul identității” înseamnă o inspecție vizuală pentru garantarea faptului că documentele care însoțesc lotul coincid cu conținutul lotului;</w:t>
                  </w:r>
                </w:p>
              </w:tc>
            </w:tr>
          </w:tbl>
          <w:p w:rsidR="00AA490C" w:rsidRPr="003932DB" w:rsidRDefault="00AA490C" w:rsidP="00AA490C">
            <w:pPr>
              <w:rPr>
                <w:vanish/>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132"/>
              <w:gridCol w:w="3905"/>
            </w:tblGrid>
            <w:tr w:rsidR="00AA490C" w:rsidRPr="003932DB" w:rsidTr="00410C66">
              <w:trPr>
                <w:tblCellSpacing w:w="0" w:type="dxa"/>
              </w:trPr>
              <w:tc>
                <w:tcPr>
                  <w:tcW w:w="280"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(g)</w:t>
                  </w:r>
                </w:p>
              </w:tc>
              <w:tc>
                <w:tcPr>
                  <w:tcW w:w="9075"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„control fizic” înseamnă eșantionare în vederea efectuării de analize și teste în laborator, precum și orice alt control necesar pentru verificarea conformității cu cerințele privind eliberarea de AAP și de formaldehidă stabilite în Directiva 2002/72/CE.</w:t>
                  </w:r>
                </w:p>
              </w:tc>
            </w:tr>
          </w:tbl>
          <w:p w:rsidR="004D50D3" w:rsidRPr="003932DB" w:rsidRDefault="004D50D3" w:rsidP="00DA75E0">
            <w:pPr>
              <w:jc w:val="center"/>
              <w:rPr>
                <w:b/>
                <w:lang w:val="ro-RO"/>
              </w:rPr>
            </w:pPr>
          </w:p>
        </w:tc>
        <w:tc>
          <w:tcPr>
            <w:tcW w:w="3544" w:type="dxa"/>
          </w:tcPr>
          <w:p w:rsidR="00AA490C" w:rsidRPr="003932DB" w:rsidRDefault="008F75A6" w:rsidP="008F75A6">
            <w:pPr>
              <w:jc w:val="both"/>
              <w:rPr>
                <w:b/>
                <w:lang w:val="ro-RO"/>
              </w:rPr>
            </w:pPr>
            <w:r w:rsidRPr="003932DB">
              <w:rPr>
                <w:rStyle w:val="a4"/>
                <w:sz w:val="28"/>
                <w:szCs w:val="28"/>
                <w:lang w:val="ro-RO"/>
              </w:rPr>
              <w:lastRenderedPageBreak/>
              <w:t xml:space="preserve">2. În sensul prezentului Regulament, se aplică noțiunile prevăzute în Regulamentul sanitar privind materialele şi obiectele destinate să vină în contact cu produsele alimentare, aprobat prin </w:t>
            </w:r>
            <w:proofErr w:type="spellStart"/>
            <w:r w:rsidRPr="003932DB">
              <w:rPr>
                <w:rStyle w:val="a4"/>
                <w:sz w:val="28"/>
                <w:szCs w:val="28"/>
                <w:lang w:val="ro-RO"/>
              </w:rPr>
              <w:t>Hotărîrea</w:t>
            </w:r>
            <w:proofErr w:type="spellEnd"/>
            <w:r w:rsidRPr="003932DB">
              <w:rPr>
                <w:rStyle w:val="a4"/>
                <w:sz w:val="28"/>
                <w:szCs w:val="28"/>
                <w:lang w:val="ro-RO"/>
              </w:rPr>
              <w:t xml:space="preserve"> Guvernului nr. 308 din 29 aprilie 2011 (Monitorul Oficial al Republicii Moldova, 2011, nr.74-77, </w:t>
            </w:r>
            <w:r w:rsidRPr="003932DB">
              <w:rPr>
                <w:rStyle w:val="a4"/>
                <w:sz w:val="28"/>
                <w:szCs w:val="28"/>
                <w:lang w:val="ro-RO"/>
              </w:rPr>
              <w:lastRenderedPageBreak/>
              <w:t xml:space="preserve">art.352) și Regulamentul sanitar privind materialele şi obiectele din plastic destinate să vină în contact cu produsele alimentare aprobat prin </w:t>
            </w:r>
            <w:proofErr w:type="spellStart"/>
            <w:r w:rsidRPr="003932DB">
              <w:rPr>
                <w:rStyle w:val="a4"/>
                <w:sz w:val="28"/>
                <w:szCs w:val="28"/>
                <w:lang w:val="ro-RO"/>
              </w:rPr>
              <w:t>Hotărîrea</w:t>
            </w:r>
            <w:proofErr w:type="spellEnd"/>
            <w:r w:rsidRPr="003932DB">
              <w:rPr>
                <w:rStyle w:val="a4"/>
                <w:sz w:val="28"/>
                <w:szCs w:val="28"/>
                <w:lang w:val="ro-RO"/>
              </w:rPr>
              <w:t xml:space="preserve"> Guvernului nr. 278 din 24 aprilie 2013 (Monitorul Oficial al Republicii Moldova, 2013, nr.97-103, art.340),</w:t>
            </w:r>
            <w:r w:rsidR="00AA490C" w:rsidRPr="003932DB">
              <w:rPr>
                <w:rStyle w:val="a4"/>
                <w:sz w:val="28"/>
                <w:szCs w:val="28"/>
                <w:lang w:val="ro-RO"/>
              </w:rPr>
              <w:t xml:space="preserve"> inclusiv și definițiile specifice după cum urmează:</w:t>
            </w:r>
          </w:p>
          <w:p w:rsidR="00F07A86" w:rsidRPr="003932DB" w:rsidRDefault="00F07A86" w:rsidP="00F07A86">
            <w:pPr>
              <w:pStyle w:val="a6"/>
              <w:ind w:firstLine="708"/>
              <w:jc w:val="both"/>
              <w:rPr>
                <w:color w:val="000000"/>
                <w:sz w:val="28"/>
                <w:szCs w:val="28"/>
                <w:lang w:val="ro-RO"/>
              </w:rPr>
            </w:pPr>
            <w:r w:rsidRPr="003932DB">
              <w:rPr>
                <w:color w:val="000000"/>
                <w:sz w:val="28"/>
                <w:szCs w:val="28"/>
                <w:lang w:val="ro-RO"/>
              </w:rPr>
              <w:t>1) articole de bucătărie din material plastic - materiale plastice astfel cum au fost descrise la punctul 2 al</w:t>
            </w:r>
            <w:r w:rsidRPr="003932DB">
              <w:rPr>
                <w:rStyle w:val="a4"/>
                <w:sz w:val="28"/>
                <w:szCs w:val="28"/>
                <w:lang w:val="ro-RO"/>
              </w:rPr>
              <w:t xml:space="preserve"> Regulamentului sanitar privind materialele şi obiectele din plastic destinate să vină în contact cu produsele alimentare aprobat prin </w:t>
            </w:r>
            <w:proofErr w:type="spellStart"/>
            <w:r w:rsidRPr="003932DB">
              <w:rPr>
                <w:rStyle w:val="a4"/>
                <w:sz w:val="28"/>
                <w:szCs w:val="28"/>
                <w:lang w:val="ro-RO"/>
              </w:rPr>
              <w:t>Hotărîrea</w:t>
            </w:r>
            <w:proofErr w:type="spellEnd"/>
            <w:r w:rsidRPr="003932DB">
              <w:rPr>
                <w:rStyle w:val="a4"/>
                <w:sz w:val="28"/>
                <w:szCs w:val="28"/>
                <w:lang w:val="ro-RO"/>
              </w:rPr>
              <w:t xml:space="preserve"> Guvernului nr. 278 din 24 aprilie 2013;</w:t>
            </w:r>
          </w:p>
          <w:p w:rsidR="00F07A86" w:rsidRPr="003932DB" w:rsidRDefault="00F07A86" w:rsidP="00F07A86">
            <w:pPr>
              <w:pStyle w:val="a6"/>
              <w:ind w:firstLine="708"/>
              <w:jc w:val="both"/>
              <w:rPr>
                <w:rStyle w:val="a4"/>
                <w:b/>
                <w:i w:val="0"/>
                <w:sz w:val="28"/>
                <w:szCs w:val="28"/>
                <w:lang w:val="ro-RO"/>
              </w:rPr>
            </w:pPr>
            <w:r w:rsidRPr="003932DB">
              <w:rPr>
                <w:color w:val="000000"/>
                <w:sz w:val="28"/>
                <w:szCs w:val="28"/>
                <w:lang w:val="ro-RO"/>
              </w:rPr>
              <w:t xml:space="preserve">2) lot - o cantitate de articole de bucătărie din material plastic pe bază de poliamidă și melamină, care intră sub incidența aceluiași document (acelorași documente), expediat cu </w:t>
            </w:r>
            <w:r w:rsidRPr="003932DB">
              <w:rPr>
                <w:color w:val="000000"/>
                <w:sz w:val="28"/>
                <w:szCs w:val="28"/>
                <w:lang w:val="ro-RO"/>
              </w:rPr>
              <w:lastRenderedPageBreak/>
              <w:t>același mijloc de transport și originar din aceeași țară terță;</w:t>
            </w:r>
          </w:p>
          <w:p w:rsidR="00F07A86" w:rsidRPr="003932DB" w:rsidRDefault="00F07A86" w:rsidP="00F07A86">
            <w:pPr>
              <w:pStyle w:val="a6"/>
              <w:ind w:firstLine="708"/>
              <w:jc w:val="both"/>
              <w:rPr>
                <w:rStyle w:val="docheader"/>
                <w:bCs/>
                <w:color w:val="000000"/>
                <w:sz w:val="28"/>
                <w:szCs w:val="28"/>
                <w:lang w:val="ro-RO"/>
              </w:rPr>
            </w:pPr>
            <w:r w:rsidRPr="003932DB">
              <w:rPr>
                <w:sz w:val="28"/>
                <w:szCs w:val="28"/>
                <w:lang w:val="ro-RO"/>
              </w:rPr>
              <w:t xml:space="preserve">3) autoritatea competentă - autoritatea competentă a Republicii Moldova desemnată în conformitate prevederile art. 10 alin. (2) al Legii nr. 50 din 28 martie 2013 </w:t>
            </w:r>
            <w:r w:rsidRPr="003932DB">
              <w:rPr>
                <w:rStyle w:val="docheader"/>
                <w:bCs/>
                <w:color w:val="000000"/>
                <w:sz w:val="28"/>
                <w:szCs w:val="28"/>
                <w:lang w:val="ro-RO"/>
              </w:rPr>
              <w:t>cu privire la controalele oficiale pentru verificarea</w:t>
            </w:r>
            <w:r w:rsidRPr="003932DB">
              <w:rPr>
                <w:rStyle w:val="apple-converted-space"/>
                <w:bCs/>
                <w:color w:val="000000"/>
                <w:sz w:val="28"/>
                <w:szCs w:val="28"/>
                <w:lang w:val="ro-RO"/>
              </w:rPr>
              <w:t> </w:t>
            </w:r>
            <w:r w:rsidRPr="003932DB">
              <w:rPr>
                <w:rStyle w:val="docheader"/>
                <w:bCs/>
                <w:color w:val="000000"/>
                <w:sz w:val="28"/>
                <w:szCs w:val="28"/>
                <w:lang w:val="ro-RO"/>
              </w:rPr>
              <w:t xml:space="preserve">conformităţii cu legislaţia privind hrana pentru animale şi produsele alimentare şi cu normele de sănătate şi de bunăstare a animalelor (Monitorul Oficial al Republicii Moldova, 2013, nr. 122-124, art. 383)  este Ministerul Sănătății; </w:t>
            </w:r>
          </w:p>
          <w:p w:rsidR="00F07A86" w:rsidRPr="003932DB" w:rsidRDefault="00F07A86" w:rsidP="00F07A86">
            <w:pPr>
              <w:pStyle w:val="a6"/>
              <w:ind w:firstLine="708"/>
              <w:jc w:val="both"/>
              <w:rPr>
                <w:rStyle w:val="a4"/>
                <w:b/>
                <w:i w:val="0"/>
                <w:sz w:val="28"/>
                <w:szCs w:val="28"/>
                <w:lang w:val="ro-RO"/>
              </w:rPr>
            </w:pPr>
            <w:r w:rsidRPr="003932DB">
              <w:rPr>
                <w:color w:val="000000"/>
                <w:sz w:val="28"/>
                <w:szCs w:val="28"/>
                <w:lang w:val="ro-RO"/>
              </w:rPr>
              <w:t>4) primul punct de intrare - punctul de intrare a unui lot în Republica Moldova;</w:t>
            </w:r>
          </w:p>
          <w:p w:rsidR="00F07A86" w:rsidRPr="003932DB" w:rsidRDefault="00F07A86" w:rsidP="00F07A86">
            <w:pPr>
              <w:pStyle w:val="a6"/>
              <w:ind w:firstLine="708"/>
              <w:jc w:val="both"/>
              <w:rPr>
                <w:color w:val="000000"/>
                <w:sz w:val="28"/>
                <w:szCs w:val="28"/>
                <w:lang w:val="ro-RO"/>
              </w:rPr>
            </w:pPr>
            <w:r w:rsidRPr="003932DB">
              <w:rPr>
                <w:color w:val="000000"/>
                <w:sz w:val="28"/>
                <w:szCs w:val="28"/>
                <w:lang w:val="ro-RO"/>
              </w:rPr>
              <w:t xml:space="preserve">5) controlul documentelor - verificarea documentelor menționate la subpunctul 1), </w:t>
            </w:r>
            <w:proofErr w:type="spellStart"/>
            <w:r w:rsidRPr="003932DB">
              <w:rPr>
                <w:color w:val="000000"/>
                <w:sz w:val="28"/>
                <w:szCs w:val="28"/>
                <w:lang w:val="ro-RO"/>
              </w:rPr>
              <w:t>puncul</w:t>
            </w:r>
            <w:proofErr w:type="spellEnd"/>
            <w:r w:rsidRPr="003932DB">
              <w:rPr>
                <w:color w:val="000000"/>
                <w:sz w:val="28"/>
                <w:szCs w:val="28"/>
                <w:lang w:val="ro-RO"/>
              </w:rPr>
              <w:t xml:space="preserve"> 9  din prezentul regulament;</w:t>
            </w:r>
          </w:p>
          <w:p w:rsidR="00F07A86" w:rsidRPr="003932DB" w:rsidRDefault="00F07A86" w:rsidP="00F07A86">
            <w:pPr>
              <w:pStyle w:val="a6"/>
              <w:ind w:firstLine="708"/>
              <w:jc w:val="both"/>
              <w:rPr>
                <w:color w:val="000000"/>
                <w:sz w:val="28"/>
                <w:szCs w:val="28"/>
                <w:lang w:val="ro-RO"/>
              </w:rPr>
            </w:pPr>
            <w:r w:rsidRPr="003932DB">
              <w:rPr>
                <w:color w:val="000000"/>
                <w:sz w:val="28"/>
                <w:szCs w:val="28"/>
                <w:lang w:val="ro-RO"/>
              </w:rPr>
              <w:t xml:space="preserve">6) controlul identității - inspecție vizuală pentru </w:t>
            </w:r>
            <w:r w:rsidRPr="003932DB">
              <w:rPr>
                <w:color w:val="000000"/>
                <w:sz w:val="28"/>
                <w:szCs w:val="28"/>
                <w:lang w:val="ro-RO"/>
              </w:rPr>
              <w:lastRenderedPageBreak/>
              <w:t>garantarea faptului că documentele care însoțesc lotul coincid cu conținutul lotului;</w:t>
            </w:r>
          </w:p>
          <w:p w:rsidR="00F07A86" w:rsidRPr="003932DB" w:rsidRDefault="00F07A86" w:rsidP="00F07A86">
            <w:pPr>
              <w:pStyle w:val="a6"/>
              <w:ind w:firstLine="708"/>
              <w:jc w:val="both"/>
              <w:rPr>
                <w:color w:val="000000"/>
                <w:sz w:val="28"/>
                <w:szCs w:val="28"/>
                <w:lang w:val="ro-RO"/>
              </w:rPr>
            </w:pPr>
            <w:r w:rsidRPr="003932DB">
              <w:rPr>
                <w:color w:val="000000"/>
                <w:sz w:val="28"/>
                <w:szCs w:val="28"/>
                <w:lang w:val="ro-RO"/>
              </w:rPr>
              <w:t xml:space="preserve">7) control fizic - eșantionare în vederea efectuării de analize și teste în laborator, precum și controlul necesar pentru verificarea conformității cu cerințele privind eliberarea de </w:t>
            </w:r>
            <w:r w:rsidRPr="003932DB">
              <w:rPr>
                <w:rFonts w:ascii="inherit" w:hAnsi="inherit"/>
                <w:color w:val="000000"/>
                <w:sz w:val="28"/>
                <w:szCs w:val="28"/>
                <w:lang w:val="ro-RO"/>
              </w:rPr>
              <w:t>amine aromatice primare (AAP) și</w:t>
            </w:r>
            <w:r w:rsidRPr="003932DB">
              <w:rPr>
                <w:color w:val="000000"/>
                <w:sz w:val="28"/>
                <w:szCs w:val="28"/>
                <w:lang w:val="ro-RO"/>
              </w:rPr>
              <w:t xml:space="preserve"> de formaldehidă stabilite de prevederile</w:t>
            </w:r>
            <w:r w:rsidRPr="003932DB">
              <w:rPr>
                <w:rStyle w:val="a4"/>
                <w:sz w:val="28"/>
                <w:szCs w:val="28"/>
                <w:lang w:val="ro-RO"/>
              </w:rPr>
              <w:t xml:space="preserve"> Regulamentului sanitar privind materialele şi obiectele din plastic destinate să vină în contact cu produsele alimentare aprobat prin </w:t>
            </w:r>
            <w:proofErr w:type="spellStart"/>
            <w:r w:rsidRPr="003932DB">
              <w:rPr>
                <w:rStyle w:val="a4"/>
                <w:sz w:val="28"/>
                <w:szCs w:val="28"/>
                <w:lang w:val="ro-RO"/>
              </w:rPr>
              <w:t>Hotărîrea</w:t>
            </w:r>
            <w:proofErr w:type="spellEnd"/>
            <w:r w:rsidRPr="003932DB">
              <w:rPr>
                <w:rStyle w:val="a4"/>
                <w:sz w:val="28"/>
                <w:szCs w:val="28"/>
                <w:lang w:val="ro-RO"/>
              </w:rPr>
              <w:t xml:space="preserve"> Guvernului nr. 278 din 24 aprilie 2013.</w:t>
            </w:r>
          </w:p>
          <w:p w:rsidR="004D50D3" w:rsidRPr="003932DB" w:rsidRDefault="004D50D3" w:rsidP="008F75A6">
            <w:pPr>
              <w:jc w:val="both"/>
              <w:rPr>
                <w:b/>
                <w:lang w:val="ro-RO"/>
              </w:rPr>
            </w:pPr>
          </w:p>
        </w:tc>
        <w:tc>
          <w:tcPr>
            <w:tcW w:w="1559" w:type="dxa"/>
          </w:tcPr>
          <w:p w:rsidR="004D50D3" w:rsidRPr="003932DB" w:rsidRDefault="003121CC" w:rsidP="00DA75E0">
            <w:pPr>
              <w:rPr>
                <w:b/>
                <w:lang w:val="ro-RO"/>
              </w:rPr>
            </w:pPr>
            <w:r w:rsidRPr="003932DB">
              <w:rPr>
                <w:b/>
                <w:lang w:val="ro-RO"/>
              </w:rPr>
              <w:lastRenderedPageBreak/>
              <w:t>Transpus totalmente</w:t>
            </w:r>
          </w:p>
        </w:tc>
        <w:tc>
          <w:tcPr>
            <w:tcW w:w="1985" w:type="dxa"/>
          </w:tcPr>
          <w:p w:rsidR="004D50D3" w:rsidRPr="003932DB" w:rsidRDefault="004D50D3" w:rsidP="00DA75E0">
            <w:pPr>
              <w:rPr>
                <w:b/>
                <w:lang w:val="ro-RO"/>
              </w:rPr>
            </w:pPr>
          </w:p>
        </w:tc>
        <w:tc>
          <w:tcPr>
            <w:tcW w:w="1559" w:type="dxa"/>
          </w:tcPr>
          <w:p w:rsidR="004D50D3" w:rsidRPr="003932DB" w:rsidRDefault="004D50D3" w:rsidP="00DA75E0">
            <w:pPr>
              <w:jc w:val="center"/>
              <w:rPr>
                <w:b/>
                <w:lang w:val="ro-RO"/>
              </w:rPr>
            </w:pPr>
          </w:p>
        </w:tc>
        <w:tc>
          <w:tcPr>
            <w:tcW w:w="1984" w:type="dxa"/>
          </w:tcPr>
          <w:p w:rsidR="004D50D3" w:rsidRPr="003932DB" w:rsidRDefault="004D50D3" w:rsidP="00DA75E0">
            <w:pPr>
              <w:jc w:val="center"/>
              <w:rPr>
                <w:b/>
                <w:lang w:val="ro-RO"/>
              </w:rPr>
            </w:pPr>
          </w:p>
        </w:tc>
      </w:tr>
      <w:tr w:rsidR="001E1240" w:rsidRPr="003932DB" w:rsidTr="00DC0624">
        <w:trPr>
          <w:trHeight w:val="1727"/>
        </w:trPr>
        <w:tc>
          <w:tcPr>
            <w:tcW w:w="4253" w:type="dxa"/>
          </w:tcPr>
          <w:p w:rsidR="00AA490C" w:rsidRPr="003932DB" w:rsidRDefault="00AA490C" w:rsidP="00AA490C">
            <w:pPr>
              <w:pStyle w:val="ti-art"/>
              <w:spacing w:before="360" w:beforeAutospacing="0" w:after="120" w:afterAutospacing="0"/>
              <w:jc w:val="center"/>
              <w:rPr>
                <w:i/>
                <w:iCs/>
                <w:color w:val="000000"/>
                <w:lang w:val="ro-RO"/>
              </w:rPr>
            </w:pPr>
            <w:r w:rsidRPr="003932DB">
              <w:rPr>
                <w:i/>
                <w:iCs/>
                <w:color w:val="000000"/>
                <w:lang w:val="ro-RO"/>
              </w:rPr>
              <w:lastRenderedPageBreak/>
              <w:t>Articolul 3</w:t>
            </w:r>
          </w:p>
          <w:p w:rsidR="00AA490C" w:rsidRPr="003932DB" w:rsidRDefault="00AA490C" w:rsidP="00AA490C">
            <w:pPr>
              <w:pStyle w:val="sti-art"/>
              <w:spacing w:before="60" w:beforeAutospacing="0" w:after="120" w:afterAutospacing="0"/>
              <w:jc w:val="center"/>
              <w:rPr>
                <w:b/>
                <w:bCs/>
                <w:color w:val="000000"/>
                <w:lang w:val="ro-RO"/>
              </w:rPr>
            </w:pPr>
            <w:r w:rsidRPr="003932DB">
              <w:rPr>
                <w:b/>
                <w:bCs/>
                <w:color w:val="000000"/>
                <w:lang w:val="ro-RO"/>
              </w:rPr>
              <w:t>Condiții de import</w:t>
            </w:r>
          </w:p>
          <w:p w:rsidR="00AA490C" w:rsidRPr="003932DB" w:rsidRDefault="00AA490C" w:rsidP="00AA490C">
            <w:pPr>
              <w:pStyle w:val="11"/>
              <w:spacing w:before="120" w:beforeAutospacing="0" w:after="0" w:afterAutospacing="0"/>
              <w:jc w:val="both"/>
              <w:rPr>
                <w:color w:val="000000"/>
                <w:lang w:val="ro-RO"/>
              </w:rPr>
            </w:pPr>
            <w:r w:rsidRPr="003932DB">
              <w:rPr>
                <w:color w:val="000000"/>
                <w:lang w:val="ro-RO"/>
              </w:rPr>
              <w:t xml:space="preserve">(1)   Articolele de bucătărie din material plastic pe bază de poliamidă și melamină originare sau expediate din China și Hong Kong sunt importate în statele membre numai dacă importatorul </w:t>
            </w:r>
            <w:r w:rsidRPr="003932DB">
              <w:rPr>
                <w:color w:val="000000"/>
                <w:lang w:val="ro-RO"/>
              </w:rPr>
              <w:lastRenderedPageBreak/>
              <w:t xml:space="preserve">prezintă autorității competente pentru fiecare lot o declarație, completată în mod corespunzător, prin care să confirme faptul că lotul respectiv îndeplinește cerințele privind eliberarea de amine aromatice primare și de formaldehidă stabilite în partea A </w:t>
            </w:r>
            <w:proofErr w:type="spellStart"/>
            <w:r w:rsidRPr="003932DB">
              <w:rPr>
                <w:color w:val="000000"/>
                <w:lang w:val="ro-RO"/>
              </w:rPr>
              <w:t>a</w:t>
            </w:r>
            <w:proofErr w:type="spellEnd"/>
            <w:r w:rsidRPr="003932DB">
              <w:rPr>
                <w:color w:val="000000"/>
                <w:lang w:val="ro-RO"/>
              </w:rPr>
              <w:t xml:space="preserve"> anexei V și, respectiv, în secțiunea A din anexa II la Directiva 2002/72/CE.</w:t>
            </w:r>
          </w:p>
          <w:p w:rsidR="001E1240" w:rsidRPr="003932DB" w:rsidRDefault="001E1240" w:rsidP="00DA75E0">
            <w:pPr>
              <w:jc w:val="center"/>
              <w:rPr>
                <w:b/>
                <w:lang w:val="ro-RO"/>
              </w:rPr>
            </w:pPr>
          </w:p>
        </w:tc>
        <w:tc>
          <w:tcPr>
            <w:tcW w:w="3544" w:type="dxa"/>
          </w:tcPr>
          <w:p w:rsidR="001E1240" w:rsidRPr="003932DB" w:rsidRDefault="00F07A86" w:rsidP="003932DB">
            <w:pPr>
              <w:pStyle w:val="a6"/>
              <w:ind w:firstLine="709"/>
              <w:jc w:val="both"/>
              <w:rPr>
                <w:b/>
                <w:lang w:val="ro-RO"/>
              </w:rPr>
            </w:pPr>
            <w:r w:rsidRPr="003932DB">
              <w:rPr>
                <w:color w:val="000000"/>
                <w:sz w:val="28"/>
                <w:szCs w:val="28"/>
                <w:lang w:val="ro-RO"/>
              </w:rPr>
              <w:lastRenderedPageBreak/>
              <w:t xml:space="preserve">3. Articolele de bucătărie din material plastic pe bază de poliamidă și melamină originare sau expediate din China și Hong Kong sunt importate în Republica Moldova  numai dacă importatorul prezintă </w:t>
            </w:r>
            <w:r w:rsidRPr="003932DB">
              <w:rPr>
                <w:color w:val="000000"/>
                <w:sz w:val="28"/>
                <w:szCs w:val="28"/>
                <w:lang w:val="ro-RO"/>
              </w:rPr>
              <w:lastRenderedPageBreak/>
              <w:t>Centrului Național de Sănătate Publică, Serviciului Vamal, pentru fiecare lot o declarație, completată în mod corespunzător, prin care să confirme faptul că lotul respectiv îndeplinește cerințele privind eliberarea de amine aromatice primare și de formaldehidă stabilite la punctele 4, 5 și în anexa la prezentul Regulament și, respectiv, în anexa nr. 1 la</w:t>
            </w:r>
            <w:r w:rsidRPr="003932DB">
              <w:rPr>
                <w:rStyle w:val="a4"/>
                <w:sz w:val="28"/>
                <w:szCs w:val="28"/>
                <w:lang w:val="ro-RO"/>
              </w:rPr>
              <w:t xml:space="preserve"> Regulamentul sanitar privind materialele şi obiectele din plastic destinate să vină în contact cu produsele alimentare aprobat prin </w:t>
            </w:r>
            <w:proofErr w:type="spellStart"/>
            <w:r w:rsidRPr="003932DB">
              <w:rPr>
                <w:rStyle w:val="a4"/>
                <w:sz w:val="28"/>
                <w:szCs w:val="28"/>
                <w:lang w:val="ro-RO"/>
              </w:rPr>
              <w:t>Hotărîrea</w:t>
            </w:r>
            <w:proofErr w:type="spellEnd"/>
            <w:r w:rsidRPr="003932DB">
              <w:rPr>
                <w:rStyle w:val="a4"/>
                <w:sz w:val="28"/>
                <w:szCs w:val="28"/>
                <w:lang w:val="ro-RO"/>
              </w:rPr>
              <w:t xml:space="preserve"> Guvernului nr. 278 din 24 aprilie 2013</w:t>
            </w:r>
            <w:r w:rsidRPr="003932DB">
              <w:rPr>
                <w:color w:val="000000"/>
                <w:sz w:val="28"/>
                <w:szCs w:val="28"/>
                <w:lang w:val="ro-RO"/>
              </w:rPr>
              <w:t>.</w:t>
            </w:r>
          </w:p>
        </w:tc>
        <w:tc>
          <w:tcPr>
            <w:tcW w:w="1559" w:type="dxa"/>
          </w:tcPr>
          <w:p w:rsidR="001E1240" w:rsidRPr="003932DB" w:rsidRDefault="003121CC" w:rsidP="00DA75E0">
            <w:pPr>
              <w:rPr>
                <w:b/>
                <w:lang w:val="ro-RO"/>
              </w:rPr>
            </w:pPr>
            <w:r w:rsidRPr="003932DB">
              <w:rPr>
                <w:b/>
                <w:lang w:val="ro-RO"/>
              </w:rPr>
              <w:lastRenderedPageBreak/>
              <w:t>Transpus totalmente</w:t>
            </w:r>
          </w:p>
        </w:tc>
        <w:tc>
          <w:tcPr>
            <w:tcW w:w="1985" w:type="dxa"/>
          </w:tcPr>
          <w:p w:rsidR="001E1240" w:rsidRPr="003932DB" w:rsidRDefault="001E1240" w:rsidP="00DA75E0">
            <w:pPr>
              <w:rPr>
                <w:b/>
                <w:lang w:val="ro-RO"/>
              </w:rPr>
            </w:pPr>
          </w:p>
        </w:tc>
        <w:tc>
          <w:tcPr>
            <w:tcW w:w="1559" w:type="dxa"/>
          </w:tcPr>
          <w:p w:rsidR="001E1240" w:rsidRPr="003932DB" w:rsidRDefault="00B869D3" w:rsidP="00DA75E0">
            <w:pPr>
              <w:jc w:val="center"/>
              <w:rPr>
                <w:b/>
                <w:lang w:val="ro-RO"/>
              </w:rPr>
            </w:pPr>
            <w:r w:rsidRPr="003932DB">
              <w:rPr>
                <w:b/>
                <w:lang w:val="ro-RO"/>
              </w:rPr>
              <w:t>Ministerul Sănătății</w:t>
            </w:r>
          </w:p>
        </w:tc>
        <w:tc>
          <w:tcPr>
            <w:tcW w:w="1984" w:type="dxa"/>
          </w:tcPr>
          <w:p w:rsidR="001E1240" w:rsidRPr="003932DB" w:rsidRDefault="001E1240" w:rsidP="00DA75E0">
            <w:pPr>
              <w:jc w:val="center"/>
              <w:rPr>
                <w:b/>
                <w:lang w:val="ro-RO"/>
              </w:rPr>
            </w:pPr>
          </w:p>
        </w:tc>
      </w:tr>
      <w:tr w:rsidR="00AA490C" w:rsidRPr="003932DB" w:rsidTr="00DC0624">
        <w:trPr>
          <w:trHeight w:val="1727"/>
        </w:trPr>
        <w:tc>
          <w:tcPr>
            <w:tcW w:w="4253" w:type="dxa"/>
          </w:tcPr>
          <w:p w:rsidR="00AA490C" w:rsidRPr="003932DB" w:rsidRDefault="00AA490C" w:rsidP="00AA490C">
            <w:pPr>
              <w:pStyle w:val="11"/>
              <w:spacing w:before="120" w:beforeAutospacing="0" w:after="0" w:afterAutospacing="0"/>
              <w:jc w:val="both"/>
              <w:rPr>
                <w:color w:val="000000"/>
                <w:lang w:val="ro-RO"/>
              </w:rPr>
            </w:pPr>
            <w:r w:rsidRPr="003932DB">
              <w:rPr>
                <w:color w:val="000000"/>
                <w:lang w:val="ro-RO"/>
              </w:rPr>
              <w:lastRenderedPageBreak/>
              <w:t>(2)   Un model al declarației menționate la alineatul (1) este prezentat în anexa la prezentul regulament. Declarația se întocmește în limba oficială sau într-una dintre limbile oficiale ale statului membru în care este importat lotul.</w:t>
            </w:r>
          </w:p>
          <w:p w:rsidR="00AA490C" w:rsidRPr="003932DB" w:rsidRDefault="00AA490C" w:rsidP="00DA75E0">
            <w:pPr>
              <w:jc w:val="center"/>
              <w:rPr>
                <w:b/>
                <w:lang w:val="ro-RO"/>
              </w:rPr>
            </w:pPr>
          </w:p>
        </w:tc>
        <w:tc>
          <w:tcPr>
            <w:tcW w:w="3544" w:type="dxa"/>
          </w:tcPr>
          <w:p w:rsidR="00F07A86" w:rsidRPr="003932DB" w:rsidRDefault="00F07A86" w:rsidP="00F07A86">
            <w:pPr>
              <w:pStyle w:val="a6"/>
              <w:ind w:firstLine="709"/>
              <w:jc w:val="both"/>
              <w:rPr>
                <w:color w:val="000000"/>
                <w:sz w:val="28"/>
                <w:szCs w:val="28"/>
                <w:lang w:val="ro-RO"/>
              </w:rPr>
            </w:pPr>
            <w:r w:rsidRPr="003932DB">
              <w:rPr>
                <w:sz w:val="28"/>
                <w:szCs w:val="28"/>
                <w:lang w:val="ro-RO"/>
              </w:rPr>
              <w:t>4.</w:t>
            </w:r>
            <w:r w:rsidRPr="003932DB">
              <w:rPr>
                <w:color w:val="000000"/>
                <w:sz w:val="28"/>
                <w:szCs w:val="28"/>
                <w:lang w:val="ro-RO"/>
              </w:rPr>
              <w:t xml:space="preserve"> Declarația se întocmește în limba română  sau engleză. </w:t>
            </w:r>
          </w:p>
          <w:p w:rsidR="00AA490C" w:rsidRPr="003932DB" w:rsidRDefault="00AA490C" w:rsidP="00F07A86">
            <w:pPr>
              <w:pStyle w:val="11"/>
              <w:spacing w:before="120" w:beforeAutospacing="0" w:after="0" w:afterAutospacing="0"/>
              <w:jc w:val="both"/>
              <w:rPr>
                <w:b/>
                <w:lang w:val="ro-RO"/>
              </w:rPr>
            </w:pPr>
          </w:p>
        </w:tc>
        <w:tc>
          <w:tcPr>
            <w:tcW w:w="1559" w:type="dxa"/>
          </w:tcPr>
          <w:p w:rsidR="00AA490C" w:rsidRPr="003932DB" w:rsidRDefault="003121CC" w:rsidP="00DA75E0">
            <w:pPr>
              <w:rPr>
                <w:b/>
                <w:lang w:val="ro-RO"/>
              </w:rPr>
            </w:pPr>
            <w:r w:rsidRPr="003932DB">
              <w:rPr>
                <w:b/>
                <w:lang w:val="ro-RO"/>
              </w:rPr>
              <w:t>Transpus totalmente</w:t>
            </w:r>
          </w:p>
        </w:tc>
        <w:tc>
          <w:tcPr>
            <w:tcW w:w="1985" w:type="dxa"/>
          </w:tcPr>
          <w:p w:rsidR="00AA490C" w:rsidRPr="003932DB" w:rsidRDefault="00AA490C" w:rsidP="00DA75E0">
            <w:pPr>
              <w:rPr>
                <w:b/>
                <w:lang w:val="ro-RO"/>
              </w:rPr>
            </w:pPr>
          </w:p>
        </w:tc>
        <w:tc>
          <w:tcPr>
            <w:tcW w:w="1559" w:type="dxa"/>
          </w:tcPr>
          <w:p w:rsidR="00AA490C" w:rsidRPr="003932DB" w:rsidRDefault="00AA490C" w:rsidP="00DA75E0">
            <w:pPr>
              <w:jc w:val="center"/>
              <w:rPr>
                <w:b/>
                <w:lang w:val="ro-RO"/>
              </w:rPr>
            </w:pPr>
          </w:p>
        </w:tc>
        <w:tc>
          <w:tcPr>
            <w:tcW w:w="1984" w:type="dxa"/>
          </w:tcPr>
          <w:p w:rsidR="00AA490C" w:rsidRPr="003932DB" w:rsidRDefault="00AA490C" w:rsidP="00DA75E0">
            <w:pPr>
              <w:jc w:val="center"/>
              <w:rPr>
                <w:b/>
                <w:lang w:val="ro-RO"/>
              </w:rPr>
            </w:pPr>
          </w:p>
        </w:tc>
      </w:tr>
      <w:tr w:rsidR="008F75A6" w:rsidRPr="003932DB" w:rsidTr="00DC0624">
        <w:trPr>
          <w:trHeight w:val="1727"/>
        </w:trPr>
        <w:tc>
          <w:tcPr>
            <w:tcW w:w="4253" w:type="dxa"/>
          </w:tcPr>
          <w:p w:rsidR="00AA490C" w:rsidRPr="003932DB" w:rsidRDefault="00AA490C" w:rsidP="00AA490C">
            <w:pPr>
              <w:pStyle w:val="11"/>
              <w:spacing w:before="120" w:beforeAutospacing="0" w:after="0" w:afterAutospacing="0"/>
              <w:jc w:val="both"/>
              <w:rPr>
                <w:color w:val="000000"/>
                <w:lang w:val="ro-RO"/>
              </w:rPr>
            </w:pPr>
            <w:r w:rsidRPr="003932DB">
              <w:rPr>
                <w:color w:val="000000"/>
                <w:lang w:val="ro-RO"/>
              </w:rPr>
              <w:lastRenderedPageBreak/>
              <w:t>(3)   Declarația menționată la alineatul (1) este însoțită de un raport al laboratorului în care sunt specificate:</w:t>
            </w:r>
          </w:p>
          <w:tbl>
            <w:tblPr>
              <w:tblW w:w="5000" w:type="pct"/>
              <w:tblCellSpacing w:w="0" w:type="dxa"/>
              <w:tblLayout w:type="fixed"/>
              <w:tblCellMar>
                <w:left w:w="0" w:type="dxa"/>
                <w:right w:w="0" w:type="dxa"/>
              </w:tblCellMar>
              <w:tblLook w:val="04A0" w:firstRow="1" w:lastRow="0" w:firstColumn="1" w:lastColumn="0" w:noHBand="0" w:noVBand="1"/>
            </w:tblPr>
            <w:tblGrid>
              <w:gridCol w:w="126"/>
              <w:gridCol w:w="3911"/>
            </w:tblGrid>
            <w:tr w:rsidR="00AA490C" w:rsidRPr="003932DB" w:rsidTr="00410C66">
              <w:trPr>
                <w:tblCellSpacing w:w="0" w:type="dxa"/>
              </w:trPr>
              <w:tc>
                <w:tcPr>
                  <w:tcW w:w="267"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(a)</w:t>
                  </w:r>
                </w:p>
              </w:tc>
              <w:tc>
                <w:tcPr>
                  <w:tcW w:w="9088"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în ceea ce privește articolele de bucătărie pe bază de poliamidă, rezultatele analizelor care demonstrează că acestea nu eliberează în alimente sau în simulanții alimentari amine aromatice primare într-o cantitate detectabilă. Limita de detectare se aplică sumei aminelor aromatice primare. În scopul analizei, limita de detectare pentru aminele aromatice primare este stabilită la 0,01 mg/kg din alimente sau simulanți alimentari;</w:t>
                  </w:r>
                </w:p>
              </w:tc>
            </w:tr>
          </w:tbl>
          <w:p w:rsidR="00AA490C" w:rsidRPr="003932DB" w:rsidRDefault="00AA490C" w:rsidP="00AA490C">
            <w:pPr>
              <w:rPr>
                <w:vanish/>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132"/>
              <w:gridCol w:w="3905"/>
            </w:tblGrid>
            <w:tr w:rsidR="00AA490C" w:rsidRPr="003932DB" w:rsidTr="00410C66">
              <w:trPr>
                <w:tblCellSpacing w:w="0" w:type="dxa"/>
              </w:trPr>
              <w:tc>
                <w:tcPr>
                  <w:tcW w:w="280"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(b)</w:t>
                  </w:r>
                </w:p>
              </w:tc>
              <w:tc>
                <w:tcPr>
                  <w:tcW w:w="9075" w:type="dxa"/>
                  <w:hideMark/>
                </w:tcPr>
                <w:p w:rsidR="00AA490C" w:rsidRPr="003932DB" w:rsidRDefault="00AA490C"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în ceea ce privește articolele de bucătărie pe bază de melamină, rezultatele analizelor care demonstrează că acestea nu eliberează în alimente sau în simulanții alimentari formaldehidă într-o cantitate care depășește 15 mg/kg din alimente.</w:t>
                  </w:r>
                </w:p>
              </w:tc>
            </w:tr>
          </w:tbl>
          <w:p w:rsidR="008F75A6" w:rsidRPr="003932DB" w:rsidRDefault="008F75A6" w:rsidP="00DA75E0">
            <w:pPr>
              <w:jc w:val="center"/>
              <w:rPr>
                <w:b/>
                <w:lang w:val="ro-RO"/>
              </w:rPr>
            </w:pPr>
          </w:p>
        </w:tc>
        <w:tc>
          <w:tcPr>
            <w:tcW w:w="3544" w:type="dxa"/>
          </w:tcPr>
          <w:p w:rsidR="00F07A86" w:rsidRPr="003932DB" w:rsidRDefault="00F07A86" w:rsidP="00F07A86">
            <w:pPr>
              <w:pStyle w:val="a6"/>
              <w:ind w:firstLine="709"/>
              <w:jc w:val="both"/>
              <w:rPr>
                <w:color w:val="000000"/>
                <w:sz w:val="28"/>
                <w:szCs w:val="28"/>
                <w:lang w:val="ro-RO"/>
              </w:rPr>
            </w:pPr>
            <w:r w:rsidRPr="003932DB">
              <w:rPr>
                <w:color w:val="000000"/>
                <w:sz w:val="28"/>
                <w:szCs w:val="28"/>
                <w:lang w:val="ro-RO"/>
              </w:rPr>
              <w:t xml:space="preserve">5.   Declarația menționată la </w:t>
            </w:r>
            <w:proofErr w:type="spellStart"/>
            <w:r w:rsidRPr="003932DB">
              <w:rPr>
                <w:color w:val="000000"/>
                <w:sz w:val="28"/>
                <w:szCs w:val="28"/>
                <w:lang w:val="ro-RO"/>
              </w:rPr>
              <w:t>la</w:t>
            </w:r>
            <w:proofErr w:type="spellEnd"/>
            <w:r w:rsidRPr="003932DB">
              <w:rPr>
                <w:color w:val="000000"/>
                <w:sz w:val="28"/>
                <w:szCs w:val="28"/>
                <w:lang w:val="ro-RO"/>
              </w:rPr>
              <w:t xml:space="preserve"> punctul 3 al prezentului Regulament este însoțită de un raport de încercări al laboratorului în care sunt specificate: </w:t>
            </w:r>
          </w:p>
          <w:p w:rsidR="00F07A86" w:rsidRPr="003932DB" w:rsidRDefault="00F07A86" w:rsidP="00F07A86">
            <w:pPr>
              <w:pStyle w:val="a6"/>
              <w:ind w:firstLine="709"/>
              <w:jc w:val="both"/>
              <w:rPr>
                <w:rStyle w:val="a4"/>
                <w:b/>
                <w:i w:val="0"/>
                <w:sz w:val="28"/>
                <w:szCs w:val="28"/>
                <w:lang w:val="ro-RO"/>
              </w:rPr>
            </w:pPr>
            <w:r w:rsidRPr="003932DB">
              <w:rPr>
                <w:color w:val="000000"/>
                <w:sz w:val="28"/>
                <w:szCs w:val="28"/>
                <w:lang w:val="ro-RO"/>
              </w:rPr>
              <w:t>1) în ceea ce privește articolele de bucătărie pe bază de poliamidă, rezultatele analizelor care demonstrează că acestea nu eliberează în alimente sau în simulanții alimentari amine aromatice primare într-o cantitate detectabilă; limita de detectare se aplică sumei aminelor aromatice primare; în scopul analizei, limita de detectare pentru aminele aromatice primare este stabilită la 0,01 mg/kg din alimente sau simulanți alimentari;</w:t>
            </w:r>
          </w:p>
          <w:p w:rsidR="008F75A6" w:rsidRPr="003932DB" w:rsidRDefault="00F07A86" w:rsidP="003932DB">
            <w:pPr>
              <w:pStyle w:val="a6"/>
              <w:ind w:firstLine="709"/>
              <w:jc w:val="both"/>
              <w:rPr>
                <w:b/>
                <w:lang w:val="ro-RO"/>
              </w:rPr>
            </w:pPr>
            <w:r w:rsidRPr="003932DB">
              <w:rPr>
                <w:color w:val="000000"/>
                <w:sz w:val="28"/>
                <w:szCs w:val="28"/>
                <w:lang w:val="ro-RO"/>
              </w:rPr>
              <w:t xml:space="preserve">2) în ceea ce privește articolele de bucătărie pe bază de melamină, rezultatele analizelor care demonstrează că acestea nu eliberează în alimente sau în simulanții alimentari formaldehidă într-o cantitate care depășește </w:t>
            </w:r>
            <w:r w:rsidRPr="003932DB">
              <w:rPr>
                <w:color w:val="000000"/>
                <w:sz w:val="28"/>
                <w:szCs w:val="28"/>
                <w:lang w:val="ro-RO"/>
              </w:rPr>
              <w:lastRenderedPageBreak/>
              <w:t>15 mg/kg din alimente.</w:t>
            </w:r>
          </w:p>
        </w:tc>
        <w:tc>
          <w:tcPr>
            <w:tcW w:w="1559" w:type="dxa"/>
          </w:tcPr>
          <w:p w:rsidR="008F75A6" w:rsidRPr="003932DB" w:rsidRDefault="003121CC" w:rsidP="00DA75E0">
            <w:pPr>
              <w:rPr>
                <w:b/>
                <w:lang w:val="ro-RO"/>
              </w:rPr>
            </w:pPr>
            <w:r w:rsidRPr="003932DB">
              <w:rPr>
                <w:b/>
                <w:lang w:val="ro-RO"/>
              </w:rPr>
              <w:lastRenderedPageBreak/>
              <w:t>Transpus totalmente</w:t>
            </w:r>
          </w:p>
        </w:tc>
        <w:tc>
          <w:tcPr>
            <w:tcW w:w="1985" w:type="dxa"/>
          </w:tcPr>
          <w:p w:rsidR="008F75A6" w:rsidRPr="003932DB" w:rsidRDefault="008F75A6" w:rsidP="00DA75E0">
            <w:pPr>
              <w:rPr>
                <w:b/>
                <w:lang w:val="ro-RO"/>
              </w:rPr>
            </w:pPr>
          </w:p>
        </w:tc>
        <w:tc>
          <w:tcPr>
            <w:tcW w:w="1559" w:type="dxa"/>
          </w:tcPr>
          <w:p w:rsidR="008F75A6" w:rsidRPr="003932DB" w:rsidRDefault="008F75A6" w:rsidP="00DA75E0">
            <w:pPr>
              <w:jc w:val="center"/>
              <w:rPr>
                <w:b/>
                <w:lang w:val="ro-RO"/>
              </w:rPr>
            </w:pPr>
          </w:p>
        </w:tc>
        <w:tc>
          <w:tcPr>
            <w:tcW w:w="1984" w:type="dxa"/>
          </w:tcPr>
          <w:p w:rsidR="008F75A6" w:rsidRPr="003932DB" w:rsidRDefault="008F75A6" w:rsidP="00DA75E0">
            <w:pPr>
              <w:jc w:val="center"/>
              <w:rPr>
                <w:b/>
                <w:lang w:val="ro-RO"/>
              </w:rPr>
            </w:pPr>
          </w:p>
        </w:tc>
      </w:tr>
      <w:tr w:rsidR="00AA490C" w:rsidRPr="003932DB" w:rsidTr="00DC0624">
        <w:trPr>
          <w:trHeight w:val="1727"/>
        </w:trPr>
        <w:tc>
          <w:tcPr>
            <w:tcW w:w="4253" w:type="dxa"/>
          </w:tcPr>
          <w:p w:rsidR="00AA490C" w:rsidRPr="003932DB" w:rsidRDefault="00AA490C" w:rsidP="00AA490C">
            <w:pPr>
              <w:pStyle w:val="11"/>
              <w:spacing w:before="120" w:beforeAutospacing="0" w:after="0" w:afterAutospacing="0"/>
              <w:jc w:val="both"/>
              <w:rPr>
                <w:color w:val="000000"/>
                <w:lang w:val="ro-RO"/>
              </w:rPr>
            </w:pPr>
            <w:r w:rsidRPr="003932DB">
              <w:rPr>
                <w:color w:val="000000"/>
                <w:lang w:val="ro-RO"/>
              </w:rPr>
              <w:lastRenderedPageBreak/>
              <w:t>(4)   Autoritatea competentă specifică în declarația prevăzută în anexa la prezentul regulament dacă bunurile sunt acceptabile sau nu pentru a fi puse în liberă circulație, în funcție de îndeplinirea termenilor și a condițiilor prevăzute în Directiva 2002/72/CE, astfel cum se prevede la alineatul (1).</w:t>
            </w:r>
          </w:p>
          <w:p w:rsidR="00AA490C" w:rsidRPr="003932DB" w:rsidRDefault="00AA490C" w:rsidP="00AA490C">
            <w:pPr>
              <w:pStyle w:val="11"/>
              <w:spacing w:before="120" w:beforeAutospacing="0" w:after="0" w:afterAutospacing="0"/>
              <w:jc w:val="both"/>
              <w:rPr>
                <w:color w:val="000000"/>
                <w:lang w:val="ro-RO"/>
              </w:rPr>
            </w:pPr>
          </w:p>
        </w:tc>
        <w:tc>
          <w:tcPr>
            <w:tcW w:w="3544" w:type="dxa"/>
          </w:tcPr>
          <w:p w:rsidR="003121CC" w:rsidRPr="003932DB" w:rsidRDefault="00AA490C" w:rsidP="003121CC">
            <w:pPr>
              <w:pStyle w:val="a6"/>
              <w:ind w:firstLine="709"/>
              <w:jc w:val="both"/>
              <w:rPr>
                <w:color w:val="000000"/>
                <w:sz w:val="28"/>
                <w:szCs w:val="28"/>
                <w:lang w:val="ro-RO"/>
              </w:rPr>
            </w:pPr>
            <w:r w:rsidRPr="003932DB">
              <w:rPr>
                <w:color w:val="000000"/>
                <w:lang w:val="ro-RO"/>
              </w:rPr>
              <w:t xml:space="preserve"> </w:t>
            </w:r>
            <w:r w:rsidR="003121CC" w:rsidRPr="003932DB">
              <w:rPr>
                <w:color w:val="000000"/>
                <w:sz w:val="28"/>
                <w:szCs w:val="28"/>
                <w:lang w:val="ro-RO"/>
              </w:rPr>
              <w:t xml:space="preserve">6.  Autoritatea competentă specifică în declarația prevăzută la punctul 3 al prezentului Regulament dacă bunurile sunt acceptabile sau nu pentru a fi puse în liberă circulație, în funcție de îndeplinirea termenilor și a condițiilor prevăzute în </w:t>
            </w:r>
            <w:r w:rsidR="003121CC" w:rsidRPr="003932DB">
              <w:rPr>
                <w:rStyle w:val="a4"/>
                <w:sz w:val="28"/>
                <w:szCs w:val="28"/>
                <w:lang w:val="ro-RO"/>
              </w:rPr>
              <w:t xml:space="preserve">Regulamentul sanitar privind materialele şi obiectele din plastic destinate să vină în contact cu produsele alimentare aprobat prin </w:t>
            </w:r>
            <w:proofErr w:type="spellStart"/>
            <w:r w:rsidR="003121CC" w:rsidRPr="003932DB">
              <w:rPr>
                <w:rStyle w:val="a4"/>
                <w:sz w:val="28"/>
                <w:szCs w:val="28"/>
                <w:lang w:val="ro-RO"/>
              </w:rPr>
              <w:t>Hotărîrea</w:t>
            </w:r>
            <w:proofErr w:type="spellEnd"/>
            <w:r w:rsidR="003121CC" w:rsidRPr="003932DB">
              <w:rPr>
                <w:rStyle w:val="a4"/>
                <w:sz w:val="28"/>
                <w:szCs w:val="28"/>
                <w:lang w:val="ro-RO"/>
              </w:rPr>
              <w:t xml:space="preserve"> Guvernului nr. 278 din 24 aprilie 2013</w:t>
            </w:r>
            <w:r w:rsidR="003121CC" w:rsidRPr="003932DB">
              <w:rPr>
                <w:color w:val="000000"/>
                <w:sz w:val="28"/>
                <w:szCs w:val="28"/>
                <w:lang w:val="ro-RO"/>
              </w:rPr>
              <w:t>.</w:t>
            </w:r>
          </w:p>
          <w:p w:rsidR="00AA490C" w:rsidRPr="003932DB" w:rsidRDefault="00AA490C" w:rsidP="00AA490C">
            <w:pPr>
              <w:pStyle w:val="11"/>
              <w:spacing w:before="120" w:beforeAutospacing="0" w:after="0" w:afterAutospacing="0"/>
              <w:jc w:val="both"/>
              <w:rPr>
                <w:color w:val="000000"/>
                <w:lang w:val="ro-RO"/>
              </w:rPr>
            </w:pPr>
          </w:p>
        </w:tc>
        <w:tc>
          <w:tcPr>
            <w:tcW w:w="1559" w:type="dxa"/>
          </w:tcPr>
          <w:p w:rsidR="00AA490C" w:rsidRPr="003932DB" w:rsidRDefault="003121CC" w:rsidP="00DA75E0">
            <w:pPr>
              <w:rPr>
                <w:b/>
                <w:lang w:val="ro-RO"/>
              </w:rPr>
            </w:pPr>
            <w:r w:rsidRPr="003932DB">
              <w:rPr>
                <w:b/>
                <w:lang w:val="ro-RO"/>
              </w:rPr>
              <w:t>Transpus totalmente</w:t>
            </w:r>
          </w:p>
        </w:tc>
        <w:tc>
          <w:tcPr>
            <w:tcW w:w="1985" w:type="dxa"/>
          </w:tcPr>
          <w:p w:rsidR="00AA490C" w:rsidRPr="003932DB" w:rsidRDefault="00AA490C" w:rsidP="00DA75E0">
            <w:pPr>
              <w:rPr>
                <w:b/>
                <w:lang w:val="ro-RO"/>
              </w:rPr>
            </w:pPr>
          </w:p>
        </w:tc>
        <w:tc>
          <w:tcPr>
            <w:tcW w:w="1559" w:type="dxa"/>
          </w:tcPr>
          <w:p w:rsidR="00AA490C" w:rsidRPr="003932DB" w:rsidRDefault="00AA490C" w:rsidP="00DA75E0">
            <w:pPr>
              <w:jc w:val="center"/>
              <w:rPr>
                <w:b/>
                <w:lang w:val="ro-RO"/>
              </w:rPr>
            </w:pPr>
          </w:p>
        </w:tc>
        <w:tc>
          <w:tcPr>
            <w:tcW w:w="1984" w:type="dxa"/>
          </w:tcPr>
          <w:p w:rsidR="00AA490C" w:rsidRPr="003932DB" w:rsidRDefault="00AA490C" w:rsidP="00DA75E0">
            <w:pPr>
              <w:jc w:val="center"/>
              <w:rPr>
                <w:b/>
                <w:lang w:val="ro-RO"/>
              </w:rPr>
            </w:pPr>
          </w:p>
        </w:tc>
      </w:tr>
      <w:tr w:rsidR="00AA490C" w:rsidRPr="003932DB" w:rsidTr="00DC0624">
        <w:trPr>
          <w:trHeight w:val="1727"/>
        </w:trPr>
        <w:tc>
          <w:tcPr>
            <w:tcW w:w="4253" w:type="dxa"/>
          </w:tcPr>
          <w:p w:rsidR="00AA490C" w:rsidRPr="003932DB" w:rsidRDefault="00AA490C" w:rsidP="00AA490C">
            <w:pPr>
              <w:pStyle w:val="ti-art"/>
              <w:spacing w:before="360" w:beforeAutospacing="0" w:after="120" w:afterAutospacing="0"/>
              <w:jc w:val="center"/>
              <w:rPr>
                <w:i/>
                <w:iCs/>
                <w:color w:val="000000"/>
                <w:lang w:val="ro-RO"/>
              </w:rPr>
            </w:pPr>
            <w:r w:rsidRPr="003932DB">
              <w:rPr>
                <w:i/>
                <w:iCs/>
                <w:color w:val="000000"/>
                <w:lang w:val="ro-RO"/>
              </w:rPr>
              <w:t>Articolul 4</w:t>
            </w:r>
          </w:p>
          <w:p w:rsidR="00AA490C" w:rsidRPr="003932DB" w:rsidRDefault="00AA490C" w:rsidP="00AA490C">
            <w:pPr>
              <w:pStyle w:val="sti-art"/>
              <w:spacing w:before="60" w:beforeAutospacing="0" w:after="120" w:afterAutospacing="0"/>
              <w:jc w:val="center"/>
              <w:rPr>
                <w:b/>
                <w:bCs/>
                <w:color w:val="000000"/>
                <w:lang w:val="ro-RO"/>
              </w:rPr>
            </w:pPr>
            <w:r w:rsidRPr="003932DB">
              <w:rPr>
                <w:b/>
                <w:bCs/>
                <w:color w:val="000000"/>
                <w:lang w:val="ro-RO"/>
              </w:rPr>
              <w:t>Notificarea în prealabil a loturilor</w:t>
            </w:r>
          </w:p>
          <w:p w:rsidR="00AA490C" w:rsidRPr="003932DB" w:rsidRDefault="00AA490C" w:rsidP="00AA490C">
            <w:pPr>
              <w:pStyle w:val="11"/>
              <w:spacing w:before="120" w:beforeAutospacing="0" w:after="0" w:afterAutospacing="0"/>
              <w:jc w:val="both"/>
              <w:rPr>
                <w:color w:val="000000"/>
                <w:lang w:val="ro-RO"/>
              </w:rPr>
            </w:pPr>
            <w:r w:rsidRPr="003932DB">
              <w:rPr>
                <w:color w:val="000000"/>
                <w:lang w:val="ro-RO"/>
              </w:rPr>
              <w:t xml:space="preserve">Importatorii sau reprezentanții acestora notifică autorității competente la primul punct de intrare și cu cel puțin două zile </w:t>
            </w:r>
            <w:r w:rsidRPr="003932DB">
              <w:rPr>
                <w:color w:val="000000"/>
                <w:lang w:val="ro-RO"/>
              </w:rPr>
              <w:lastRenderedPageBreak/>
              <w:t>lucrătoare în prealabil data și ora estimată a sosirii loturilor originare sau expediate din China și Hong Kong.</w:t>
            </w:r>
          </w:p>
          <w:p w:rsidR="00AA490C" w:rsidRPr="003932DB" w:rsidRDefault="00AA490C" w:rsidP="00AA490C">
            <w:pPr>
              <w:pStyle w:val="11"/>
              <w:spacing w:before="120" w:beforeAutospacing="0" w:after="0" w:afterAutospacing="0"/>
              <w:jc w:val="both"/>
              <w:rPr>
                <w:color w:val="000000"/>
                <w:lang w:val="ro-RO"/>
              </w:rPr>
            </w:pPr>
          </w:p>
        </w:tc>
        <w:tc>
          <w:tcPr>
            <w:tcW w:w="3544" w:type="dxa"/>
          </w:tcPr>
          <w:p w:rsidR="003121CC" w:rsidRPr="003932DB" w:rsidRDefault="003121CC" w:rsidP="003121CC">
            <w:pPr>
              <w:pStyle w:val="a6"/>
              <w:ind w:firstLine="709"/>
              <w:jc w:val="center"/>
              <w:rPr>
                <w:b/>
                <w:color w:val="000000"/>
                <w:sz w:val="28"/>
                <w:szCs w:val="28"/>
                <w:lang w:val="ro-RO"/>
              </w:rPr>
            </w:pPr>
            <w:r w:rsidRPr="003932DB">
              <w:rPr>
                <w:b/>
                <w:color w:val="000000"/>
                <w:sz w:val="28"/>
                <w:szCs w:val="28"/>
                <w:lang w:val="ro-RO"/>
              </w:rPr>
              <w:lastRenderedPageBreak/>
              <w:t>III. Notificarea</w:t>
            </w:r>
          </w:p>
          <w:p w:rsidR="003121CC" w:rsidRPr="003932DB" w:rsidRDefault="003121CC" w:rsidP="003121CC">
            <w:pPr>
              <w:pStyle w:val="a6"/>
              <w:jc w:val="both"/>
              <w:rPr>
                <w:color w:val="000000"/>
                <w:sz w:val="28"/>
                <w:szCs w:val="28"/>
                <w:lang w:val="ro-RO"/>
              </w:rPr>
            </w:pPr>
            <w:r w:rsidRPr="003932DB">
              <w:rPr>
                <w:color w:val="000000"/>
                <w:sz w:val="28"/>
                <w:szCs w:val="28"/>
                <w:lang w:val="ro-RO"/>
              </w:rPr>
              <w:t xml:space="preserve">7. Importatorii sau reprezentanții acestora notifică </w:t>
            </w:r>
            <w:r w:rsidRPr="003932DB">
              <w:rPr>
                <w:bCs/>
                <w:color w:val="000000"/>
                <w:sz w:val="28"/>
                <w:szCs w:val="28"/>
                <w:lang w:val="ro-RO"/>
              </w:rPr>
              <w:t xml:space="preserve">în prealabil Centrul Național de Sănătate Publică </w:t>
            </w:r>
            <w:r w:rsidRPr="003932DB">
              <w:rPr>
                <w:color w:val="000000"/>
                <w:sz w:val="28"/>
                <w:szCs w:val="28"/>
                <w:lang w:val="ro-RO"/>
              </w:rPr>
              <w:t xml:space="preserve">și Serviciul Vamal la primul </w:t>
            </w:r>
            <w:r w:rsidRPr="003932DB">
              <w:rPr>
                <w:color w:val="000000"/>
                <w:sz w:val="28"/>
                <w:szCs w:val="28"/>
                <w:lang w:val="ro-RO"/>
              </w:rPr>
              <w:lastRenderedPageBreak/>
              <w:t>punct de intrare și cu cel puțin două zile lucrătoare în prealabil data și ora estimată a sosirii loturilor originare sau expediate din China și Hong Kong.</w:t>
            </w:r>
          </w:p>
          <w:p w:rsidR="00AA490C" w:rsidRPr="003932DB" w:rsidRDefault="00AA490C" w:rsidP="00AA490C">
            <w:pPr>
              <w:pStyle w:val="11"/>
              <w:spacing w:before="120" w:beforeAutospacing="0" w:after="0" w:afterAutospacing="0"/>
              <w:jc w:val="both"/>
              <w:rPr>
                <w:color w:val="000000"/>
                <w:lang w:val="ro-RO"/>
              </w:rPr>
            </w:pPr>
          </w:p>
        </w:tc>
        <w:tc>
          <w:tcPr>
            <w:tcW w:w="1559" w:type="dxa"/>
          </w:tcPr>
          <w:p w:rsidR="00AA490C" w:rsidRPr="003932DB" w:rsidRDefault="003121CC" w:rsidP="00DA75E0">
            <w:pPr>
              <w:rPr>
                <w:b/>
                <w:lang w:val="ro-RO"/>
              </w:rPr>
            </w:pPr>
            <w:r w:rsidRPr="003932DB">
              <w:rPr>
                <w:b/>
                <w:lang w:val="ro-RO"/>
              </w:rPr>
              <w:lastRenderedPageBreak/>
              <w:t>Transpus totalmente</w:t>
            </w:r>
          </w:p>
        </w:tc>
        <w:tc>
          <w:tcPr>
            <w:tcW w:w="1985" w:type="dxa"/>
          </w:tcPr>
          <w:p w:rsidR="00AA490C" w:rsidRPr="003932DB" w:rsidRDefault="00AA490C" w:rsidP="00DA75E0">
            <w:pPr>
              <w:rPr>
                <w:b/>
                <w:lang w:val="ro-RO"/>
              </w:rPr>
            </w:pPr>
          </w:p>
        </w:tc>
        <w:tc>
          <w:tcPr>
            <w:tcW w:w="1559" w:type="dxa"/>
          </w:tcPr>
          <w:p w:rsidR="00AA490C" w:rsidRPr="003932DB" w:rsidRDefault="00AA490C" w:rsidP="00DA75E0">
            <w:pPr>
              <w:jc w:val="center"/>
              <w:rPr>
                <w:b/>
                <w:lang w:val="ro-RO"/>
              </w:rPr>
            </w:pPr>
          </w:p>
        </w:tc>
        <w:tc>
          <w:tcPr>
            <w:tcW w:w="1984" w:type="dxa"/>
          </w:tcPr>
          <w:p w:rsidR="00AA490C" w:rsidRPr="003932DB" w:rsidRDefault="00AA490C" w:rsidP="00DA75E0">
            <w:pPr>
              <w:jc w:val="center"/>
              <w:rPr>
                <w:b/>
                <w:lang w:val="ro-RO"/>
              </w:rPr>
            </w:pPr>
          </w:p>
        </w:tc>
      </w:tr>
      <w:tr w:rsidR="00AA490C" w:rsidRPr="003932DB" w:rsidTr="00DC0624">
        <w:trPr>
          <w:trHeight w:val="1727"/>
        </w:trPr>
        <w:tc>
          <w:tcPr>
            <w:tcW w:w="4253" w:type="dxa"/>
          </w:tcPr>
          <w:p w:rsidR="00AA490C" w:rsidRPr="003932DB" w:rsidRDefault="00AA490C" w:rsidP="00AA490C">
            <w:pPr>
              <w:pStyle w:val="ti-art"/>
              <w:spacing w:before="360" w:beforeAutospacing="0" w:after="120" w:afterAutospacing="0"/>
              <w:jc w:val="center"/>
              <w:rPr>
                <w:i/>
                <w:iCs/>
                <w:color w:val="000000"/>
                <w:lang w:val="ro-RO"/>
              </w:rPr>
            </w:pPr>
            <w:r w:rsidRPr="003932DB">
              <w:rPr>
                <w:i/>
                <w:iCs/>
                <w:color w:val="000000"/>
                <w:lang w:val="ro-RO"/>
              </w:rPr>
              <w:lastRenderedPageBreak/>
              <w:t>Articolul 5</w:t>
            </w:r>
          </w:p>
          <w:p w:rsidR="00AA490C" w:rsidRPr="003932DB" w:rsidRDefault="00AA490C" w:rsidP="00AA490C">
            <w:pPr>
              <w:pStyle w:val="sti-art"/>
              <w:spacing w:before="60" w:beforeAutospacing="0" w:after="120" w:afterAutospacing="0"/>
              <w:jc w:val="center"/>
              <w:rPr>
                <w:b/>
                <w:bCs/>
                <w:color w:val="000000"/>
                <w:lang w:val="ro-RO"/>
              </w:rPr>
            </w:pPr>
            <w:r w:rsidRPr="003932DB">
              <w:rPr>
                <w:b/>
                <w:bCs/>
                <w:color w:val="000000"/>
                <w:lang w:val="ro-RO"/>
              </w:rPr>
              <w:t>Notificarea primului punct de intrare</w:t>
            </w:r>
          </w:p>
          <w:p w:rsidR="00AA490C" w:rsidRPr="003932DB" w:rsidRDefault="00AA490C" w:rsidP="00AA490C">
            <w:pPr>
              <w:pStyle w:val="11"/>
              <w:spacing w:before="120" w:beforeAutospacing="0" w:after="0" w:afterAutospacing="0"/>
              <w:jc w:val="both"/>
              <w:rPr>
                <w:color w:val="000000"/>
                <w:lang w:val="ro-RO"/>
              </w:rPr>
            </w:pPr>
            <w:r w:rsidRPr="003932DB">
              <w:rPr>
                <w:color w:val="000000"/>
                <w:lang w:val="ro-RO"/>
              </w:rPr>
              <w:t>Atunci când hotărăsc să desemneze prime puncte de intrare specifice pentru loturi originare sau expediate din China și Hong Kong, statele membre publică pe internet o listă actualizată a punctelor respective și comunică adresa de internet a acesteia Comisiei.</w:t>
            </w:r>
          </w:p>
          <w:p w:rsidR="00AA490C" w:rsidRPr="003932DB" w:rsidRDefault="00AA490C" w:rsidP="00AA490C">
            <w:pPr>
              <w:pStyle w:val="11"/>
              <w:spacing w:before="120" w:beforeAutospacing="0" w:after="0" w:afterAutospacing="0"/>
              <w:jc w:val="both"/>
              <w:rPr>
                <w:color w:val="000000"/>
                <w:lang w:val="ro-RO"/>
              </w:rPr>
            </w:pPr>
            <w:r w:rsidRPr="003932DB">
              <w:rPr>
                <w:color w:val="000000"/>
                <w:lang w:val="ro-RO"/>
              </w:rPr>
              <w:t>Comisia publică pe site-ul său internet, în scop informativ, linkurile către listele naționale care conțin primele puncte de intrare specifice.</w:t>
            </w:r>
          </w:p>
          <w:p w:rsidR="00AA490C" w:rsidRPr="003932DB" w:rsidRDefault="00AA490C" w:rsidP="00AA490C">
            <w:pPr>
              <w:pStyle w:val="11"/>
              <w:spacing w:before="120" w:beforeAutospacing="0" w:after="0" w:afterAutospacing="0"/>
              <w:jc w:val="both"/>
              <w:rPr>
                <w:color w:val="000000"/>
                <w:lang w:val="ro-RO"/>
              </w:rPr>
            </w:pPr>
          </w:p>
        </w:tc>
        <w:tc>
          <w:tcPr>
            <w:tcW w:w="3544" w:type="dxa"/>
          </w:tcPr>
          <w:p w:rsidR="003121CC" w:rsidRPr="003932DB" w:rsidRDefault="003121CC" w:rsidP="003121CC">
            <w:pPr>
              <w:pStyle w:val="a6"/>
              <w:jc w:val="both"/>
              <w:rPr>
                <w:color w:val="000000"/>
                <w:sz w:val="28"/>
                <w:szCs w:val="28"/>
                <w:lang w:val="ro-RO"/>
              </w:rPr>
            </w:pPr>
            <w:r w:rsidRPr="003932DB">
              <w:rPr>
                <w:color w:val="000000"/>
                <w:sz w:val="28"/>
                <w:szCs w:val="28"/>
                <w:lang w:val="ro-RO"/>
              </w:rPr>
              <w:t>8. Notificarea, însoțită obligatoriu de declarația prevăzută în anexa la prezentul Regulament se transmite Centrului Național de Sănătate Publică, potrivit datelor de contact afișate pe pagina web oficială a instituției.</w:t>
            </w:r>
          </w:p>
          <w:p w:rsidR="00AA490C" w:rsidRPr="003932DB" w:rsidRDefault="003121CC" w:rsidP="003932DB">
            <w:pPr>
              <w:pStyle w:val="a6"/>
              <w:jc w:val="both"/>
              <w:rPr>
                <w:color w:val="000000"/>
                <w:lang w:val="ro-RO"/>
              </w:rPr>
            </w:pPr>
            <w:r w:rsidRPr="003932DB">
              <w:rPr>
                <w:color w:val="000000"/>
                <w:sz w:val="28"/>
                <w:szCs w:val="28"/>
                <w:lang w:val="ro-RO"/>
              </w:rPr>
              <w:t>9. Atunci când hotărăsc să desemneze punctele de intrare pentru loturi originare sau expediate din China și Hong Kong,</w:t>
            </w:r>
            <w:r w:rsidRPr="003932DB">
              <w:rPr>
                <w:bCs/>
                <w:color w:val="000000"/>
                <w:sz w:val="28"/>
                <w:szCs w:val="28"/>
                <w:lang w:val="ro-RO"/>
              </w:rPr>
              <w:t xml:space="preserve"> Centrul Național de Sănătate Publică și</w:t>
            </w:r>
            <w:r w:rsidRPr="003932DB">
              <w:rPr>
                <w:color w:val="000000"/>
                <w:sz w:val="28"/>
                <w:szCs w:val="28"/>
                <w:lang w:val="ro-RO"/>
              </w:rPr>
              <w:t xml:space="preserve"> Serviciul Vamal publică pe paginile sale web oficiale lista actualizată a punctelor respective.</w:t>
            </w:r>
          </w:p>
        </w:tc>
        <w:tc>
          <w:tcPr>
            <w:tcW w:w="1559" w:type="dxa"/>
          </w:tcPr>
          <w:p w:rsidR="00AA490C" w:rsidRPr="003932DB" w:rsidRDefault="003121CC" w:rsidP="00DA75E0">
            <w:pPr>
              <w:rPr>
                <w:b/>
                <w:lang w:val="ro-RO"/>
              </w:rPr>
            </w:pPr>
            <w:r w:rsidRPr="003932DB">
              <w:rPr>
                <w:b/>
                <w:lang w:val="ro-RO"/>
              </w:rPr>
              <w:t>Transpus totalmente</w:t>
            </w:r>
          </w:p>
        </w:tc>
        <w:tc>
          <w:tcPr>
            <w:tcW w:w="1985" w:type="dxa"/>
          </w:tcPr>
          <w:p w:rsidR="00AA490C" w:rsidRPr="003932DB" w:rsidRDefault="00AA490C" w:rsidP="00DA75E0">
            <w:pPr>
              <w:rPr>
                <w:b/>
                <w:lang w:val="ro-RO"/>
              </w:rPr>
            </w:pPr>
          </w:p>
        </w:tc>
        <w:tc>
          <w:tcPr>
            <w:tcW w:w="1559" w:type="dxa"/>
          </w:tcPr>
          <w:p w:rsidR="00AA490C" w:rsidRPr="003932DB" w:rsidRDefault="00AA490C" w:rsidP="00DA75E0">
            <w:pPr>
              <w:jc w:val="center"/>
              <w:rPr>
                <w:b/>
                <w:lang w:val="ro-RO"/>
              </w:rPr>
            </w:pPr>
          </w:p>
        </w:tc>
        <w:tc>
          <w:tcPr>
            <w:tcW w:w="1984" w:type="dxa"/>
          </w:tcPr>
          <w:p w:rsidR="00AA490C" w:rsidRPr="003932DB" w:rsidRDefault="00AA490C" w:rsidP="00DA75E0">
            <w:pPr>
              <w:jc w:val="center"/>
              <w:rPr>
                <w:b/>
                <w:lang w:val="ro-RO"/>
              </w:rPr>
            </w:pPr>
          </w:p>
        </w:tc>
      </w:tr>
      <w:tr w:rsidR="00AA490C" w:rsidRPr="003932DB" w:rsidTr="00DC0624">
        <w:trPr>
          <w:trHeight w:val="1727"/>
        </w:trPr>
        <w:tc>
          <w:tcPr>
            <w:tcW w:w="4253" w:type="dxa"/>
          </w:tcPr>
          <w:p w:rsidR="001269CD" w:rsidRPr="003932DB" w:rsidRDefault="001269CD" w:rsidP="001269CD">
            <w:pPr>
              <w:pStyle w:val="ti-art"/>
              <w:spacing w:before="360" w:beforeAutospacing="0" w:after="120" w:afterAutospacing="0"/>
              <w:jc w:val="center"/>
              <w:rPr>
                <w:i/>
                <w:iCs/>
                <w:color w:val="000000"/>
                <w:lang w:val="ro-RO"/>
              </w:rPr>
            </w:pPr>
            <w:r w:rsidRPr="003932DB">
              <w:rPr>
                <w:i/>
                <w:iCs/>
                <w:color w:val="000000"/>
                <w:lang w:val="ro-RO"/>
              </w:rPr>
              <w:lastRenderedPageBreak/>
              <w:t>Articolul 6</w:t>
            </w:r>
          </w:p>
          <w:p w:rsidR="001269CD" w:rsidRPr="003932DB" w:rsidRDefault="001269CD" w:rsidP="001269CD">
            <w:pPr>
              <w:pStyle w:val="sti-art"/>
              <w:spacing w:before="60" w:beforeAutospacing="0" w:after="120" w:afterAutospacing="0"/>
              <w:jc w:val="center"/>
              <w:rPr>
                <w:b/>
                <w:bCs/>
                <w:color w:val="000000"/>
                <w:lang w:val="ro-RO"/>
              </w:rPr>
            </w:pPr>
            <w:r w:rsidRPr="003932DB">
              <w:rPr>
                <w:b/>
                <w:bCs/>
                <w:color w:val="000000"/>
                <w:lang w:val="ro-RO"/>
              </w:rPr>
              <w:t>Controale la primul punct de intrare</w:t>
            </w:r>
          </w:p>
          <w:p w:rsidR="001269CD" w:rsidRPr="003932DB" w:rsidRDefault="001269CD" w:rsidP="001269CD">
            <w:pPr>
              <w:pStyle w:val="11"/>
              <w:spacing w:before="120" w:beforeAutospacing="0" w:after="0" w:afterAutospacing="0"/>
              <w:jc w:val="both"/>
              <w:rPr>
                <w:color w:val="000000"/>
                <w:lang w:val="ro-RO"/>
              </w:rPr>
            </w:pPr>
            <w:r w:rsidRPr="003932DB">
              <w:rPr>
                <w:color w:val="000000"/>
                <w:lang w:val="ro-RO"/>
              </w:rPr>
              <w:t>(1)   Autoritatea competentă de la primul punct de intrare efectuează:</w:t>
            </w:r>
          </w:p>
          <w:tbl>
            <w:tblPr>
              <w:tblW w:w="5000" w:type="pct"/>
              <w:tblCellSpacing w:w="0" w:type="dxa"/>
              <w:tblLayout w:type="fixed"/>
              <w:tblCellMar>
                <w:left w:w="0" w:type="dxa"/>
                <w:right w:w="0" w:type="dxa"/>
              </w:tblCellMar>
              <w:tblLook w:val="04A0" w:firstRow="1" w:lastRow="0" w:firstColumn="1" w:lastColumn="0" w:noHBand="0" w:noVBand="1"/>
            </w:tblPr>
            <w:tblGrid>
              <w:gridCol w:w="126"/>
              <w:gridCol w:w="3911"/>
            </w:tblGrid>
            <w:tr w:rsidR="001269CD" w:rsidRPr="003932DB" w:rsidTr="00410C66">
              <w:trPr>
                <w:tblCellSpacing w:w="0" w:type="dxa"/>
              </w:trPr>
              <w:tc>
                <w:tcPr>
                  <w:tcW w:w="267" w:type="dxa"/>
                  <w:hideMark/>
                </w:tcPr>
                <w:p w:rsidR="001269CD" w:rsidRPr="003932DB" w:rsidRDefault="001269CD"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(a)</w:t>
                  </w:r>
                </w:p>
              </w:tc>
              <w:tc>
                <w:tcPr>
                  <w:tcW w:w="9088" w:type="dxa"/>
                  <w:hideMark/>
                </w:tcPr>
                <w:p w:rsidR="001269CD" w:rsidRPr="003932DB" w:rsidRDefault="001269CD"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controale ale documentelor asociate tuturor loturilor în termen de două zile lucrătoare de la sosirea acestora;</w:t>
                  </w:r>
                </w:p>
              </w:tc>
            </w:tr>
          </w:tbl>
          <w:p w:rsidR="001269CD" w:rsidRPr="003932DB" w:rsidRDefault="001269CD" w:rsidP="001269CD">
            <w:pPr>
              <w:rPr>
                <w:vanish/>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132"/>
              <w:gridCol w:w="3905"/>
            </w:tblGrid>
            <w:tr w:rsidR="001269CD" w:rsidRPr="003932DB" w:rsidTr="00410C66">
              <w:trPr>
                <w:tblCellSpacing w:w="0" w:type="dxa"/>
              </w:trPr>
              <w:tc>
                <w:tcPr>
                  <w:tcW w:w="280" w:type="dxa"/>
                  <w:hideMark/>
                </w:tcPr>
                <w:p w:rsidR="001269CD" w:rsidRPr="003932DB" w:rsidRDefault="001269CD"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(b)</w:t>
                  </w:r>
                </w:p>
              </w:tc>
              <w:tc>
                <w:tcPr>
                  <w:tcW w:w="9075" w:type="dxa"/>
                  <w:hideMark/>
                </w:tcPr>
                <w:p w:rsidR="001269CD" w:rsidRPr="003932DB" w:rsidRDefault="001269CD"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controale ale identității și controale fizice, inclusiv o analiză de laborator pentru 10 % dintre loturi, astfel încât să nu fie posibil ca importatorii sau reprezentanții acestora să poată determina dacă un anumit lot va fi supus unor astfel de controale; rezultatele controalelor fizice trebuie să devină disponibile de îndată ce acest lucru este posibil din punct de vedere tehnic.</w:t>
                  </w:r>
                </w:p>
              </w:tc>
            </w:tr>
          </w:tbl>
          <w:p w:rsidR="00AA490C" w:rsidRPr="003932DB" w:rsidRDefault="00AA490C" w:rsidP="00AA490C">
            <w:pPr>
              <w:pStyle w:val="11"/>
              <w:spacing w:before="120" w:beforeAutospacing="0" w:after="0" w:afterAutospacing="0"/>
              <w:jc w:val="both"/>
              <w:rPr>
                <w:color w:val="000000"/>
                <w:lang w:val="ro-RO"/>
              </w:rPr>
            </w:pPr>
          </w:p>
        </w:tc>
        <w:tc>
          <w:tcPr>
            <w:tcW w:w="3544" w:type="dxa"/>
          </w:tcPr>
          <w:p w:rsidR="003121CC" w:rsidRPr="003932DB" w:rsidRDefault="003121CC" w:rsidP="003121CC">
            <w:pPr>
              <w:pStyle w:val="a6"/>
              <w:ind w:firstLine="709"/>
              <w:jc w:val="both"/>
              <w:rPr>
                <w:color w:val="000000"/>
                <w:sz w:val="28"/>
                <w:szCs w:val="28"/>
                <w:lang w:val="ro-RO"/>
              </w:rPr>
            </w:pPr>
            <w:r w:rsidRPr="003932DB">
              <w:rPr>
                <w:color w:val="000000"/>
                <w:sz w:val="28"/>
                <w:szCs w:val="28"/>
                <w:lang w:val="ro-RO"/>
              </w:rPr>
              <w:t>10.   </w:t>
            </w:r>
            <w:r w:rsidRPr="003932DB">
              <w:rPr>
                <w:bCs/>
                <w:color w:val="000000"/>
                <w:sz w:val="28"/>
                <w:szCs w:val="28"/>
                <w:lang w:val="ro-RO"/>
              </w:rPr>
              <w:t xml:space="preserve">Centrul Național de Sănătate Publică </w:t>
            </w:r>
            <w:r w:rsidRPr="003932DB">
              <w:rPr>
                <w:color w:val="000000"/>
                <w:sz w:val="28"/>
                <w:szCs w:val="28"/>
                <w:lang w:val="ro-RO"/>
              </w:rPr>
              <w:t>și Serviciul Vamal la primul punct de intrare efectuează:</w:t>
            </w:r>
          </w:p>
          <w:p w:rsidR="003121CC" w:rsidRPr="003932DB" w:rsidRDefault="003121CC" w:rsidP="003121CC">
            <w:pPr>
              <w:pStyle w:val="a6"/>
              <w:ind w:firstLine="709"/>
              <w:jc w:val="both"/>
              <w:rPr>
                <w:color w:val="000000"/>
                <w:sz w:val="28"/>
                <w:szCs w:val="28"/>
                <w:lang w:val="ro-RO"/>
              </w:rPr>
            </w:pPr>
            <w:r w:rsidRPr="003932DB">
              <w:rPr>
                <w:color w:val="000000"/>
                <w:sz w:val="28"/>
                <w:szCs w:val="28"/>
                <w:lang w:val="ro-RO"/>
              </w:rPr>
              <w:t>1) controale ale documentelor asociate tuturor loturilor în termen de două zile lucrătoare de la sosirea acestora;</w:t>
            </w:r>
          </w:p>
          <w:p w:rsidR="003121CC" w:rsidRPr="003932DB" w:rsidRDefault="003121CC" w:rsidP="003121CC">
            <w:pPr>
              <w:pStyle w:val="a6"/>
              <w:ind w:firstLine="709"/>
              <w:jc w:val="both"/>
              <w:rPr>
                <w:color w:val="000000"/>
                <w:sz w:val="28"/>
                <w:szCs w:val="28"/>
                <w:lang w:val="ro-RO"/>
              </w:rPr>
            </w:pPr>
            <w:r w:rsidRPr="003932DB">
              <w:rPr>
                <w:color w:val="000000"/>
                <w:sz w:val="28"/>
                <w:szCs w:val="28"/>
                <w:lang w:val="ro-RO"/>
              </w:rPr>
              <w:t>2) controale ale identității și controale fizice, inclusiv o analiză de laborator pentru 10 % dintre loturi, astfel încât să nu fie posibil ca importatorii sau reprezentanții acestora să poată determina dacă un anumit lot va fi supus unor astfel de controale; rezultatele controalelor fizice trebuie să devină disponibile de îndată ce acest lucru este posibil din punct de vedere tehnic;</w:t>
            </w:r>
          </w:p>
          <w:p w:rsidR="003121CC" w:rsidRPr="003932DB" w:rsidRDefault="003121CC" w:rsidP="003121CC">
            <w:pPr>
              <w:pStyle w:val="a6"/>
              <w:ind w:firstLine="709"/>
              <w:jc w:val="both"/>
              <w:rPr>
                <w:sz w:val="28"/>
                <w:szCs w:val="28"/>
                <w:lang w:val="ro-RO"/>
              </w:rPr>
            </w:pPr>
            <w:r w:rsidRPr="003932DB">
              <w:rPr>
                <w:color w:val="000000"/>
                <w:sz w:val="28"/>
                <w:szCs w:val="28"/>
                <w:lang w:val="ro-RO"/>
              </w:rPr>
              <w:t xml:space="preserve">3) </w:t>
            </w:r>
            <w:r w:rsidRPr="003932DB">
              <w:rPr>
                <w:sz w:val="28"/>
                <w:szCs w:val="28"/>
                <w:lang w:val="ro-RO"/>
              </w:rPr>
              <w:t>analizele probelor recoltate se efectuează la un laborator acreditat aflat pe teritoriul Republicii Moldova.</w:t>
            </w:r>
            <w:r w:rsidRPr="003932DB">
              <w:rPr>
                <w:color w:val="000000"/>
                <w:sz w:val="28"/>
                <w:szCs w:val="28"/>
                <w:lang w:val="ro-RO"/>
              </w:rPr>
              <w:t xml:space="preserve"> </w:t>
            </w:r>
          </w:p>
          <w:p w:rsidR="00AA490C" w:rsidRPr="003932DB" w:rsidRDefault="00AA490C" w:rsidP="00AA490C">
            <w:pPr>
              <w:pStyle w:val="11"/>
              <w:spacing w:before="120" w:beforeAutospacing="0" w:after="0" w:afterAutospacing="0"/>
              <w:jc w:val="both"/>
              <w:rPr>
                <w:color w:val="000000"/>
                <w:lang w:val="ro-RO"/>
              </w:rPr>
            </w:pPr>
          </w:p>
        </w:tc>
        <w:tc>
          <w:tcPr>
            <w:tcW w:w="1559" w:type="dxa"/>
          </w:tcPr>
          <w:p w:rsidR="00AA490C" w:rsidRPr="003932DB" w:rsidRDefault="003121CC" w:rsidP="00DA75E0">
            <w:pPr>
              <w:rPr>
                <w:b/>
                <w:lang w:val="ro-RO"/>
              </w:rPr>
            </w:pPr>
            <w:r w:rsidRPr="003932DB">
              <w:rPr>
                <w:b/>
                <w:lang w:val="ro-RO"/>
              </w:rPr>
              <w:t>Transpus totalmente</w:t>
            </w:r>
          </w:p>
        </w:tc>
        <w:tc>
          <w:tcPr>
            <w:tcW w:w="1985" w:type="dxa"/>
          </w:tcPr>
          <w:p w:rsidR="00AA490C" w:rsidRPr="003932DB" w:rsidRDefault="00AA490C" w:rsidP="00DA75E0">
            <w:pPr>
              <w:rPr>
                <w:b/>
                <w:lang w:val="ro-RO"/>
              </w:rPr>
            </w:pPr>
          </w:p>
        </w:tc>
        <w:tc>
          <w:tcPr>
            <w:tcW w:w="1559" w:type="dxa"/>
          </w:tcPr>
          <w:p w:rsidR="00AA490C" w:rsidRPr="003932DB" w:rsidRDefault="00AA490C" w:rsidP="00DA75E0">
            <w:pPr>
              <w:jc w:val="center"/>
              <w:rPr>
                <w:b/>
                <w:lang w:val="ro-RO"/>
              </w:rPr>
            </w:pPr>
          </w:p>
        </w:tc>
        <w:tc>
          <w:tcPr>
            <w:tcW w:w="1984" w:type="dxa"/>
          </w:tcPr>
          <w:p w:rsidR="00AA490C" w:rsidRPr="003932DB" w:rsidRDefault="00AA490C" w:rsidP="00DA75E0">
            <w:pPr>
              <w:jc w:val="center"/>
              <w:rPr>
                <w:b/>
                <w:lang w:val="ro-RO"/>
              </w:rPr>
            </w:pPr>
          </w:p>
        </w:tc>
      </w:tr>
      <w:tr w:rsidR="001269CD" w:rsidRPr="003932DB" w:rsidTr="003932DB">
        <w:trPr>
          <w:trHeight w:val="562"/>
        </w:trPr>
        <w:tc>
          <w:tcPr>
            <w:tcW w:w="4253" w:type="dxa"/>
          </w:tcPr>
          <w:p w:rsidR="001269CD" w:rsidRPr="003932DB" w:rsidRDefault="001269CD" w:rsidP="001269CD">
            <w:pPr>
              <w:pStyle w:val="11"/>
              <w:spacing w:before="120" w:beforeAutospacing="0" w:after="0" w:afterAutospacing="0"/>
              <w:jc w:val="both"/>
              <w:rPr>
                <w:color w:val="000000"/>
                <w:lang w:val="ro-RO"/>
              </w:rPr>
            </w:pPr>
            <w:r w:rsidRPr="003932DB">
              <w:rPr>
                <w:color w:val="000000"/>
                <w:lang w:val="ro-RO"/>
              </w:rPr>
              <w:lastRenderedPageBreak/>
              <w:t>2)   Dacă analiza de laborator menționată la alineatul (1) litera (b) identifică un caz de neconformitate, autoritățile competente informează imediat Comisia cu privire la rezultate prin intermediul Sistemului de alertă rapidă pentru alimente și furaje instituit la articolul 50 din Regulamentul (CE) nr. 178/2002.</w:t>
            </w:r>
          </w:p>
          <w:p w:rsidR="001269CD" w:rsidRPr="003932DB" w:rsidRDefault="001269CD" w:rsidP="001269CD">
            <w:pPr>
              <w:pStyle w:val="ti-art"/>
              <w:spacing w:before="360" w:beforeAutospacing="0" w:after="120" w:afterAutospacing="0"/>
              <w:jc w:val="center"/>
              <w:rPr>
                <w:i/>
                <w:iCs/>
                <w:color w:val="000000"/>
                <w:lang w:val="ro-RO"/>
              </w:rPr>
            </w:pPr>
          </w:p>
        </w:tc>
        <w:tc>
          <w:tcPr>
            <w:tcW w:w="3544" w:type="dxa"/>
          </w:tcPr>
          <w:p w:rsidR="001269CD" w:rsidRPr="003932DB" w:rsidRDefault="003121CC" w:rsidP="003932DB">
            <w:pPr>
              <w:pStyle w:val="a6"/>
              <w:ind w:firstLine="709"/>
              <w:jc w:val="both"/>
              <w:rPr>
                <w:b/>
                <w:bCs/>
                <w:color w:val="000000"/>
                <w:lang w:val="ro-RO"/>
              </w:rPr>
            </w:pPr>
            <w:r w:rsidRPr="003932DB">
              <w:rPr>
                <w:color w:val="000000"/>
                <w:sz w:val="28"/>
                <w:szCs w:val="28"/>
                <w:lang w:val="ro-RO"/>
              </w:rPr>
              <w:t xml:space="preserve">11. Dacă analiza de laborator menționată la punctul 10, subpunctul 2) al prezentului Regulament identifică un caz de neconformitate, Centrul </w:t>
            </w:r>
            <w:r w:rsidRPr="003932DB">
              <w:rPr>
                <w:bCs/>
                <w:color w:val="000000"/>
                <w:sz w:val="28"/>
                <w:szCs w:val="28"/>
                <w:lang w:val="ro-RO"/>
              </w:rPr>
              <w:t xml:space="preserve">Național de Sănătate Publică </w:t>
            </w:r>
            <w:r w:rsidRPr="003932DB">
              <w:rPr>
                <w:color w:val="000000"/>
                <w:sz w:val="28"/>
                <w:szCs w:val="28"/>
                <w:lang w:val="ro-RO"/>
              </w:rPr>
              <w:t xml:space="preserve">informează imediat </w:t>
            </w:r>
            <w:r w:rsidRPr="003932DB">
              <w:rPr>
                <w:bCs/>
                <w:color w:val="000000"/>
                <w:sz w:val="28"/>
                <w:szCs w:val="28"/>
                <w:lang w:val="ro-RO"/>
              </w:rPr>
              <w:t>punctul naţional de contact, Agenţia Naţională pentru Siguranţa Alimentelor</w:t>
            </w:r>
            <w:r w:rsidRPr="003932DB">
              <w:rPr>
                <w:color w:val="000000"/>
                <w:sz w:val="28"/>
                <w:szCs w:val="28"/>
                <w:lang w:val="ro-RO"/>
              </w:rPr>
              <w:t xml:space="preserve"> în conformitate cu prevederile Articolului 19</w:t>
            </w:r>
            <w:r w:rsidRPr="003932DB">
              <w:rPr>
                <w:color w:val="000000"/>
                <w:sz w:val="28"/>
                <w:szCs w:val="28"/>
                <w:vertAlign w:val="superscript"/>
                <w:lang w:val="ro-RO"/>
              </w:rPr>
              <w:t>1</w:t>
            </w:r>
            <w:r w:rsidRPr="003932DB">
              <w:rPr>
                <w:color w:val="000000"/>
                <w:sz w:val="28"/>
                <w:szCs w:val="28"/>
                <w:lang w:val="ro-RO"/>
              </w:rPr>
              <w:t xml:space="preserve"> al  Legii nr. 113 din 18.05.2012 </w:t>
            </w:r>
            <w:r w:rsidRPr="003932DB">
              <w:rPr>
                <w:rStyle w:val="docheader"/>
                <w:bCs/>
                <w:color w:val="000000"/>
                <w:sz w:val="28"/>
                <w:szCs w:val="28"/>
                <w:lang w:val="ro-RO"/>
              </w:rPr>
              <w:t>cu privire la stabilirea principiilor şi a cerinţelor</w:t>
            </w:r>
            <w:r w:rsidRPr="003932DB">
              <w:rPr>
                <w:rStyle w:val="apple-converted-space"/>
                <w:color w:val="000000"/>
                <w:sz w:val="28"/>
                <w:szCs w:val="28"/>
                <w:lang w:val="ro-RO"/>
              </w:rPr>
              <w:t> </w:t>
            </w:r>
            <w:r w:rsidRPr="003932DB">
              <w:rPr>
                <w:rStyle w:val="docheader"/>
                <w:bCs/>
                <w:color w:val="000000"/>
                <w:sz w:val="28"/>
                <w:szCs w:val="28"/>
                <w:lang w:val="ro-RO"/>
              </w:rPr>
              <w:t xml:space="preserve">generale ale legislaţiei privind siguranţa alimentelor (Monitorul Oficial al Republicii Moldova, 2012, nr. 143-148, art. 467),  </w:t>
            </w:r>
            <w:proofErr w:type="spellStart"/>
            <w:r w:rsidRPr="003932DB">
              <w:rPr>
                <w:rStyle w:val="docheader"/>
                <w:bCs/>
                <w:color w:val="000000"/>
                <w:sz w:val="28"/>
                <w:szCs w:val="28"/>
                <w:lang w:val="ro-RO"/>
              </w:rPr>
              <w:t>asigurînd</w:t>
            </w:r>
            <w:proofErr w:type="spellEnd"/>
            <w:r w:rsidRPr="003932DB">
              <w:rPr>
                <w:rStyle w:val="docheader"/>
                <w:bCs/>
                <w:color w:val="000000"/>
                <w:sz w:val="28"/>
                <w:szCs w:val="28"/>
                <w:lang w:val="ro-RO"/>
              </w:rPr>
              <w:t xml:space="preserve"> întreprinderea măsurilor de neadmitere a lotului pentru consumul uman</w:t>
            </w:r>
            <w:r w:rsidRPr="003932DB">
              <w:rPr>
                <w:color w:val="000000"/>
                <w:sz w:val="28"/>
                <w:szCs w:val="28"/>
                <w:lang w:val="ro-RO"/>
              </w:rPr>
              <w:t>.</w:t>
            </w:r>
          </w:p>
        </w:tc>
        <w:tc>
          <w:tcPr>
            <w:tcW w:w="1559" w:type="dxa"/>
          </w:tcPr>
          <w:p w:rsidR="001269CD" w:rsidRPr="003932DB" w:rsidRDefault="003121CC" w:rsidP="00DA75E0">
            <w:pPr>
              <w:rPr>
                <w:b/>
                <w:lang w:val="ro-RO"/>
              </w:rPr>
            </w:pPr>
            <w:r w:rsidRPr="003932DB">
              <w:rPr>
                <w:b/>
                <w:lang w:val="ro-RO"/>
              </w:rPr>
              <w:t>Transpus totalmente</w:t>
            </w:r>
          </w:p>
        </w:tc>
        <w:tc>
          <w:tcPr>
            <w:tcW w:w="1985" w:type="dxa"/>
          </w:tcPr>
          <w:p w:rsidR="001269CD" w:rsidRPr="003932DB" w:rsidRDefault="001269CD" w:rsidP="00DA75E0">
            <w:pPr>
              <w:rPr>
                <w:b/>
                <w:lang w:val="ro-RO"/>
              </w:rPr>
            </w:pPr>
          </w:p>
        </w:tc>
        <w:tc>
          <w:tcPr>
            <w:tcW w:w="1559" w:type="dxa"/>
          </w:tcPr>
          <w:p w:rsidR="001269CD" w:rsidRPr="003932DB" w:rsidRDefault="001269CD" w:rsidP="00DA75E0">
            <w:pPr>
              <w:jc w:val="center"/>
              <w:rPr>
                <w:b/>
                <w:lang w:val="ro-RO"/>
              </w:rPr>
            </w:pPr>
          </w:p>
        </w:tc>
        <w:tc>
          <w:tcPr>
            <w:tcW w:w="1984" w:type="dxa"/>
          </w:tcPr>
          <w:p w:rsidR="001269CD" w:rsidRPr="003932DB" w:rsidRDefault="001269CD" w:rsidP="00DA75E0">
            <w:pPr>
              <w:jc w:val="center"/>
              <w:rPr>
                <w:b/>
                <w:lang w:val="ro-RO"/>
              </w:rPr>
            </w:pPr>
          </w:p>
        </w:tc>
      </w:tr>
      <w:tr w:rsidR="001269CD" w:rsidRPr="003932DB" w:rsidTr="00DC0624">
        <w:trPr>
          <w:trHeight w:val="1727"/>
        </w:trPr>
        <w:tc>
          <w:tcPr>
            <w:tcW w:w="4253" w:type="dxa"/>
          </w:tcPr>
          <w:p w:rsidR="001269CD" w:rsidRPr="003932DB" w:rsidRDefault="001269CD" w:rsidP="001269CD">
            <w:pPr>
              <w:pStyle w:val="ti-art"/>
              <w:spacing w:before="360" w:beforeAutospacing="0" w:after="120" w:afterAutospacing="0"/>
              <w:jc w:val="center"/>
              <w:rPr>
                <w:i/>
                <w:iCs/>
                <w:color w:val="000000"/>
                <w:lang w:val="ro-RO"/>
              </w:rPr>
            </w:pPr>
            <w:r w:rsidRPr="003932DB">
              <w:rPr>
                <w:i/>
                <w:iCs/>
                <w:color w:val="000000"/>
                <w:lang w:val="ro-RO"/>
              </w:rPr>
              <w:t>Articolul 9</w:t>
            </w:r>
          </w:p>
          <w:p w:rsidR="001269CD" w:rsidRPr="003932DB" w:rsidRDefault="001269CD" w:rsidP="001269CD">
            <w:pPr>
              <w:pStyle w:val="sti-art"/>
              <w:spacing w:before="60" w:beforeAutospacing="0" w:after="120" w:afterAutospacing="0"/>
              <w:jc w:val="center"/>
              <w:rPr>
                <w:b/>
                <w:bCs/>
                <w:color w:val="000000"/>
                <w:lang w:val="ro-RO"/>
              </w:rPr>
            </w:pPr>
            <w:r w:rsidRPr="003932DB">
              <w:rPr>
                <w:b/>
                <w:bCs/>
                <w:color w:val="000000"/>
                <w:lang w:val="ro-RO"/>
              </w:rPr>
              <w:t>Raportarea către Comisie</w:t>
            </w:r>
          </w:p>
          <w:p w:rsidR="001269CD" w:rsidRPr="003932DB" w:rsidRDefault="001269CD" w:rsidP="001269CD">
            <w:pPr>
              <w:pStyle w:val="11"/>
              <w:spacing w:before="120" w:beforeAutospacing="0" w:after="0" w:afterAutospacing="0"/>
              <w:jc w:val="both"/>
              <w:rPr>
                <w:color w:val="000000"/>
                <w:lang w:val="ro-RO"/>
              </w:rPr>
            </w:pPr>
            <w:r w:rsidRPr="003932DB">
              <w:rPr>
                <w:color w:val="000000"/>
                <w:lang w:val="ro-RO"/>
              </w:rPr>
              <w:t xml:space="preserve">(1)   După ce controalele menționate la articolul 6 alineatul (1) au fost efectuate, autoritățile competente țin evidența </w:t>
            </w:r>
            <w:r w:rsidRPr="003932DB">
              <w:rPr>
                <w:color w:val="000000"/>
                <w:lang w:val="ro-RO"/>
              </w:rPr>
              <w:lastRenderedPageBreak/>
              <w:t>următoarelor informații:</w:t>
            </w:r>
          </w:p>
          <w:tbl>
            <w:tblPr>
              <w:tblW w:w="5000" w:type="pct"/>
              <w:tblCellSpacing w:w="0" w:type="dxa"/>
              <w:tblLayout w:type="fixed"/>
              <w:tblCellMar>
                <w:left w:w="0" w:type="dxa"/>
                <w:right w:w="0" w:type="dxa"/>
              </w:tblCellMar>
              <w:tblLook w:val="04A0" w:firstRow="1" w:lastRow="0" w:firstColumn="1" w:lastColumn="0" w:noHBand="0" w:noVBand="1"/>
            </w:tblPr>
            <w:tblGrid>
              <w:gridCol w:w="241"/>
              <w:gridCol w:w="3796"/>
            </w:tblGrid>
            <w:tr w:rsidR="001269CD" w:rsidRPr="003932DB" w:rsidTr="00410C66">
              <w:trPr>
                <w:tblCellSpacing w:w="0" w:type="dxa"/>
              </w:trPr>
              <w:tc>
                <w:tcPr>
                  <w:tcW w:w="534" w:type="dxa"/>
                  <w:hideMark/>
                </w:tcPr>
                <w:p w:rsidR="001269CD" w:rsidRPr="003932DB" w:rsidRDefault="001269CD"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(a)</w:t>
                  </w:r>
                </w:p>
              </w:tc>
              <w:tc>
                <w:tcPr>
                  <w:tcW w:w="8821" w:type="dxa"/>
                  <w:hideMark/>
                </w:tcPr>
                <w:p w:rsidR="001269CD" w:rsidRPr="003932DB" w:rsidRDefault="001269CD"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detalii despre fiecare lot controlat, inclusiv:</w:t>
                  </w:r>
                </w:p>
                <w:tbl>
                  <w:tblPr>
                    <w:tblW w:w="5000" w:type="pct"/>
                    <w:tblCellSpacing w:w="0" w:type="dxa"/>
                    <w:tblLayout w:type="fixed"/>
                    <w:tblCellMar>
                      <w:left w:w="0" w:type="dxa"/>
                      <w:right w:w="0" w:type="dxa"/>
                    </w:tblCellMar>
                    <w:tblLook w:val="04A0" w:firstRow="1" w:lastRow="0" w:firstColumn="1" w:lastColumn="0" w:noHBand="0" w:noVBand="1"/>
                  </w:tblPr>
                  <w:tblGrid>
                    <w:gridCol w:w="206"/>
                    <w:gridCol w:w="3590"/>
                  </w:tblGrid>
                  <w:tr w:rsidR="001269CD" w:rsidRPr="003932DB" w:rsidTr="00410C66">
                    <w:trPr>
                      <w:tblCellSpacing w:w="0" w:type="dxa"/>
                    </w:trPr>
                    <w:tc>
                      <w:tcPr>
                        <w:tcW w:w="454" w:type="dxa"/>
                        <w:hideMark/>
                      </w:tcPr>
                      <w:p w:rsidR="001269CD" w:rsidRPr="003932DB" w:rsidRDefault="001269CD" w:rsidP="00410C66">
                        <w:pPr>
                          <w:pStyle w:val="11"/>
                          <w:spacing w:before="120" w:beforeAutospacing="0" w:after="0" w:afterAutospacing="0"/>
                          <w:jc w:val="both"/>
                          <w:rPr>
                            <w:rFonts w:ascii="inherit" w:hAnsi="inherit"/>
                            <w:lang w:val="ro-RO"/>
                          </w:rPr>
                        </w:pPr>
                        <w:r w:rsidRPr="003932DB">
                          <w:rPr>
                            <w:rFonts w:ascii="inherit" w:hAnsi="inherit"/>
                            <w:lang w:val="ro-RO"/>
                          </w:rPr>
                          <w:t>(i)</w:t>
                        </w:r>
                      </w:p>
                    </w:tc>
                    <w:tc>
                      <w:tcPr>
                        <w:tcW w:w="8367" w:type="dxa"/>
                        <w:hideMark/>
                      </w:tcPr>
                      <w:p w:rsidR="001269CD" w:rsidRPr="003932DB" w:rsidRDefault="001269CD" w:rsidP="00410C66">
                        <w:pPr>
                          <w:pStyle w:val="11"/>
                          <w:spacing w:before="120" w:beforeAutospacing="0" w:after="0" w:afterAutospacing="0"/>
                          <w:jc w:val="both"/>
                          <w:rPr>
                            <w:rFonts w:ascii="inherit" w:hAnsi="inherit"/>
                            <w:lang w:val="ro-RO"/>
                          </w:rPr>
                        </w:pPr>
                        <w:r w:rsidRPr="003932DB">
                          <w:rPr>
                            <w:rFonts w:ascii="inherit" w:hAnsi="inherit"/>
                            <w:lang w:val="ro-RO"/>
                          </w:rPr>
                          <w:t>dimensiunea, și anume numărul de articole;</w:t>
                        </w:r>
                      </w:p>
                    </w:tc>
                  </w:tr>
                </w:tbl>
                <w:p w:rsidR="001269CD" w:rsidRPr="003932DB" w:rsidRDefault="001269CD" w:rsidP="00410C66">
                  <w:pPr>
                    <w:rPr>
                      <w:rFonts w:ascii="inherit" w:hAnsi="inherit"/>
                      <w:vanish/>
                      <w:color w:val="000000"/>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646"/>
                    <w:gridCol w:w="3150"/>
                  </w:tblGrid>
                  <w:tr w:rsidR="001269CD" w:rsidRPr="003932DB" w:rsidTr="00410C66">
                    <w:trPr>
                      <w:tblCellSpacing w:w="0" w:type="dxa"/>
                    </w:trPr>
                    <w:tc>
                      <w:tcPr>
                        <w:tcW w:w="1484" w:type="dxa"/>
                        <w:hideMark/>
                      </w:tcPr>
                      <w:p w:rsidR="001269CD" w:rsidRPr="003932DB" w:rsidRDefault="001269CD" w:rsidP="00410C66">
                        <w:pPr>
                          <w:pStyle w:val="11"/>
                          <w:spacing w:before="120" w:beforeAutospacing="0" w:after="0" w:afterAutospacing="0"/>
                          <w:jc w:val="both"/>
                          <w:rPr>
                            <w:rFonts w:ascii="inherit" w:hAnsi="inherit"/>
                            <w:lang w:val="ro-RO"/>
                          </w:rPr>
                        </w:pPr>
                        <w:r w:rsidRPr="003932DB">
                          <w:rPr>
                            <w:rFonts w:ascii="inherit" w:hAnsi="inherit"/>
                            <w:lang w:val="ro-RO"/>
                          </w:rPr>
                          <w:t>(ii)</w:t>
                        </w:r>
                      </w:p>
                    </w:tc>
                    <w:tc>
                      <w:tcPr>
                        <w:tcW w:w="7337" w:type="dxa"/>
                        <w:hideMark/>
                      </w:tcPr>
                      <w:p w:rsidR="001269CD" w:rsidRPr="003932DB" w:rsidRDefault="001269CD" w:rsidP="00410C66">
                        <w:pPr>
                          <w:pStyle w:val="11"/>
                          <w:spacing w:before="120" w:beforeAutospacing="0" w:after="0" w:afterAutospacing="0"/>
                          <w:jc w:val="both"/>
                          <w:rPr>
                            <w:rFonts w:ascii="inherit" w:hAnsi="inherit"/>
                            <w:lang w:val="ro-RO"/>
                          </w:rPr>
                        </w:pPr>
                        <w:r w:rsidRPr="003932DB">
                          <w:rPr>
                            <w:rFonts w:ascii="inherit" w:hAnsi="inherit"/>
                            <w:lang w:val="ro-RO"/>
                          </w:rPr>
                          <w:t>țara de origine;</w:t>
                        </w:r>
                      </w:p>
                    </w:tc>
                  </w:tr>
                </w:tbl>
                <w:p w:rsidR="001269CD" w:rsidRPr="003932DB" w:rsidRDefault="001269CD" w:rsidP="00410C66">
                  <w:pPr>
                    <w:rPr>
                      <w:rFonts w:ascii="inherit" w:hAnsi="inherit"/>
                      <w:color w:val="000000"/>
                      <w:lang w:val="ro-RO"/>
                    </w:rPr>
                  </w:pPr>
                </w:p>
              </w:tc>
            </w:tr>
          </w:tbl>
          <w:p w:rsidR="001269CD" w:rsidRPr="003932DB" w:rsidRDefault="001269CD" w:rsidP="001269CD">
            <w:pPr>
              <w:rPr>
                <w:vanish/>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230"/>
              <w:gridCol w:w="3807"/>
            </w:tblGrid>
            <w:tr w:rsidR="001269CD" w:rsidRPr="003932DB" w:rsidTr="00410C66">
              <w:trPr>
                <w:tblCellSpacing w:w="0" w:type="dxa"/>
              </w:trPr>
              <w:tc>
                <w:tcPr>
                  <w:tcW w:w="510" w:type="dxa"/>
                  <w:hideMark/>
                </w:tcPr>
                <w:p w:rsidR="001269CD" w:rsidRPr="003932DB" w:rsidRDefault="001269CD"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(b)</w:t>
                  </w:r>
                </w:p>
              </w:tc>
              <w:tc>
                <w:tcPr>
                  <w:tcW w:w="8845" w:type="dxa"/>
                  <w:hideMark/>
                </w:tcPr>
                <w:p w:rsidR="001269CD" w:rsidRPr="003932DB" w:rsidRDefault="001269CD"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numărul de loturi supuse eșantionării și analizelor;</w:t>
                  </w:r>
                </w:p>
              </w:tc>
            </w:tr>
          </w:tbl>
          <w:p w:rsidR="001269CD" w:rsidRPr="003932DB" w:rsidRDefault="001269CD" w:rsidP="001269CD">
            <w:pPr>
              <w:rPr>
                <w:vanish/>
                <w:lang w:val="ro-RO"/>
              </w:rPr>
            </w:pPr>
          </w:p>
          <w:tbl>
            <w:tblPr>
              <w:tblW w:w="5000" w:type="pct"/>
              <w:tblCellSpacing w:w="0" w:type="dxa"/>
              <w:tblLayout w:type="fixed"/>
              <w:tblCellMar>
                <w:left w:w="0" w:type="dxa"/>
                <w:right w:w="0" w:type="dxa"/>
              </w:tblCellMar>
              <w:tblLook w:val="04A0" w:firstRow="1" w:lastRow="0" w:firstColumn="1" w:lastColumn="0" w:noHBand="0" w:noVBand="1"/>
            </w:tblPr>
            <w:tblGrid>
              <w:gridCol w:w="228"/>
              <w:gridCol w:w="3809"/>
            </w:tblGrid>
            <w:tr w:rsidR="001269CD" w:rsidRPr="003932DB" w:rsidTr="00410C66">
              <w:trPr>
                <w:tblCellSpacing w:w="0" w:type="dxa"/>
              </w:trPr>
              <w:tc>
                <w:tcPr>
                  <w:tcW w:w="505" w:type="dxa"/>
                  <w:hideMark/>
                </w:tcPr>
                <w:p w:rsidR="001269CD" w:rsidRPr="003932DB" w:rsidRDefault="001269CD"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(c)</w:t>
                  </w:r>
                </w:p>
              </w:tc>
              <w:tc>
                <w:tcPr>
                  <w:tcW w:w="8850" w:type="dxa"/>
                  <w:hideMark/>
                </w:tcPr>
                <w:p w:rsidR="001269CD" w:rsidRPr="003932DB" w:rsidRDefault="001269CD" w:rsidP="00410C66">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rezultatele controalelor menționate la articolul 6.</w:t>
                  </w:r>
                </w:p>
              </w:tc>
            </w:tr>
          </w:tbl>
          <w:p w:rsidR="001269CD" w:rsidRPr="003932DB" w:rsidRDefault="001269CD" w:rsidP="001269CD">
            <w:pPr>
              <w:pStyle w:val="ti-art"/>
              <w:spacing w:before="360" w:beforeAutospacing="0" w:after="120" w:afterAutospacing="0"/>
              <w:jc w:val="center"/>
              <w:rPr>
                <w:i/>
                <w:iCs/>
                <w:color w:val="000000"/>
                <w:lang w:val="ro-RO"/>
              </w:rPr>
            </w:pPr>
          </w:p>
        </w:tc>
        <w:tc>
          <w:tcPr>
            <w:tcW w:w="3544" w:type="dxa"/>
          </w:tcPr>
          <w:p w:rsidR="003121CC" w:rsidRPr="003932DB" w:rsidRDefault="003121CC" w:rsidP="003121CC">
            <w:pPr>
              <w:pStyle w:val="a6"/>
              <w:ind w:firstLine="709"/>
              <w:jc w:val="both"/>
              <w:rPr>
                <w:color w:val="000000"/>
                <w:sz w:val="28"/>
                <w:szCs w:val="28"/>
                <w:lang w:val="ro-RO"/>
              </w:rPr>
            </w:pPr>
            <w:r w:rsidRPr="003932DB">
              <w:rPr>
                <w:color w:val="000000"/>
                <w:sz w:val="28"/>
                <w:szCs w:val="28"/>
                <w:lang w:val="ro-RO"/>
              </w:rPr>
              <w:lastRenderedPageBreak/>
              <w:t>12.  După ce controalele menționate la punctul 10, subpunctele 1) și 2) al prezentului Regulament au fost efectuate, Centrul</w:t>
            </w:r>
            <w:r w:rsidRPr="003932DB">
              <w:rPr>
                <w:bCs/>
                <w:color w:val="000000"/>
                <w:sz w:val="28"/>
                <w:szCs w:val="28"/>
                <w:lang w:val="ro-RO"/>
              </w:rPr>
              <w:t xml:space="preserve"> Național de Sănătate Publică </w:t>
            </w:r>
            <w:r w:rsidRPr="003932DB">
              <w:rPr>
                <w:bCs/>
                <w:color w:val="000000"/>
                <w:sz w:val="28"/>
                <w:szCs w:val="28"/>
                <w:lang w:val="ro-RO"/>
              </w:rPr>
              <w:lastRenderedPageBreak/>
              <w:t>și Serviciul Vamal</w:t>
            </w:r>
            <w:r w:rsidRPr="003932DB">
              <w:rPr>
                <w:color w:val="000000"/>
                <w:sz w:val="28"/>
                <w:szCs w:val="28"/>
                <w:lang w:val="ro-RO"/>
              </w:rPr>
              <w:t xml:space="preserve">  țin evidența următoarelor informații:</w:t>
            </w:r>
          </w:p>
          <w:p w:rsidR="003121CC" w:rsidRPr="003932DB" w:rsidRDefault="003121CC" w:rsidP="003121CC">
            <w:pPr>
              <w:pStyle w:val="a6"/>
              <w:numPr>
                <w:ilvl w:val="0"/>
                <w:numId w:val="30"/>
              </w:numPr>
              <w:tabs>
                <w:tab w:val="left" w:pos="993"/>
              </w:tabs>
              <w:ind w:left="0" w:firstLine="709"/>
              <w:jc w:val="both"/>
              <w:rPr>
                <w:color w:val="000000"/>
                <w:sz w:val="28"/>
                <w:szCs w:val="28"/>
                <w:lang w:val="ro-RO"/>
              </w:rPr>
            </w:pPr>
            <w:r w:rsidRPr="003932DB">
              <w:rPr>
                <w:color w:val="000000"/>
                <w:sz w:val="28"/>
                <w:szCs w:val="28"/>
                <w:lang w:val="ro-RO"/>
              </w:rPr>
              <w:t>detalii despre fiecare lot controlat, inclusiv:</w:t>
            </w:r>
          </w:p>
          <w:p w:rsidR="003121CC" w:rsidRPr="003932DB" w:rsidRDefault="003121CC" w:rsidP="003121CC">
            <w:pPr>
              <w:pStyle w:val="a6"/>
              <w:numPr>
                <w:ilvl w:val="0"/>
                <w:numId w:val="30"/>
              </w:numPr>
              <w:tabs>
                <w:tab w:val="left" w:pos="993"/>
              </w:tabs>
              <w:ind w:left="0" w:firstLine="709"/>
              <w:jc w:val="both"/>
              <w:rPr>
                <w:sz w:val="28"/>
                <w:szCs w:val="28"/>
                <w:lang w:val="ro-RO"/>
              </w:rPr>
            </w:pPr>
            <w:r w:rsidRPr="003932DB">
              <w:rPr>
                <w:sz w:val="28"/>
                <w:szCs w:val="28"/>
                <w:lang w:val="ro-RO"/>
              </w:rPr>
              <w:t>dimensiunea, și anume numărul de articole;</w:t>
            </w:r>
          </w:p>
          <w:p w:rsidR="003121CC" w:rsidRPr="003932DB" w:rsidRDefault="003121CC" w:rsidP="003121CC">
            <w:pPr>
              <w:pStyle w:val="a6"/>
              <w:numPr>
                <w:ilvl w:val="0"/>
                <w:numId w:val="30"/>
              </w:numPr>
              <w:tabs>
                <w:tab w:val="left" w:pos="993"/>
              </w:tabs>
              <w:ind w:left="0" w:firstLine="709"/>
              <w:jc w:val="both"/>
              <w:rPr>
                <w:sz w:val="28"/>
                <w:szCs w:val="28"/>
                <w:lang w:val="ro-RO"/>
              </w:rPr>
            </w:pPr>
            <w:r w:rsidRPr="003932DB">
              <w:rPr>
                <w:sz w:val="28"/>
                <w:szCs w:val="28"/>
                <w:lang w:val="ro-RO"/>
              </w:rPr>
              <w:t>țara de origine;</w:t>
            </w:r>
          </w:p>
          <w:p w:rsidR="003121CC" w:rsidRPr="003932DB" w:rsidRDefault="003121CC" w:rsidP="003121CC">
            <w:pPr>
              <w:pStyle w:val="a6"/>
              <w:numPr>
                <w:ilvl w:val="0"/>
                <w:numId w:val="30"/>
              </w:numPr>
              <w:tabs>
                <w:tab w:val="left" w:pos="993"/>
              </w:tabs>
              <w:ind w:left="0" w:firstLine="709"/>
              <w:jc w:val="both"/>
              <w:rPr>
                <w:color w:val="000000"/>
                <w:sz w:val="28"/>
                <w:szCs w:val="28"/>
                <w:lang w:val="ro-RO"/>
              </w:rPr>
            </w:pPr>
            <w:r w:rsidRPr="003932DB">
              <w:rPr>
                <w:color w:val="000000"/>
                <w:sz w:val="28"/>
                <w:szCs w:val="28"/>
                <w:lang w:val="ro-RO"/>
              </w:rPr>
              <w:t>numărul de loturi supuse eșantionării și analizelor;</w:t>
            </w:r>
          </w:p>
          <w:p w:rsidR="001269CD" w:rsidRPr="003932DB" w:rsidRDefault="003121CC" w:rsidP="003932DB">
            <w:pPr>
              <w:pStyle w:val="a6"/>
              <w:numPr>
                <w:ilvl w:val="0"/>
                <w:numId w:val="30"/>
              </w:numPr>
              <w:tabs>
                <w:tab w:val="left" w:pos="993"/>
              </w:tabs>
              <w:ind w:left="0" w:firstLine="709"/>
              <w:jc w:val="both"/>
              <w:rPr>
                <w:b/>
                <w:bCs/>
                <w:color w:val="000000"/>
                <w:lang w:val="ro-RO"/>
              </w:rPr>
            </w:pPr>
            <w:r w:rsidRPr="003932DB">
              <w:rPr>
                <w:color w:val="000000"/>
                <w:sz w:val="28"/>
                <w:szCs w:val="28"/>
                <w:lang w:val="ro-RO"/>
              </w:rPr>
              <w:t>rezultatele controalelor menționate la punctul 10, alineatul 2) al prezentului Regulament.</w:t>
            </w:r>
          </w:p>
        </w:tc>
        <w:tc>
          <w:tcPr>
            <w:tcW w:w="1559" w:type="dxa"/>
          </w:tcPr>
          <w:p w:rsidR="001269CD" w:rsidRPr="003932DB" w:rsidRDefault="003121CC" w:rsidP="00DA75E0">
            <w:pPr>
              <w:rPr>
                <w:b/>
                <w:lang w:val="ro-RO"/>
              </w:rPr>
            </w:pPr>
            <w:r w:rsidRPr="003932DB">
              <w:rPr>
                <w:b/>
                <w:lang w:val="ro-RO"/>
              </w:rPr>
              <w:lastRenderedPageBreak/>
              <w:t>Nu este cazul</w:t>
            </w:r>
          </w:p>
        </w:tc>
        <w:tc>
          <w:tcPr>
            <w:tcW w:w="1985" w:type="dxa"/>
          </w:tcPr>
          <w:p w:rsidR="001269CD" w:rsidRPr="003932DB" w:rsidRDefault="001269CD" w:rsidP="00DA75E0">
            <w:pPr>
              <w:rPr>
                <w:b/>
                <w:lang w:val="ro-RO"/>
              </w:rPr>
            </w:pPr>
          </w:p>
        </w:tc>
        <w:tc>
          <w:tcPr>
            <w:tcW w:w="1559" w:type="dxa"/>
          </w:tcPr>
          <w:p w:rsidR="001269CD" w:rsidRPr="003932DB" w:rsidRDefault="001269CD" w:rsidP="00DA75E0">
            <w:pPr>
              <w:jc w:val="center"/>
              <w:rPr>
                <w:b/>
                <w:lang w:val="ro-RO"/>
              </w:rPr>
            </w:pPr>
          </w:p>
        </w:tc>
        <w:tc>
          <w:tcPr>
            <w:tcW w:w="1984" w:type="dxa"/>
          </w:tcPr>
          <w:p w:rsidR="001269CD" w:rsidRPr="003932DB" w:rsidRDefault="001269CD" w:rsidP="00DA75E0">
            <w:pPr>
              <w:jc w:val="center"/>
              <w:rPr>
                <w:b/>
                <w:lang w:val="ro-RO"/>
              </w:rPr>
            </w:pPr>
          </w:p>
        </w:tc>
      </w:tr>
      <w:tr w:rsidR="001269CD" w:rsidRPr="003932DB" w:rsidTr="00DC0624">
        <w:trPr>
          <w:trHeight w:val="1727"/>
        </w:trPr>
        <w:tc>
          <w:tcPr>
            <w:tcW w:w="4253" w:type="dxa"/>
          </w:tcPr>
          <w:p w:rsidR="001269CD" w:rsidRPr="003932DB" w:rsidRDefault="001269CD" w:rsidP="001269CD">
            <w:pPr>
              <w:pStyle w:val="11"/>
              <w:spacing w:before="120" w:beforeAutospacing="0" w:after="0" w:afterAutospacing="0"/>
              <w:jc w:val="both"/>
              <w:rPr>
                <w:color w:val="000000"/>
                <w:lang w:val="ro-RO"/>
              </w:rPr>
            </w:pPr>
            <w:r w:rsidRPr="003932DB">
              <w:rPr>
                <w:color w:val="000000"/>
                <w:lang w:val="ro-RO"/>
              </w:rPr>
              <w:lastRenderedPageBreak/>
              <w:t>(2)   Statele membre transmit Comisiei un raport trimestrial privind informațiile menționate la alineatul (1) până la sfârșitul lunii următoare fiecărui trimestru.</w:t>
            </w:r>
          </w:p>
          <w:p w:rsidR="001269CD" w:rsidRPr="003932DB" w:rsidRDefault="001269CD" w:rsidP="001269CD">
            <w:pPr>
              <w:pStyle w:val="ti-art"/>
              <w:spacing w:before="360" w:beforeAutospacing="0" w:after="120" w:afterAutospacing="0"/>
              <w:jc w:val="center"/>
              <w:rPr>
                <w:i/>
                <w:iCs/>
                <w:color w:val="000000"/>
                <w:lang w:val="ro-RO"/>
              </w:rPr>
            </w:pPr>
          </w:p>
        </w:tc>
        <w:tc>
          <w:tcPr>
            <w:tcW w:w="3544" w:type="dxa"/>
          </w:tcPr>
          <w:p w:rsidR="001269CD" w:rsidRPr="003932DB" w:rsidRDefault="001269CD" w:rsidP="003121CC">
            <w:pPr>
              <w:pStyle w:val="11"/>
              <w:spacing w:before="120" w:beforeAutospacing="0" w:after="0" w:afterAutospacing="0"/>
              <w:jc w:val="both"/>
              <w:rPr>
                <w:b/>
                <w:bCs/>
                <w:color w:val="000000"/>
                <w:lang w:val="ro-RO"/>
              </w:rPr>
            </w:pPr>
          </w:p>
        </w:tc>
        <w:tc>
          <w:tcPr>
            <w:tcW w:w="1559" w:type="dxa"/>
          </w:tcPr>
          <w:p w:rsidR="001269CD" w:rsidRPr="003932DB" w:rsidRDefault="003121CC" w:rsidP="00DA75E0">
            <w:pPr>
              <w:rPr>
                <w:b/>
                <w:lang w:val="ro-RO"/>
              </w:rPr>
            </w:pPr>
            <w:r w:rsidRPr="003932DB">
              <w:rPr>
                <w:b/>
                <w:lang w:val="ro-RO"/>
              </w:rPr>
              <w:t xml:space="preserve">Partea </w:t>
            </w:r>
            <w:proofErr w:type="spellStart"/>
            <w:r w:rsidRPr="003932DB">
              <w:rPr>
                <w:b/>
                <w:lang w:val="ro-RO"/>
              </w:rPr>
              <w:t>hotaritoare</w:t>
            </w:r>
            <w:proofErr w:type="spellEnd"/>
          </w:p>
        </w:tc>
        <w:tc>
          <w:tcPr>
            <w:tcW w:w="1985" w:type="dxa"/>
          </w:tcPr>
          <w:p w:rsidR="001269CD" w:rsidRPr="003932DB" w:rsidRDefault="001269CD" w:rsidP="00DA75E0">
            <w:pPr>
              <w:rPr>
                <w:b/>
                <w:lang w:val="ro-RO"/>
              </w:rPr>
            </w:pPr>
          </w:p>
        </w:tc>
        <w:tc>
          <w:tcPr>
            <w:tcW w:w="1559" w:type="dxa"/>
          </w:tcPr>
          <w:p w:rsidR="001269CD" w:rsidRPr="003932DB" w:rsidRDefault="001269CD" w:rsidP="00DA75E0">
            <w:pPr>
              <w:jc w:val="center"/>
              <w:rPr>
                <w:b/>
                <w:lang w:val="ro-RO"/>
              </w:rPr>
            </w:pPr>
          </w:p>
        </w:tc>
        <w:tc>
          <w:tcPr>
            <w:tcW w:w="1984" w:type="dxa"/>
          </w:tcPr>
          <w:p w:rsidR="001269CD" w:rsidRPr="003932DB" w:rsidRDefault="001269CD" w:rsidP="00DA75E0">
            <w:pPr>
              <w:jc w:val="center"/>
              <w:rPr>
                <w:b/>
                <w:lang w:val="ro-RO"/>
              </w:rPr>
            </w:pPr>
          </w:p>
        </w:tc>
      </w:tr>
      <w:tr w:rsidR="001269CD" w:rsidRPr="003932DB" w:rsidTr="00DC0624">
        <w:trPr>
          <w:trHeight w:val="1727"/>
        </w:trPr>
        <w:tc>
          <w:tcPr>
            <w:tcW w:w="4253" w:type="dxa"/>
          </w:tcPr>
          <w:p w:rsidR="001269CD" w:rsidRPr="003932DB" w:rsidRDefault="001269CD" w:rsidP="001269CD">
            <w:pPr>
              <w:pStyle w:val="ti-art"/>
              <w:spacing w:before="360" w:beforeAutospacing="0" w:after="120" w:afterAutospacing="0"/>
              <w:jc w:val="center"/>
              <w:rPr>
                <w:i/>
                <w:iCs/>
                <w:color w:val="000000"/>
                <w:lang w:val="ro-RO"/>
              </w:rPr>
            </w:pPr>
            <w:r w:rsidRPr="003932DB">
              <w:rPr>
                <w:i/>
                <w:iCs/>
                <w:color w:val="000000"/>
                <w:lang w:val="ro-RO"/>
              </w:rPr>
              <w:t>Articolul 10</w:t>
            </w:r>
          </w:p>
          <w:p w:rsidR="001269CD" w:rsidRPr="003932DB" w:rsidRDefault="001269CD" w:rsidP="001269CD">
            <w:pPr>
              <w:pStyle w:val="sti-art"/>
              <w:spacing w:before="60" w:beforeAutospacing="0" w:after="120" w:afterAutospacing="0"/>
              <w:jc w:val="center"/>
              <w:rPr>
                <w:b/>
                <w:bCs/>
                <w:color w:val="000000"/>
                <w:lang w:val="ro-RO"/>
              </w:rPr>
            </w:pPr>
            <w:r w:rsidRPr="003932DB">
              <w:rPr>
                <w:b/>
                <w:bCs/>
                <w:color w:val="000000"/>
                <w:lang w:val="ro-RO"/>
              </w:rPr>
              <w:t>Intrarea în vigoare</w:t>
            </w:r>
          </w:p>
          <w:p w:rsidR="001269CD" w:rsidRPr="003932DB" w:rsidRDefault="001269CD" w:rsidP="001269CD">
            <w:pPr>
              <w:pStyle w:val="11"/>
              <w:spacing w:before="120" w:beforeAutospacing="0" w:after="0" w:afterAutospacing="0"/>
              <w:jc w:val="both"/>
              <w:rPr>
                <w:color w:val="000000"/>
                <w:lang w:val="ro-RO"/>
              </w:rPr>
            </w:pPr>
            <w:r w:rsidRPr="003932DB">
              <w:rPr>
                <w:color w:val="000000"/>
                <w:lang w:val="ro-RO"/>
              </w:rPr>
              <w:t>Prezentul regulament intră în vigoare în a douăzecea zi de la data publicării în</w:t>
            </w:r>
            <w:r w:rsidRPr="003932DB">
              <w:rPr>
                <w:rStyle w:val="apple-converted-space"/>
                <w:color w:val="000000"/>
                <w:lang w:val="ro-RO"/>
              </w:rPr>
              <w:t> </w:t>
            </w:r>
            <w:r w:rsidRPr="003932DB">
              <w:rPr>
                <w:rStyle w:val="italic"/>
                <w:rFonts w:ascii="inherit" w:hAnsi="inherit"/>
                <w:i/>
                <w:iCs/>
                <w:color w:val="000000"/>
                <w:lang w:val="ro-RO"/>
              </w:rPr>
              <w:t>Jurnalul Oficial al Uniunii Europene</w:t>
            </w:r>
            <w:r w:rsidRPr="003932DB">
              <w:rPr>
                <w:color w:val="000000"/>
                <w:lang w:val="ro-RO"/>
              </w:rPr>
              <w:t>.</w:t>
            </w:r>
          </w:p>
          <w:p w:rsidR="001269CD" w:rsidRPr="003932DB" w:rsidRDefault="001269CD" w:rsidP="001269CD">
            <w:pPr>
              <w:pStyle w:val="11"/>
              <w:spacing w:before="120" w:beforeAutospacing="0" w:after="0" w:afterAutospacing="0"/>
              <w:jc w:val="both"/>
              <w:rPr>
                <w:color w:val="000000"/>
                <w:lang w:val="ro-RO"/>
              </w:rPr>
            </w:pPr>
            <w:r w:rsidRPr="003932DB">
              <w:rPr>
                <w:color w:val="000000"/>
                <w:lang w:val="ro-RO"/>
              </w:rPr>
              <w:t>Prezentul regulament se aplică de la 1 iulie 2011.</w:t>
            </w:r>
          </w:p>
          <w:p w:rsidR="001269CD" w:rsidRPr="003932DB" w:rsidRDefault="001269CD" w:rsidP="001269CD">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lastRenderedPageBreak/>
              <w:t>Prezentul regulament este obligatoriu în toate elementele sale și se aplică direct în toate statele membre, în conformitate cu tratatele.</w:t>
            </w:r>
          </w:p>
          <w:p w:rsidR="001269CD" w:rsidRPr="003932DB" w:rsidRDefault="001269CD" w:rsidP="001269CD">
            <w:pPr>
              <w:pStyle w:val="11"/>
              <w:spacing w:before="120" w:beforeAutospacing="0" w:after="0" w:afterAutospacing="0"/>
              <w:jc w:val="both"/>
              <w:rPr>
                <w:rFonts w:ascii="inherit" w:hAnsi="inherit"/>
                <w:color w:val="000000"/>
                <w:lang w:val="ro-RO"/>
              </w:rPr>
            </w:pPr>
            <w:r w:rsidRPr="003932DB">
              <w:rPr>
                <w:rFonts w:ascii="inherit" w:hAnsi="inherit"/>
                <w:color w:val="000000"/>
                <w:lang w:val="ro-RO"/>
              </w:rPr>
              <w:t>Adoptat la Bruxelles, 22 martie 2011.</w:t>
            </w:r>
          </w:p>
          <w:p w:rsidR="001269CD" w:rsidRPr="003932DB" w:rsidRDefault="001269CD" w:rsidP="001269CD">
            <w:pPr>
              <w:pStyle w:val="ti-art"/>
              <w:spacing w:before="360" w:beforeAutospacing="0" w:after="120" w:afterAutospacing="0"/>
              <w:jc w:val="center"/>
              <w:rPr>
                <w:i/>
                <w:iCs/>
                <w:color w:val="000000"/>
                <w:lang w:val="ro-RO"/>
              </w:rPr>
            </w:pPr>
          </w:p>
        </w:tc>
        <w:tc>
          <w:tcPr>
            <w:tcW w:w="3544" w:type="dxa"/>
          </w:tcPr>
          <w:p w:rsidR="001269CD" w:rsidRPr="003932DB" w:rsidRDefault="001269CD" w:rsidP="003121CC">
            <w:pPr>
              <w:pStyle w:val="11"/>
              <w:spacing w:before="120" w:beforeAutospacing="0" w:after="0" w:afterAutospacing="0"/>
              <w:jc w:val="both"/>
              <w:rPr>
                <w:b/>
                <w:bCs/>
                <w:color w:val="000000"/>
                <w:lang w:val="ro-RO"/>
              </w:rPr>
            </w:pPr>
          </w:p>
        </w:tc>
        <w:tc>
          <w:tcPr>
            <w:tcW w:w="1559" w:type="dxa"/>
          </w:tcPr>
          <w:p w:rsidR="001269CD" w:rsidRPr="003932DB" w:rsidRDefault="003121CC" w:rsidP="00DA75E0">
            <w:pPr>
              <w:rPr>
                <w:b/>
                <w:lang w:val="ro-RO"/>
              </w:rPr>
            </w:pPr>
            <w:r w:rsidRPr="003932DB">
              <w:rPr>
                <w:b/>
                <w:lang w:val="ro-RO"/>
              </w:rPr>
              <w:t xml:space="preserve">Partea </w:t>
            </w:r>
            <w:proofErr w:type="spellStart"/>
            <w:r w:rsidRPr="003932DB">
              <w:rPr>
                <w:b/>
                <w:lang w:val="ro-RO"/>
              </w:rPr>
              <w:t>hotaritoare</w:t>
            </w:r>
            <w:proofErr w:type="spellEnd"/>
          </w:p>
        </w:tc>
        <w:tc>
          <w:tcPr>
            <w:tcW w:w="1985" w:type="dxa"/>
          </w:tcPr>
          <w:p w:rsidR="001269CD" w:rsidRPr="003932DB" w:rsidRDefault="001269CD" w:rsidP="00DA75E0">
            <w:pPr>
              <w:rPr>
                <w:b/>
                <w:lang w:val="ro-RO"/>
              </w:rPr>
            </w:pPr>
          </w:p>
        </w:tc>
        <w:tc>
          <w:tcPr>
            <w:tcW w:w="1559" w:type="dxa"/>
          </w:tcPr>
          <w:p w:rsidR="001269CD" w:rsidRPr="003932DB" w:rsidRDefault="001269CD" w:rsidP="00DA75E0">
            <w:pPr>
              <w:jc w:val="center"/>
              <w:rPr>
                <w:b/>
                <w:lang w:val="ro-RO"/>
              </w:rPr>
            </w:pPr>
          </w:p>
        </w:tc>
        <w:tc>
          <w:tcPr>
            <w:tcW w:w="1984" w:type="dxa"/>
          </w:tcPr>
          <w:p w:rsidR="001269CD" w:rsidRPr="003932DB" w:rsidRDefault="001269CD" w:rsidP="00DA75E0">
            <w:pPr>
              <w:jc w:val="center"/>
              <w:rPr>
                <w:b/>
                <w:lang w:val="ro-RO"/>
              </w:rPr>
            </w:pPr>
          </w:p>
        </w:tc>
      </w:tr>
      <w:tr w:rsidR="001269CD" w:rsidRPr="003932DB" w:rsidTr="00DC0624">
        <w:trPr>
          <w:trHeight w:val="1727"/>
        </w:trPr>
        <w:tc>
          <w:tcPr>
            <w:tcW w:w="4253" w:type="dxa"/>
          </w:tcPr>
          <w:p w:rsidR="001269CD" w:rsidRPr="003932DB" w:rsidRDefault="001269CD" w:rsidP="001269CD">
            <w:pPr>
              <w:pStyle w:val="doc-ti"/>
              <w:spacing w:before="240" w:beforeAutospacing="0" w:after="120" w:afterAutospacing="0"/>
              <w:jc w:val="center"/>
              <w:rPr>
                <w:rFonts w:ascii="inherit" w:hAnsi="inherit"/>
                <w:b/>
                <w:bCs/>
                <w:color w:val="000000"/>
              </w:rPr>
            </w:pPr>
            <w:r w:rsidRPr="003932DB">
              <w:rPr>
                <w:rFonts w:ascii="inherit" w:hAnsi="inherit"/>
                <w:b/>
                <w:bCs/>
                <w:color w:val="000000"/>
              </w:rPr>
              <w:lastRenderedPageBreak/>
              <w:t>ANEXĂ</w:t>
            </w:r>
          </w:p>
          <w:p w:rsidR="001269CD" w:rsidRPr="003932DB" w:rsidRDefault="001269CD" w:rsidP="001269CD">
            <w:pPr>
              <w:pStyle w:val="ti-grseq-1"/>
              <w:spacing w:before="240" w:beforeAutospacing="0" w:after="120" w:afterAutospacing="0"/>
              <w:jc w:val="both"/>
              <w:rPr>
                <w:rFonts w:ascii="inherit" w:hAnsi="inherit"/>
                <w:b/>
                <w:bCs/>
                <w:color w:val="000000"/>
                <w:lang w:val="ro-RO"/>
              </w:rPr>
            </w:pPr>
            <w:r w:rsidRPr="003932DB">
              <w:rPr>
                <w:rStyle w:val="bold"/>
                <w:rFonts w:ascii="inherit" w:hAnsi="inherit"/>
                <w:b/>
                <w:bCs/>
                <w:color w:val="000000"/>
                <w:lang w:val="ro-RO"/>
              </w:rPr>
              <w:t>Declarație care trebuie furnizată pentru fiecare lot de articole de bucătărie din material plastic pe bază de poliamidă și melamină originare sau expediate din Republica Populară Chineză și din Regiunea Administrativă Specială Hong Kong a Republicii Populare Chineze</w:t>
            </w:r>
          </w:p>
          <w:p w:rsidR="001269CD" w:rsidRPr="003932DB" w:rsidRDefault="001269CD" w:rsidP="001269CD">
            <w:pPr>
              <w:pStyle w:val="ti-art"/>
              <w:spacing w:before="360" w:beforeAutospacing="0" w:after="120" w:afterAutospacing="0"/>
              <w:jc w:val="center"/>
              <w:rPr>
                <w:i/>
                <w:iCs/>
                <w:color w:val="000000"/>
                <w:lang w:val="ro-RO"/>
              </w:rPr>
            </w:pPr>
          </w:p>
        </w:tc>
        <w:tc>
          <w:tcPr>
            <w:tcW w:w="3544" w:type="dxa"/>
          </w:tcPr>
          <w:p w:rsidR="001269CD" w:rsidRPr="003932DB" w:rsidRDefault="001269CD" w:rsidP="001269CD">
            <w:pPr>
              <w:pStyle w:val="doc-ti"/>
              <w:spacing w:before="240" w:beforeAutospacing="0" w:after="120" w:afterAutospacing="0"/>
              <w:jc w:val="center"/>
              <w:rPr>
                <w:rFonts w:ascii="inherit" w:hAnsi="inherit"/>
                <w:b/>
                <w:bCs/>
                <w:color w:val="000000"/>
              </w:rPr>
            </w:pPr>
            <w:r w:rsidRPr="003932DB">
              <w:rPr>
                <w:rFonts w:ascii="inherit" w:hAnsi="inherit"/>
                <w:b/>
                <w:bCs/>
                <w:color w:val="000000"/>
              </w:rPr>
              <w:t>ANEXĂ</w:t>
            </w:r>
          </w:p>
          <w:p w:rsidR="001269CD" w:rsidRPr="003932DB" w:rsidRDefault="001269CD" w:rsidP="003932DB">
            <w:pPr>
              <w:pStyle w:val="ti-grseq-1"/>
              <w:spacing w:before="240" w:beforeAutospacing="0" w:after="120" w:afterAutospacing="0"/>
              <w:jc w:val="both"/>
              <w:rPr>
                <w:b/>
                <w:bCs/>
                <w:color w:val="000000"/>
                <w:lang w:val="ro-RO"/>
              </w:rPr>
            </w:pPr>
            <w:r w:rsidRPr="003932DB">
              <w:rPr>
                <w:rStyle w:val="bold"/>
                <w:rFonts w:ascii="inherit" w:hAnsi="inherit"/>
                <w:b/>
                <w:bCs/>
                <w:color w:val="000000"/>
                <w:lang w:val="ro-RO"/>
              </w:rPr>
              <w:t>Declarație care trebuie furnizată pentru fiecare lot de articole de bucătărie din material plastic pe bază de poliamidă și melamină originare sau expediate din Republica Populară Chineză și din Regiunea Administrativă Specială Hong Kong a Republicii Populare Chineze</w:t>
            </w:r>
          </w:p>
        </w:tc>
        <w:tc>
          <w:tcPr>
            <w:tcW w:w="1559" w:type="dxa"/>
          </w:tcPr>
          <w:p w:rsidR="001269CD" w:rsidRPr="003932DB" w:rsidRDefault="003121CC" w:rsidP="00DA75E0">
            <w:pPr>
              <w:rPr>
                <w:b/>
                <w:lang w:val="ro-RO"/>
              </w:rPr>
            </w:pPr>
            <w:r w:rsidRPr="003932DB">
              <w:rPr>
                <w:b/>
                <w:lang w:val="ro-RO"/>
              </w:rPr>
              <w:t>Transpus totalmente</w:t>
            </w:r>
          </w:p>
        </w:tc>
        <w:tc>
          <w:tcPr>
            <w:tcW w:w="1985" w:type="dxa"/>
          </w:tcPr>
          <w:p w:rsidR="001269CD" w:rsidRPr="003932DB" w:rsidRDefault="001269CD" w:rsidP="00DA75E0">
            <w:pPr>
              <w:rPr>
                <w:b/>
                <w:lang w:val="ro-RO"/>
              </w:rPr>
            </w:pPr>
          </w:p>
        </w:tc>
        <w:tc>
          <w:tcPr>
            <w:tcW w:w="1559" w:type="dxa"/>
          </w:tcPr>
          <w:p w:rsidR="001269CD" w:rsidRPr="003932DB" w:rsidRDefault="001269CD" w:rsidP="00DA75E0">
            <w:pPr>
              <w:jc w:val="center"/>
              <w:rPr>
                <w:b/>
                <w:lang w:val="ro-RO"/>
              </w:rPr>
            </w:pPr>
          </w:p>
        </w:tc>
        <w:tc>
          <w:tcPr>
            <w:tcW w:w="1984" w:type="dxa"/>
          </w:tcPr>
          <w:p w:rsidR="001269CD" w:rsidRPr="003932DB" w:rsidRDefault="001269CD" w:rsidP="00DA75E0">
            <w:pPr>
              <w:jc w:val="center"/>
              <w:rPr>
                <w:b/>
                <w:lang w:val="ro-RO"/>
              </w:rPr>
            </w:pPr>
          </w:p>
        </w:tc>
      </w:tr>
      <w:tr w:rsidR="001269CD" w:rsidRPr="003932DB" w:rsidTr="00DC0624">
        <w:trPr>
          <w:trHeight w:val="1727"/>
        </w:trPr>
        <w:tc>
          <w:tcPr>
            <w:tcW w:w="4253" w:type="dxa"/>
          </w:tcPr>
          <w:p w:rsidR="001269CD" w:rsidRPr="003932DB" w:rsidRDefault="001269CD" w:rsidP="001269CD">
            <w:pPr>
              <w:pStyle w:val="doc-ti"/>
              <w:spacing w:before="240" w:beforeAutospacing="0" w:after="120" w:afterAutospacing="0"/>
              <w:jc w:val="center"/>
              <w:rPr>
                <w:rFonts w:ascii="inherit" w:hAnsi="inherit"/>
                <w:b/>
                <w:bCs/>
                <w:color w:val="000000"/>
              </w:rPr>
            </w:pPr>
            <w:r w:rsidRPr="003932DB">
              <w:rPr>
                <w:rFonts w:ascii="inherit" w:hAnsi="inherit"/>
                <w:noProof/>
                <w:color w:val="000000"/>
                <w:lang w:val="ru-RU" w:eastAsia="ru-RU"/>
              </w:rPr>
              <w:lastRenderedPageBreak/>
              <w:drawing>
                <wp:inline distT="0" distB="0" distL="0" distR="0" wp14:anchorId="0E16ADD5" wp14:editId="1717716A">
                  <wp:extent cx="5438775" cy="7972425"/>
                  <wp:effectExtent l="0" t="0" r="9525" b="9525"/>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7972425"/>
                          </a:xfrm>
                          <a:prstGeom prst="rect">
                            <a:avLst/>
                          </a:prstGeom>
                          <a:noFill/>
                          <a:ln>
                            <a:noFill/>
                          </a:ln>
                        </pic:spPr>
                      </pic:pic>
                    </a:graphicData>
                  </a:graphic>
                </wp:inline>
              </w:drawing>
            </w:r>
          </w:p>
        </w:tc>
        <w:tc>
          <w:tcPr>
            <w:tcW w:w="3544" w:type="dxa"/>
          </w:tcPr>
          <w:tbl>
            <w:tblPr>
              <w:tblpPr w:leftFromText="180" w:rightFromText="180" w:vertAnchor="text" w:horzAnchor="margin" w:tblpX="-843" w:tblpY="-293"/>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14"/>
              <w:gridCol w:w="4430"/>
            </w:tblGrid>
            <w:tr w:rsidR="003121CC" w:rsidRPr="003932DB" w:rsidTr="000E5097">
              <w:trPr>
                <w:gridAfter w:val="1"/>
                <w:wAfter w:w="4430" w:type="dxa"/>
                <w:trHeight w:hRule="exact" w:val="1145"/>
              </w:trPr>
              <w:tc>
                <w:tcPr>
                  <w:tcW w:w="5214" w:type="dxa"/>
                </w:tcPr>
                <w:p w:rsidR="003121CC" w:rsidRP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Numele, prenumele/denumirea și adresa completă (inclusiv numărul de telefon și adresa de e-mail) ale persoanei fizice sau juridice care emite prezenta declarație</w:t>
                  </w:r>
                </w:p>
              </w:tc>
            </w:tr>
            <w:tr w:rsidR="003121CC" w:rsidRPr="003932DB" w:rsidTr="000E5097">
              <w:trPr>
                <w:gridAfter w:val="1"/>
                <w:wAfter w:w="4430" w:type="dxa"/>
                <w:trHeight w:hRule="exact" w:val="1419"/>
              </w:trPr>
              <w:tc>
                <w:tcPr>
                  <w:tcW w:w="5214" w:type="dxa"/>
                </w:tcPr>
                <w:p w:rsidR="003121CC" w:rsidRP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xml:space="preserve">Numele, prenumele/denumirea și adresa completă (inclusiv numărul de telefon și adresa de e-mail) ale </w:t>
                  </w:r>
                  <w:proofErr w:type="spellStart"/>
                  <w:r w:rsidRPr="003932DB">
                    <w:rPr>
                      <w:rFonts w:eastAsiaTheme="minorEastAsia"/>
                      <w:lang w:val="ro-RO"/>
                    </w:rPr>
                    <w:t>operatorulul</w:t>
                  </w:r>
                  <w:proofErr w:type="spellEnd"/>
                  <w:r w:rsidRPr="003932DB">
                    <w:rPr>
                      <w:rFonts w:eastAsiaTheme="minorEastAsia"/>
                      <w:lang w:val="ro-RO"/>
                    </w:rPr>
                    <w:t xml:space="preserve"> (operatorilor) economic(i) care fabrică articolele de </w:t>
                  </w:r>
                  <w:proofErr w:type="spellStart"/>
                  <w:r w:rsidRPr="003932DB">
                    <w:rPr>
                      <w:rFonts w:eastAsiaTheme="minorEastAsia"/>
                      <w:lang w:val="ro-RO"/>
                    </w:rPr>
                    <w:t>bucătarie</w:t>
                  </w:r>
                  <w:proofErr w:type="spellEnd"/>
                  <w:r w:rsidRPr="003932DB">
                    <w:rPr>
                      <w:rFonts w:eastAsiaTheme="minorEastAsia"/>
                      <w:lang w:val="ro-RO"/>
                    </w:rPr>
                    <w:t xml:space="preserve"> din  material plastic  din cadrul </w:t>
                  </w:r>
                  <w:proofErr w:type="spellStart"/>
                  <w:r w:rsidRPr="003932DB">
                    <w:rPr>
                      <w:rFonts w:eastAsiaTheme="minorEastAsia"/>
                      <w:lang w:val="ro-RO"/>
                    </w:rPr>
                    <w:t>lotutui</w:t>
                  </w:r>
                  <w:proofErr w:type="spellEnd"/>
                </w:p>
              </w:tc>
            </w:tr>
            <w:tr w:rsidR="003121CC" w:rsidRPr="003932DB" w:rsidTr="000E5097">
              <w:trPr>
                <w:gridAfter w:val="1"/>
                <w:wAfter w:w="4430" w:type="dxa"/>
                <w:trHeight w:hRule="exact" w:val="1269"/>
              </w:trPr>
              <w:tc>
                <w:tcPr>
                  <w:tcW w:w="5214" w:type="dxa"/>
                </w:tcPr>
                <w:p w:rsidR="003121CC" w:rsidRP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xml:space="preserve">Numele, prenumele/denumirea  și adresa completă (inclusiv numărul de telefon și adresa de e-mail) ale </w:t>
                  </w:r>
                  <w:proofErr w:type="spellStart"/>
                  <w:r w:rsidRPr="003932DB">
                    <w:rPr>
                      <w:rFonts w:eastAsiaTheme="minorEastAsia"/>
                      <w:lang w:val="ro-RO"/>
                    </w:rPr>
                    <w:t>operatorulul</w:t>
                  </w:r>
                  <w:proofErr w:type="spellEnd"/>
                  <w:r w:rsidRPr="003932DB">
                    <w:rPr>
                      <w:rFonts w:eastAsiaTheme="minorEastAsia"/>
                      <w:lang w:val="ro-RO"/>
                    </w:rPr>
                    <w:t xml:space="preserve"> economic care este desemnat cu prima intrare a lotului în Republica Moldova</w:t>
                  </w:r>
                </w:p>
              </w:tc>
            </w:tr>
            <w:tr w:rsidR="003121CC" w:rsidRPr="003932DB" w:rsidTr="003932DB">
              <w:trPr>
                <w:trHeight w:hRule="exact" w:val="6230"/>
              </w:trPr>
              <w:tc>
                <w:tcPr>
                  <w:tcW w:w="9644" w:type="dxa"/>
                  <w:gridSpan w:val="2"/>
                </w:tcPr>
                <w:p w:rsidR="003121CC" w:rsidRPr="003932DB" w:rsidRDefault="003121CC" w:rsidP="003121CC">
                  <w:pPr>
                    <w:widowControl w:val="0"/>
                    <w:autoSpaceDE w:val="0"/>
                    <w:autoSpaceDN w:val="0"/>
                    <w:adjustRightInd w:val="0"/>
                    <w:ind w:left="170"/>
                    <w:rPr>
                      <w:rFonts w:eastAsiaTheme="minorEastAsia"/>
                      <w:lang w:val="ro-RO"/>
                    </w:rPr>
                  </w:pPr>
                </w:p>
                <w:p w:rsidR="003121CC" w:rsidRPr="003932DB" w:rsidRDefault="003121CC" w:rsidP="003121CC">
                  <w:pPr>
                    <w:widowControl w:val="0"/>
                    <w:autoSpaceDE w:val="0"/>
                    <w:autoSpaceDN w:val="0"/>
                    <w:adjustRightInd w:val="0"/>
                    <w:ind w:left="170"/>
                    <w:rPr>
                      <w:rFonts w:eastAsiaTheme="minorEastAsia"/>
                      <w:u w:val="single"/>
                      <w:lang w:val="ro-RO"/>
                    </w:rPr>
                  </w:pPr>
                  <w:r w:rsidRPr="003932DB">
                    <w:rPr>
                      <w:rFonts w:eastAsiaTheme="minorEastAsia"/>
                      <w:lang w:val="ro-RO"/>
                    </w:rPr>
                    <w:t xml:space="preserve">Codul de </w:t>
                  </w:r>
                  <w:proofErr w:type="spellStart"/>
                  <w:r w:rsidRPr="003932DB">
                    <w:rPr>
                      <w:rFonts w:eastAsiaTheme="minorEastAsia"/>
                      <w:lang w:val="ro-RO"/>
                    </w:rPr>
                    <w:t>identiflcare</w:t>
                  </w:r>
                  <w:proofErr w:type="spellEnd"/>
                  <w:r w:rsidRPr="003932DB">
                    <w:rPr>
                      <w:rFonts w:eastAsiaTheme="minorEastAsia"/>
                      <w:lang w:val="ro-RO"/>
                    </w:rPr>
                    <w:t xml:space="preserve"> a </w:t>
                  </w:r>
                  <w:proofErr w:type="spellStart"/>
                  <w:r w:rsidRPr="003932DB">
                    <w:rPr>
                      <w:rFonts w:eastAsiaTheme="minorEastAsia"/>
                      <w:lang w:val="ro-RO"/>
                    </w:rPr>
                    <w:t>lotulul</w:t>
                  </w:r>
                  <w:proofErr w:type="spellEnd"/>
                  <w:r w:rsidRPr="003932DB">
                    <w:rPr>
                      <w:rFonts w:eastAsiaTheme="minorEastAsia"/>
                      <w:lang w:val="ro-RO"/>
                    </w:rPr>
                    <w:t>:...................................................</w:t>
                  </w:r>
                </w:p>
                <w:p w:rsidR="003121CC" w:rsidRPr="003932DB" w:rsidRDefault="003121CC" w:rsidP="003121CC">
                  <w:pPr>
                    <w:widowControl w:val="0"/>
                    <w:autoSpaceDE w:val="0"/>
                    <w:autoSpaceDN w:val="0"/>
                    <w:adjustRightInd w:val="0"/>
                    <w:ind w:left="170"/>
                    <w:rPr>
                      <w:rFonts w:eastAsiaTheme="minorEastAsia"/>
                      <w:lang w:val="ro-RO"/>
                    </w:rPr>
                  </w:pPr>
                </w:p>
                <w:p w:rsid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xml:space="preserve">Tip și număr de articole din </w:t>
                  </w:r>
                </w:p>
                <w:p w:rsidR="003121CC" w:rsidRPr="003932DB" w:rsidRDefault="003121CC" w:rsidP="003121CC">
                  <w:pPr>
                    <w:widowControl w:val="0"/>
                    <w:autoSpaceDE w:val="0"/>
                    <w:autoSpaceDN w:val="0"/>
                    <w:adjustRightInd w:val="0"/>
                    <w:ind w:left="170"/>
                    <w:rPr>
                      <w:rFonts w:eastAsiaTheme="minorEastAsia"/>
                      <w:u w:val="single"/>
                      <w:lang w:val="ro-RO"/>
                    </w:rPr>
                  </w:pPr>
                  <w:r w:rsidRPr="003932DB">
                    <w:rPr>
                      <w:rFonts w:eastAsiaTheme="minorEastAsia"/>
                      <w:lang w:val="ro-RO"/>
                    </w:rPr>
                    <w:t>cadrul lotului:</w:t>
                  </w:r>
                </w:p>
                <w:p w:rsidR="003121CC" w:rsidRPr="003932DB" w:rsidRDefault="003121CC" w:rsidP="003121CC">
                  <w:pPr>
                    <w:widowControl w:val="0"/>
                    <w:autoSpaceDE w:val="0"/>
                    <w:autoSpaceDN w:val="0"/>
                    <w:adjustRightInd w:val="0"/>
                    <w:ind w:left="170"/>
                    <w:rPr>
                      <w:rFonts w:eastAsiaTheme="minorEastAsia"/>
                      <w:lang w:val="ro-RO"/>
                    </w:rPr>
                  </w:pPr>
                </w:p>
                <w:p w:rsid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xml:space="preserve">Acest lot conține articole de </w:t>
                  </w:r>
                </w:p>
                <w:p w:rsid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bucătărie din material plastic pe</w:t>
                  </w:r>
                </w:p>
                <w:p w:rsidR="003121CC" w:rsidRP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xml:space="preserve"> baza de:</w:t>
                  </w:r>
                </w:p>
                <w:p w:rsidR="003121CC" w:rsidRPr="003932DB" w:rsidRDefault="003121CC" w:rsidP="003121CC">
                  <w:pPr>
                    <w:widowControl w:val="0"/>
                    <w:autoSpaceDE w:val="0"/>
                    <w:autoSpaceDN w:val="0"/>
                    <w:adjustRightInd w:val="0"/>
                    <w:ind w:left="170"/>
                    <w:rPr>
                      <w:rFonts w:eastAsiaTheme="minorEastAsia"/>
                      <w:sz w:val="2"/>
                      <w:lang w:val="ro-RO"/>
                    </w:rPr>
                  </w:pPr>
                </w:p>
                <w:p w:rsidR="003121CC" w:rsidRPr="003932DB" w:rsidRDefault="003121CC" w:rsidP="003121CC">
                  <w:pPr>
                    <w:widowControl w:val="0"/>
                    <w:autoSpaceDE w:val="0"/>
                    <w:autoSpaceDN w:val="0"/>
                    <w:adjustRightInd w:val="0"/>
                    <w:ind w:left="170"/>
                    <w:rPr>
                      <w:rFonts w:eastAsiaTheme="minorEastAsia"/>
                      <w:lang w:val="ro-RO"/>
                    </w:rPr>
                  </w:pPr>
                </w:p>
                <w:p w:rsidR="003932DB" w:rsidRDefault="003121CC" w:rsidP="003121CC">
                  <w:pPr>
                    <w:widowControl w:val="0"/>
                    <w:autoSpaceDE w:val="0"/>
                    <w:autoSpaceDN w:val="0"/>
                    <w:adjustRightInd w:val="0"/>
                    <w:ind w:left="170"/>
                    <w:rPr>
                      <w:rFonts w:eastAsiaTheme="minorEastAsia"/>
                      <w:lang w:val="ro-RO"/>
                    </w:rPr>
                  </w:pPr>
                  <w:r w:rsidRPr="003932DB">
                    <w:rPr>
                      <w:rFonts w:eastAsiaTheme="minorEastAsia"/>
                      <w:noProof/>
                    </w:rPr>
                    <mc:AlternateContent>
                      <mc:Choice Requires="wps">
                        <w:drawing>
                          <wp:anchor distT="0" distB="0" distL="114300" distR="114300" simplePos="0" relativeHeight="251659264" behindDoc="0" locked="0" layoutInCell="1" allowOverlap="1" wp14:anchorId="0DD022AF" wp14:editId="04CF3FDC">
                            <wp:simplePos x="0" y="0"/>
                            <wp:positionH relativeFrom="column">
                              <wp:posOffset>374015</wp:posOffset>
                            </wp:positionH>
                            <wp:positionV relativeFrom="paragraph">
                              <wp:posOffset>19050</wp:posOffset>
                            </wp:positionV>
                            <wp:extent cx="142875" cy="142875"/>
                            <wp:effectExtent l="9525" t="10795" r="9525" b="82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9.45pt;margin-top:1.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"/>
                        </w:pict>
                      </mc:Fallback>
                    </mc:AlternateContent>
                  </w:r>
                  <w:r w:rsidRPr="003932DB">
                    <w:rPr>
                      <w:rFonts w:eastAsiaTheme="minorEastAsia"/>
                      <w:lang w:val="ro-RO"/>
                    </w:rPr>
                    <w:t xml:space="preserve">             </w:t>
                  </w:r>
                  <w:proofErr w:type="spellStart"/>
                  <w:r w:rsidR="003932DB">
                    <w:rPr>
                      <w:rFonts w:eastAsiaTheme="minorEastAsia"/>
                      <w:b/>
                      <w:lang w:val="ro-RO"/>
                    </w:rPr>
                    <w:t>poliamidă</w:t>
                  </w:r>
                  <w:r w:rsidRPr="003932DB">
                    <w:rPr>
                      <w:rFonts w:eastAsiaTheme="minorEastAsia"/>
                      <w:lang w:val="ro-RO"/>
                    </w:rPr>
                    <w:t>-</w:t>
                  </w:r>
                  <w:proofErr w:type="spellEnd"/>
                  <w:r w:rsidRPr="003932DB">
                    <w:rPr>
                      <w:rFonts w:eastAsiaTheme="minorEastAsia"/>
                      <w:lang w:val="ro-RO"/>
                    </w:rPr>
                    <w:t xml:space="preserve"> Teste analitice</w:t>
                  </w:r>
                </w:p>
                <w:p w:rsid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xml:space="preserve"> au demonstrat că articolele</w:t>
                  </w:r>
                </w:p>
                <w:p w:rsid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xml:space="preserve"> nu </w:t>
                  </w:r>
                  <w:proofErr w:type="spellStart"/>
                  <w:r w:rsidRPr="003932DB">
                    <w:rPr>
                      <w:rFonts w:eastAsiaTheme="minorEastAsia"/>
                      <w:lang w:val="ro-RO"/>
                    </w:rPr>
                    <w:t>elibereaza</w:t>
                  </w:r>
                  <w:proofErr w:type="spellEnd"/>
                  <w:r w:rsidRPr="003932DB">
                    <w:rPr>
                      <w:rFonts w:eastAsiaTheme="minorEastAsia"/>
                      <w:lang w:val="ro-RO"/>
                    </w:rPr>
                    <w:t xml:space="preserve"> AAP în cantitate  </w:t>
                  </w:r>
                </w:p>
                <w:p w:rsidR="003121CC" w:rsidRP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xml:space="preserve"> </w:t>
                  </w:r>
                  <w:proofErr w:type="spellStart"/>
                  <w:r w:rsidRPr="003932DB">
                    <w:rPr>
                      <w:rFonts w:eastAsiaTheme="minorEastAsia"/>
                      <w:lang w:val="ro-RO"/>
                    </w:rPr>
                    <w:t>detecatabilă</w:t>
                  </w:r>
                  <w:proofErr w:type="spellEnd"/>
                  <w:r w:rsidRPr="003932DB">
                    <w:rPr>
                      <w:rFonts w:eastAsiaTheme="minorEastAsia"/>
                      <w:lang w:val="ro-RO"/>
                    </w:rPr>
                    <w:t>.</w:t>
                  </w:r>
                </w:p>
                <w:p w:rsid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xml:space="preserve"> - Limita de detectare a metodei </w:t>
                  </w:r>
                </w:p>
                <w:p w:rsidR="003932DB" w:rsidRDefault="003121CC" w:rsidP="003121CC">
                  <w:pPr>
                    <w:widowControl w:val="0"/>
                    <w:autoSpaceDE w:val="0"/>
                    <w:autoSpaceDN w:val="0"/>
                    <w:adjustRightInd w:val="0"/>
                    <w:ind w:left="170"/>
                    <w:rPr>
                      <w:rFonts w:eastAsiaTheme="minorEastAsia"/>
                      <w:lang w:val="ro-RO"/>
                    </w:rPr>
                  </w:pPr>
                  <w:proofErr w:type="spellStart"/>
                  <w:r w:rsidRPr="003932DB">
                    <w:rPr>
                      <w:rFonts w:eastAsiaTheme="minorEastAsia"/>
                      <w:lang w:val="ro-RO"/>
                    </w:rPr>
                    <w:t>utillzate</w:t>
                  </w:r>
                  <w:proofErr w:type="spellEnd"/>
                  <w:r w:rsidRPr="003932DB">
                    <w:rPr>
                      <w:rFonts w:eastAsiaTheme="minorEastAsia"/>
                      <w:lang w:val="ro-RO"/>
                    </w:rPr>
                    <w:t xml:space="preserve"> este de..</w:t>
                  </w:r>
                </w:p>
                <w:p w:rsidR="003121CC" w:rsidRPr="003932DB" w:rsidRDefault="003121CC" w:rsidP="003121CC">
                  <w:pPr>
                    <w:widowControl w:val="0"/>
                    <w:autoSpaceDE w:val="0"/>
                    <w:autoSpaceDN w:val="0"/>
                    <w:adjustRightInd w:val="0"/>
                    <w:ind w:left="170"/>
                    <w:rPr>
                      <w:rFonts w:eastAsiaTheme="minorEastAsia"/>
                      <w:sz w:val="20"/>
                      <w:szCs w:val="20"/>
                      <w:lang w:val="ro-RO"/>
                    </w:rPr>
                  </w:pPr>
                </w:p>
                <w:p w:rsid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Rezultatele acestor teste, precum</w:t>
                  </w:r>
                </w:p>
                <w:p w:rsid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xml:space="preserve"> și descrierea metodei de analiză</w:t>
                  </w:r>
                </w:p>
                <w:p w:rsid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xml:space="preserve"> folosite  sunt anexate la</w:t>
                  </w:r>
                </w:p>
                <w:p w:rsid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xml:space="preserve"> prezentul</w:t>
                  </w:r>
                </w:p>
                <w:p w:rsidR="003932DB" w:rsidRDefault="003932DB" w:rsidP="003121CC">
                  <w:pPr>
                    <w:widowControl w:val="0"/>
                    <w:autoSpaceDE w:val="0"/>
                    <w:autoSpaceDN w:val="0"/>
                    <w:adjustRightInd w:val="0"/>
                    <w:ind w:left="170"/>
                    <w:rPr>
                      <w:rFonts w:eastAsiaTheme="minorEastAsia"/>
                      <w:lang w:val="ro-RO"/>
                    </w:rPr>
                  </w:pPr>
                </w:p>
                <w:p w:rsidR="003932DB" w:rsidRDefault="003932DB" w:rsidP="003121CC">
                  <w:pPr>
                    <w:widowControl w:val="0"/>
                    <w:autoSpaceDE w:val="0"/>
                    <w:autoSpaceDN w:val="0"/>
                    <w:adjustRightInd w:val="0"/>
                    <w:ind w:left="170"/>
                    <w:rPr>
                      <w:rFonts w:eastAsiaTheme="minorEastAsia"/>
                      <w:lang w:val="ro-RO"/>
                    </w:rPr>
                  </w:pPr>
                </w:p>
                <w:p w:rsidR="003121CC" w:rsidRPr="003932DB" w:rsidRDefault="003121CC" w:rsidP="003121CC">
                  <w:pPr>
                    <w:widowControl w:val="0"/>
                    <w:autoSpaceDE w:val="0"/>
                    <w:autoSpaceDN w:val="0"/>
                    <w:adjustRightInd w:val="0"/>
                    <w:ind w:left="170"/>
                    <w:rPr>
                      <w:rFonts w:eastAsiaTheme="minorEastAsia"/>
                      <w:lang w:val="ro-RO"/>
                    </w:rPr>
                  </w:pPr>
                  <w:r w:rsidRPr="003932DB">
                    <w:rPr>
                      <w:rFonts w:eastAsiaTheme="minorEastAsia"/>
                      <w:lang w:val="ro-RO"/>
                    </w:rPr>
                    <w:t xml:space="preserve"> document</w:t>
                  </w:r>
                </w:p>
                <w:p w:rsidR="003121CC" w:rsidRPr="003932DB" w:rsidRDefault="003121CC" w:rsidP="003121CC">
                  <w:pPr>
                    <w:widowControl w:val="0"/>
                    <w:autoSpaceDE w:val="0"/>
                    <w:autoSpaceDN w:val="0"/>
                    <w:adjustRightInd w:val="0"/>
                    <w:ind w:left="170"/>
                    <w:rPr>
                      <w:rFonts w:eastAsiaTheme="minorEastAsia"/>
                      <w:lang w:val="ro-RO"/>
                    </w:rPr>
                  </w:pPr>
                </w:p>
                <w:p w:rsidR="003121CC" w:rsidRPr="003932DB" w:rsidRDefault="003121CC" w:rsidP="003121CC">
                  <w:pPr>
                    <w:widowControl w:val="0"/>
                    <w:autoSpaceDE w:val="0"/>
                    <w:autoSpaceDN w:val="0"/>
                    <w:adjustRightInd w:val="0"/>
                    <w:ind w:left="170"/>
                    <w:rPr>
                      <w:rFonts w:eastAsiaTheme="minorEastAsia"/>
                      <w:lang w:val="ro-RO"/>
                    </w:rPr>
                  </w:pPr>
                  <w:r w:rsidRPr="003932DB">
                    <w:rPr>
                      <w:rFonts w:eastAsiaTheme="minorEastAsia"/>
                      <w:noProof/>
                    </w:rPr>
                    <mc:AlternateContent>
                      <mc:Choice Requires="wps">
                        <w:drawing>
                          <wp:anchor distT="0" distB="0" distL="114300" distR="114300" simplePos="0" relativeHeight="251660288" behindDoc="0" locked="0" layoutInCell="1" allowOverlap="1" wp14:anchorId="1DD19BD0" wp14:editId="0D533995">
                            <wp:simplePos x="0" y="0"/>
                            <wp:positionH relativeFrom="column">
                              <wp:posOffset>374015</wp:posOffset>
                            </wp:positionH>
                            <wp:positionV relativeFrom="paragraph">
                              <wp:posOffset>27940</wp:posOffset>
                            </wp:positionV>
                            <wp:extent cx="142875" cy="142875"/>
                            <wp:effectExtent l="9525" t="10795" r="9525" b="82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9.45pt;margin-top:2.2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"/>
                        </w:pict>
                      </mc:Fallback>
                    </mc:AlternateContent>
                  </w:r>
                  <w:r w:rsidRPr="003932DB">
                    <w:rPr>
                      <w:rFonts w:eastAsiaTheme="minorEastAsia"/>
                      <w:lang w:val="ro-RO"/>
                    </w:rPr>
                    <w:t xml:space="preserve">             </w:t>
                  </w:r>
                  <w:r w:rsidRPr="003932DB">
                    <w:rPr>
                      <w:rFonts w:eastAsiaTheme="minorEastAsia"/>
                      <w:b/>
                      <w:lang w:val="ro-RO"/>
                    </w:rPr>
                    <w:t>melamină</w:t>
                  </w:r>
                  <w:r w:rsidRPr="003932DB">
                    <w:rPr>
                      <w:rFonts w:eastAsiaTheme="minorEastAsia"/>
                      <w:b/>
                      <w:lang w:val="ro-RO"/>
                    </w:rPr>
                    <w:tab/>
                  </w:r>
                  <w:r w:rsidRPr="003932DB">
                    <w:rPr>
                      <w:rFonts w:eastAsiaTheme="minorEastAsia"/>
                      <w:lang w:val="ro-RO"/>
                    </w:rPr>
                    <w:t xml:space="preserve">             - Teste analitice au demonstrat că articolele nu eliberează formaldehidă intr-o cantitate care depășește Limita Maximă Specifică (LMS) de 15 mg/kg</w:t>
                  </w:r>
                </w:p>
                <w:p w:rsidR="003121CC" w:rsidRPr="003932DB" w:rsidRDefault="003121CC" w:rsidP="003121CC">
                  <w:pPr>
                    <w:widowControl w:val="0"/>
                    <w:autoSpaceDE w:val="0"/>
                    <w:autoSpaceDN w:val="0"/>
                    <w:adjustRightInd w:val="0"/>
                    <w:ind w:left="170"/>
                    <w:rPr>
                      <w:rFonts w:eastAsiaTheme="minorEastAsia"/>
                      <w:sz w:val="20"/>
                      <w:szCs w:val="20"/>
                      <w:lang w:val="ro-RO"/>
                    </w:rPr>
                  </w:pPr>
                </w:p>
                <w:p w:rsidR="003121CC" w:rsidRPr="003932DB" w:rsidRDefault="003121CC" w:rsidP="003121CC">
                  <w:pPr>
                    <w:widowControl w:val="0"/>
                    <w:autoSpaceDE w:val="0"/>
                    <w:autoSpaceDN w:val="0"/>
                    <w:adjustRightInd w:val="0"/>
                    <w:rPr>
                      <w:rFonts w:eastAsiaTheme="minorEastAsia"/>
                      <w:lang w:val="ro-RO"/>
                    </w:rPr>
                  </w:pPr>
                  <w:r w:rsidRPr="003932DB">
                    <w:rPr>
                      <w:rFonts w:eastAsiaTheme="minorEastAsia"/>
                      <w:lang w:val="ro-RO"/>
                    </w:rPr>
                    <w:t xml:space="preserve">                                                 - Rezultatele acestor teste, precum  și descrierea metodei de analiză folosite </w:t>
                  </w:r>
                </w:p>
                <w:p w:rsidR="003121CC" w:rsidRPr="003932DB" w:rsidRDefault="003121CC" w:rsidP="003121CC">
                  <w:pPr>
                    <w:widowControl w:val="0"/>
                    <w:autoSpaceDE w:val="0"/>
                    <w:autoSpaceDN w:val="0"/>
                    <w:adjustRightInd w:val="0"/>
                    <w:rPr>
                      <w:rFonts w:eastAsiaTheme="minorEastAsia"/>
                      <w:lang w:val="ro-RO"/>
                    </w:rPr>
                  </w:pPr>
                  <w:r w:rsidRPr="003932DB">
                    <w:rPr>
                      <w:rFonts w:eastAsiaTheme="minorEastAsia"/>
                      <w:lang w:val="ro-RO"/>
                    </w:rPr>
                    <w:t xml:space="preserve">                                                   sunt anexate la prezentul </w:t>
                  </w:r>
                  <w:proofErr w:type="spellStart"/>
                  <w:r w:rsidRPr="003932DB">
                    <w:rPr>
                      <w:rFonts w:eastAsiaTheme="minorEastAsia"/>
                      <w:lang w:val="ro-RO"/>
                    </w:rPr>
                    <w:t>decument</w:t>
                  </w:r>
                  <w:proofErr w:type="spellEnd"/>
                </w:p>
              </w:tc>
            </w:tr>
          </w:tbl>
          <w:p w:rsidR="001269CD" w:rsidRPr="003932DB" w:rsidRDefault="001269CD" w:rsidP="001269CD">
            <w:pPr>
              <w:pStyle w:val="doc-ti"/>
              <w:spacing w:before="240" w:beforeAutospacing="0" w:after="120" w:afterAutospacing="0"/>
              <w:jc w:val="center"/>
              <w:rPr>
                <w:rFonts w:ascii="inherit" w:hAnsi="inherit"/>
                <w:b/>
                <w:bCs/>
                <w:color w:val="000000"/>
              </w:rPr>
            </w:pPr>
          </w:p>
        </w:tc>
        <w:tc>
          <w:tcPr>
            <w:tcW w:w="1559" w:type="dxa"/>
          </w:tcPr>
          <w:p w:rsidR="001269CD" w:rsidRPr="003932DB" w:rsidRDefault="001269CD" w:rsidP="00DA75E0">
            <w:pPr>
              <w:rPr>
                <w:b/>
                <w:lang w:val="ro-RO"/>
              </w:rPr>
            </w:pPr>
          </w:p>
        </w:tc>
        <w:tc>
          <w:tcPr>
            <w:tcW w:w="1985" w:type="dxa"/>
          </w:tcPr>
          <w:p w:rsidR="001269CD" w:rsidRPr="003932DB" w:rsidRDefault="001269CD" w:rsidP="00DA75E0">
            <w:pPr>
              <w:rPr>
                <w:b/>
                <w:lang w:val="ro-RO"/>
              </w:rPr>
            </w:pPr>
          </w:p>
        </w:tc>
        <w:tc>
          <w:tcPr>
            <w:tcW w:w="1559" w:type="dxa"/>
          </w:tcPr>
          <w:p w:rsidR="001269CD" w:rsidRPr="003932DB" w:rsidRDefault="001269CD" w:rsidP="00DA75E0">
            <w:pPr>
              <w:jc w:val="center"/>
              <w:rPr>
                <w:b/>
                <w:lang w:val="ro-RO"/>
              </w:rPr>
            </w:pPr>
          </w:p>
        </w:tc>
        <w:tc>
          <w:tcPr>
            <w:tcW w:w="1984" w:type="dxa"/>
          </w:tcPr>
          <w:p w:rsidR="001269CD" w:rsidRPr="003932DB" w:rsidRDefault="001269CD" w:rsidP="00DA75E0">
            <w:pPr>
              <w:jc w:val="center"/>
              <w:rPr>
                <w:b/>
                <w:lang w:val="ro-RO"/>
              </w:rPr>
            </w:pPr>
          </w:p>
        </w:tc>
      </w:tr>
    </w:tbl>
    <w:p w:rsidR="00E16E35" w:rsidRPr="003932DB" w:rsidRDefault="00E16E35" w:rsidP="003121CC">
      <w:pPr>
        <w:rPr>
          <w:lang w:val="ro-RO"/>
        </w:rPr>
      </w:pPr>
    </w:p>
    <w:sectPr w:rsidR="00E16E35" w:rsidRPr="003932DB" w:rsidSect="003932DB">
      <w:footerReference w:type="default" r:id="rId10"/>
      <w:pgSz w:w="16839" w:h="11907" w:orient="landscape" w:code="9"/>
      <w:pgMar w:top="624" w:right="1276"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717" w:rsidRDefault="00456717" w:rsidP="007B7883">
      <w:r>
        <w:separator/>
      </w:r>
    </w:p>
  </w:endnote>
  <w:endnote w:type="continuationSeparator" w:id="0">
    <w:p w:rsidR="00456717" w:rsidRDefault="00456717" w:rsidP="007B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732223"/>
      <w:docPartObj>
        <w:docPartGallery w:val="Page Numbers (Bottom of Page)"/>
        <w:docPartUnique/>
      </w:docPartObj>
    </w:sdtPr>
    <w:sdtEndPr>
      <w:rPr>
        <w:noProof/>
      </w:rPr>
    </w:sdtEndPr>
    <w:sdtContent>
      <w:p w:rsidR="003A6413" w:rsidRDefault="000D3575">
        <w:pPr>
          <w:pStyle w:val="a9"/>
        </w:pPr>
        <w:r>
          <w:fldChar w:fldCharType="begin"/>
        </w:r>
        <w:r>
          <w:instrText xml:space="preserve"> PAGE   \* MERGEFORMAT </w:instrText>
        </w:r>
        <w:r>
          <w:fldChar w:fldCharType="separate"/>
        </w:r>
        <w:r w:rsidR="00731060">
          <w:rPr>
            <w:noProof/>
          </w:rPr>
          <w:t>16</w:t>
        </w:r>
        <w:r>
          <w:rPr>
            <w:noProof/>
          </w:rPr>
          <w:fldChar w:fldCharType="end"/>
        </w:r>
      </w:p>
    </w:sdtContent>
  </w:sdt>
  <w:p w:rsidR="003A6413" w:rsidRDefault="003A641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717" w:rsidRDefault="00456717" w:rsidP="007B7883">
      <w:r>
        <w:separator/>
      </w:r>
    </w:p>
  </w:footnote>
  <w:footnote w:type="continuationSeparator" w:id="0">
    <w:p w:rsidR="00456717" w:rsidRDefault="00456717" w:rsidP="007B78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0057B37"/>
    <w:multiLevelType w:val="hybridMultilevel"/>
    <w:tmpl w:val="148ED4F6"/>
    <w:lvl w:ilvl="0" w:tplc="0562DA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060677"/>
    <w:multiLevelType w:val="hybridMultilevel"/>
    <w:tmpl w:val="53A087F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0590093"/>
    <w:multiLevelType w:val="hybridMultilevel"/>
    <w:tmpl w:val="8350FB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BA2D92"/>
    <w:multiLevelType w:val="hybridMultilevel"/>
    <w:tmpl w:val="762AC608"/>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18215F22"/>
    <w:multiLevelType w:val="multilevel"/>
    <w:tmpl w:val="BDE0B4C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5306A"/>
    <w:multiLevelType w:val="hybridMultilevel"/>
    <w:tmpl w:val="314EE750"/>
    <w:lvl w:ilvl="0" w:tplc="B3BA5DA0">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6">
    <w:nsid w:val="1AD058A6"/>
    <w:multiLevelType w:val="multilevel"/>
    <w:tmpl w:val="57F005E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1D964392"/>
    <w:multiLevelType w:val="hybridMultilevel"/>
    <w:tmpl w:val="0DA6F568"/>
    <w:lvl w:ilvl="0" w:tplc="CE38B03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F595FF3"/>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2AE1810"/>
    <w:multiLevelType w:val="hybridMultilevel"/>
    <w:tmpl w:val="E8DAB6D4"/>
    <w:lvl w:ilvl="0" w:tplc="53BE0900">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8A16570"/>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11">
    <w:nsid w:val="2ABC2A36"/>
    <w:multiLevelType w:val="hybridMultilevel"/>
    <w:tmpl w:val="69F6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965778"/>
    <w:multiLevelType w:val="hybridMultilevel"/>
    <w:tmpl w:val="94C8293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D7F0B04"/>
    <w:multiLevelType w:val="hybridMultilevel"/>
    <w:tmpl w:val="55DE8C98"/>
    <w:lvl w:ilvl="0" w:tplc="919486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ADC2AD1"/>
    <w:multiLevelType w:val="hybridMultilevel"/>
    <w:tmpl w:val="286E5B48"/>
    <w:lvl w:ilvl="0" w:tplc="308CD238">
      <w:start w:val="1"/>
      <w:numFmt w:val="decimal"/>
      <w:lvlText w:val="%1."/>
      <w:lvlJc w:val="left"/>
      <w:pPr>
        <w:ind w:left="945" w:hanging="360"/>
      </w:pPr>
      <w:rPr>
        <w:rFonts w:hint="default"/>
      </w:rPr>
    </w:lvl>
    <w:lvl w:ilvl="1" w:tplc="04180019" w:tentative="1">
      <w:start w:val="1"/>
      <w:numFmt w:val="lowerLetter"/>
      <w:lvlText w:val="%2."/>
      <w:lvlJc w:val="left"/>
      <w:pPr>
        <w:ind w:left="1665" w:hanging="360"/>
      </w:pPr>
    </w:lvl>
    <w:lvl w:ilvl="2" w:tplc="0418001B" w:tentative="1">
      <w:start w:val="1"/>
      <w:numFmt w:val="lowerRoman"/>
      <w:lvlText w:val="%3."/>
      <w:lvlJc w:val="right"/>
      <w:pPr>
        <w:ind w:left="2385" w:hanging="180"/>
      </w:pPr>
    </w:lvl>
    <w:lvl w:ilvl="3" w:tplc="0418000F" w:tentative="1">
      <w:start w:val="1"/>
      <w:numFmt w:val="decimal"/>
      <w:lvlText w:val="%4."/>
      <w:lvlJc w:val="left"/>
      <w:pPr>
        <w:ind w:left="3105" w:hanging="360"/>
      </w:pPr>
    </w:lvl>
    <w:lvl w:ilvl="4" w:tplc="04180019" w:tentative="1">
      <w:start w:val="1"/>
      <w:numFmt w:val="lowerLetter"/>
      <w:lvlText w:val="%5."/>
      <w:lvlJc w:val="left"/>
      <w:pPr>
        <w:ind w:left="3825" w:hanging="360"/>
      </w:pPr>
    </w:lvl>
    <w:lvl w:ilvl="5" w:tplc="0418001B" w:tentative="1">
      <w:start w:val="1"/>
      <w:numFmt w:val="lowerRoman"/>
      <w:lvlText w:val="%6."/>
      <w:lvlJc w:val="right"/>
      <w:pPr>
        <w:ind w:left="4545" w:hanging="180"/>
      </w:pPr>
    </w:lvl>
    <w:lvl w:ilvl="6" w:tplc="0418000F" w:tentative="1">
      <w:start w:val="1"/>
      <w:numFmt w:val="decimal"/>
      <w:lvlText w:val="%7."/>
      <w:lvlJc w:val="left"/>
      <w:pPr>
        <w:ind w:left="5265" w:hanging="360"/>
      </w:pPr>
    </w:lvl>
    <w:lvl w:ilvl="7" w:tplc="04180019" w:tentative="1">
      <w:start w:val="1"/>
      <w:numFmt w:val="lowerLetter"/>
      <w:lvlText w:val="%8."/>
      <w:lvlJc w:val="left"/>
      <w:pPr>
        <w:ind w:left="5985" w:hanging="360"/>
      </w:pPr>
    </w:lvl>
    <w:lvl w:ilvl="8" w:tplc="0418001B" w:tentative="1">
      <w:start w:val="1"/>
      <w:numFmt w:val="lowerRoman"/>
      <w:lvlText w:val="%9."/>
      <w:lvlJc w:val="right"/>
      <w:pPr>
        <w:ind w:left="6705" w:hanging="180"/>
      </w:pPr>
    </w:lvl>
  </w:abstractNum>
  <w:abstractNum w:abstractNumId="15">
    <w:nsid w:val="54A054A6"/>
    <w:multiLevelType w:val="singleLevel"/>
    <w:tmpl w:val="5776D366"/>
    <w:lvl w:ilvl="0">
      <w:start w:val="4"/>
      <w:numFmt w:val="bullet"/>
      <w:lvlText w:val="-"/>
      <w:lvlJc w:val="left"/>
      <w:pPr>
        <w:tabs>
          <w:tab w:val="num" w:pos="360"/>
        </w:tabs>
        <w:ind w:left="360" w:hanging="360"/>
      </w:pPr>
      <w:rPr>
        <w:rFonts w:hint="default"/>
      </w:rPr>
    </w:lvl>
  </w:abstractNum>
  <w:abstractNum w:abstractNumId="16">
    <w:nsid w:val="555B5E4A"/>
    <w:multiLevelType w:val="hybridMultilevel"/>
    <w:tmpl w:val="3C62D520"/>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57174DB5"/>
    <w:multiLevelType w:val="hybridMultilevel"/>
    <w:tmpl w:val="F5985F6A"/>
    <w:lvl w:ilvl="0" w:tplc="DC38F8BC">
      <w:start w:val="1"/>
      <w:numFmt w:val="lowerLetter"/>
      <w:lvlText w:val="%1)"/>
      <w:lvlJc w:val="left"/>
      <w:pPr>
        <w:ind w:left="928"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7ED5D12"/>
    <w:multiLevelType w:val="hybridMultilevel"/>
    <w:tmpl w:val="88A6EA58"/>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8480739"/>
    <w:multiLevelType w:val="singleLevel"/>
    <w:tmpl w:val="6A4C5DA8"/>
    <w:lvl w:ilvl="0">
      <w:start w:val="1"/>
      <w:numFmt w:val="lowerLetter"/>
      <w:lvlText w:val="(%1)"/>
      <w:lvlJc w:val="left"/>
      <w:pPr>
        <w:tabs>
          <w:tab w:val="num" w:pos="420"/>
        </w:tabs>
        <w:ind w:left="420" w:hanging="420"/>
      </w:pPr>
      <w:rPr>
        <w:rFonts w:hint="default"/>
      </w:rPr>
    </w:lvl>
  </w:abstractNum>
  <w:abstractNum w:abstractNumId="20">
    <w:nsid w:val="59B96397"/>
    <w:multiLevelType w:val="hybridMultilevel"/>
    <w:tmpl w:val="457AE0E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AAD4E52"/>
    <w:multiLevelType w:val="hybridMultilevel"/>
    <w:tmpl w:val="91C84064"/>
    <w:lvl w:ilvl="0" w:tplc="F166682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B4A3406"/>
    <w:multiLevelType w:val="multilevel"/>
    <w:tmpl w:val="48E866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i w:val="0"/>
      </w:rPr>
    </w:lvl>
    <w:lvl w:ilvl="2">
      <w:start w:val="1"/>
      <w:numFmt w:val="decimal"/>
      <w:isLgl/>
      <w:lvlText w:val="%1.%2.%3"/>
      <w:lvlJc w:val="left"/>
      <w:pPr>
        <w:tabs>
          <w:tab w:val="num" w:pos="720"/>
        </w:tabs>
        <w:ind w:left="720" w:hanging="720"/>
      </w:pPr>
      <w:rPr>
        <w:rFonts w:hint="default"/>
        <w:i w:val="0"/>
      </w:rPr>
    </w:lvl>
    <w:lvl w:ilvl="3">
      <w:start w:val="1"/>
      <w:numFmt w:val="decimal"/>
      <w:isLgl/>
      <w:lvlText w:val="%1.%2.%3.%4"/>
      <w:lvlJc w:val="left"/>
      <w:pPr>
        <w:tabs>
          <w:tab w:val="num" w:pos="720"/>
        </w:tabs>
        <w:ind w:left="720" w:hanging="720"/>
      </w:pPr>
      <w:rPr>
        <w:rFonts w:hint="default"/>
        <w:i w:val="0"/>
      </w:rPr>
    </w:lvl>
    <w:lvl w:ilvl="4">
      <w:start w:val="1"/>
      <w:numFmt w:val="decimal"/>
      <w:isLgl/>
      <w:lvlText w:val="%1.%2.%3.%4.%5"/>
      <w:lvlJc w:val="left"/>
      <w:pPr>
        <w:tabs>
          <w:tab w:val="num" w:pos="1080"/>
        </w:tabs>
        <w:ind w:left="1080" w:hanging="1080"/>
      </w:pPr>
      <w:rPr>
        <w:rFonts w:hint="default"/>
        <w:i w:val="0"/>
      </w:rPr>
    </w:lvl>
    <w:lvl w:ilvl="5">
      <w:start w:val="1"/>
      <w:numFmt w:val="decimal"/>
      <w:isLgl/>
      <w:lvlText w:val="%1.%2.%3.%4.%5.%6"/>
      <w:lvlJc w:val="left"/>
      <w:pPr>
        <w:tabs>
          <w:tab w:val="num" w:pos="1080"/>
        </w:tabs>
        <w:ind w:left="1080" w:hanging="1080"/>
      </w:pPr>
      <w:rPr>
        <w:rFonts w:hint="default"/>
        <w:i w:val="0"/>
      </w:rPr>
    </w:lvl>
    <w:lvl w:ilvl="6">
      <w:start w:val="1"/>
      <w:numFmt w:val="decimal"/>
      <w:isLgl/>
      <w:lvlText w:val="%1.%2.%3.%4.%5.%6.%7"/>
      <w:lvlJc w:val="left"/>
      <w:pPr>
        <w:tabs>
          <w:tab w:val="num" w:pos="1440"/>
        </w:tabs>
        <w:ind w:left="1440" w:hanging="1440"/>
      </w:pPr>
      <w:rPr>
        <w:rFonts w:hint="default"/>
        <w:i w:val="0"/>
      </w:rPr>
    </w:lvl>
    <w:lvl w:ilvl="7">
      <w:start w:val="1"/>
      <w:numFmt w:val="decimal"/>
      <w:isLgl/>
      <w:lvlText w:val="%1.%2.%3.%4.%5.%6.%7.%8"/>
      <w:lvlJc w:val="left"/>
      <w:pPr>
        <w:tabs>
          <w:tab w:val="num" w:pos="1440"/>
        </w:tabs>
        <w:ind w:left="1440" w:hanging="1440"/>
      </w:pPr>
      <w:rPr>
        <w:rFonts w:hint="default"/>
        <w:i w:val="0"/>
      </w:rPr>
    </w:lvl>
    <w:lvl w:ilvl="8">
      <w:start w:val="1"/>
      <w:numFmt w:val="decimal"/>
      <w:isLgl/>
      <w:lvlText w:val="%1.%2.%3.%4.%5.%6.%7.%8.%9"/>
      <w:lvlJc w:val="left"/>
      <w:pPr>
        <w:tabs>
          <w:tab w:val="num" w:pos="1800"/>
        </w:tabs>
        <w:ind w:left="1800" w:hanging="1800"/>
      </w:pPr>
      <w:rPr>
        <w:rFonts w:hint="default"/>
        <w:i w:val="0"/>
      </w:rPr>
    </w:lvl>
  </w:abstractNum>
  <w:abstractNum w:abstractNumId="23">
    <w:nsid w:val="6C3A3902"/>
    <w:multiLevelType w:val="hybridMultilevel"/>
    <w:tmpl w:val="ADCE4DD0"/>
    <w:lvl w:ilvl="0" w:tplc="0562DA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260CB3"/>
    <w:multiLevelType w:val="hybridMultilevel"/>
    <w:tmpl w:val="813AEE2A"/>
    <w:lvl w:ilvl="0" w:tplc="25A45820">
      <w:start w:val="1"/>
      <w:numFmt w:val="decimal"/>
      <w:lvlText w:val="(%1)"/>
      <w:lvlJc w:val="left"/>
      <w:pPr>
        <w:tabs>
          <w:tab w:val="num" w:pos="454"/>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nsid w:val="702870B6"/>
    <w:multiLevelType w:val="hybridMultilevel"/>
    <w:tmpl w:val="EB70D0A4"/>
    <w:lvl w:ilvl="0" w:tplc="55561E0A">
      <w:start w:val="1"/>
      <w:numFmt w:val="decimal"/>
      <w:lvlText w:val="%1)"/>
      <w:lvlJc w:val="left"/>
      <w:pPr>
        <w:ind w:left="1395" w:hanging="360"/>
      </w:pPr>
      <w:rPr>
        <w:rFonts w:cs="Times New Roman" w:hint="default"/>
      </w:rPr>
    </w:lvl>
    <w:lvl w:ilvl="1" w:tplc="04090019" w:tentative="1">
      <w:start w:val="1"/>
      <w:numFmt w:val="lowerLetter"/>
      <w:lvlText w:val="%2."/>
      <w:lvlJc w:val="left"/>
      <w:pPr>
        <w:ind w:left="2115" w:hanging="360"/>
      </w:pPr>
      <w:rPr>
        <w:rFonts w:cs="Times New Roman"/>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26">
    <w:nsid w:val="75871084"/>
    <w:multiLevelType w:val="hybridMultilevel"/>
    <w:tmpl w:val="57EC6580"/>
    <w:lvl w:ilvl="0" w:tplc="81200B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E021C2"/>
    <w:multiLevelType w:val="hybridMultilevel"/>
    <w:tmpl w:val="628E4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4F32F1"/>
    <w:multiLevelType w:val="hybridMultilevel"/>
    <w:tmpl w:val="AD5AE052"/>
    <w:lvl w:ilvl="0" w:tplc="04180011">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D5B6D73"/>
    <w:multiLevelType w:val="hybridMultilevel"/>
    <w:tmpl w:val="ADCE4DD0"/>
    <w:lvl w:ilvl="0" w:tplc="0562DA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13"/>
  </w:num>
  <w:num w:numId="4">
    <w:abstractNumId w:val="25"/>
  </w:num>
  <w:num w:numId="5">
    <w:abstractNumId w:val="8"/>
  </w:num>
  <w:num w:numId="6">
    <w:abstractNumId w:val="10"/>
  </w:num>
  <w:num w:numId="7">
    <w:abstractNumId w:val="7"/>
  </w:num>
  <w:num w:numId="8">
    <w:abstractNumId w:val="5"/>
  </w:num>
  <w:num w:numId="9">
    <w:abstractNumId w:val="14"/>
  </w:num>
  <w:num w:numId="10">
    <w:abstractNumId w:val="15"/>
  </w:num>
  <w:num w:numId="11">
    <w:abstractNumId w:val="19"/>
  </w:num>
  <w:num w:numId="12">
    <w:abstractNumId w:val="18"/>
  </w:num>
  <w:num w:numId="13">
    <w:abstractNumId w:val="16"/>
  </w:num>
  <w:num w:numId="14">
    <w:abstractNumId w:val="24"/>
  </w:num>
  <w:num w:numId="15">
    <w:abstractNumId w:val="3"/>
  </w:num>
  <w:num w:numId="16">
    <w:abstractNumId w:val="21"/>
  </w:num>
  <w:num w:numId="17">
    <w:abstractNumId w:val="6"/>
  </w:num>
  <w:num w:numId="18">
    <w:abstractNumId w:val="22"/>
  </w:num>
  <w:num w:numId="19">
    <w:abstractNumId w:val="28"/>
  </w:num>
  <w:num w:numId="20">
    <w:abstractNumId w:val="9"/>
  </w:num>
  <w:num w:numId="21">
    <w:abstractNumId w:val="12"/>
  </w:num>
  <w:num w:numId="22">
    <w:abstractNumId w:val="20"/>
  </w:num>
  <w:num w:numId="23">
    <w:abstractNumId w:val="17"/>
  </w:num>
  <w:num w:numId="24">
    <w:abstractNumId w:val="27"/>
  </w:num>
  <w:num w:numId="25">
    <w:abstractNumId w:val="11"/>
  </w:num>
  <w:num w:numId="26">
    <w:abstractNumId w:val="2"/>
  </w:num>
  <w:num w:numId="27">
    <w:abstractNumId w:val="29"/>
  </w:num>
  <w:num w:numId="28">
    <w:abstractNumId w:val="0"/>
  </w:num>
  <w:num w:numId="29">
    <w:abstractNumId w:val="2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694"/>
    <w:rsid w:val="000644CF"/>
    <w:rsid w:val="00064FE0"/>
    <w:rsid w:val="00067D35"/>
    <w:rsid w:val="00070767"/>
    <w:rsid w:val="00083D42"/>
    <w:rsid w:val="00086A3B"/>
    <w:rsid w:val="00087883"/>
    <w:rsid w:val="000B1D78"/>
    <w:rsid w:val="000C49D1"/>
    <w:rsid w:val="000D0510"/>
    <w:rsid w:val="000D3575"/>
    <w:rsid w:val="000E5156"/>
    <w:rsid w:val="000F5D9B"/>
    <w:rsid w:val="001269CD"/>
    <w:rsid w:val="00133C5B"/>
    <w:rsid w:val="00141A42"/>
    <w:rsid w:val="001E1240"/>
    <w:rsid w:val="00204094"/>
    <w:rsid w:val="00212D4F"/>
    <w:rsid w:val="00223C8F"/>
    <w:rsid w:val="00226CAA"/>
    <w:rsid w:val="00251C64"/>
    <w:rsid w:val="00253FD3"/>
    <w:rsid w:val="002602DB"/>
    <w:rsid w:val="00260DEE"/>
    <w:rsid w:val="00261EEE"/>
    <w:rsid w:val="00274939"/>
    <w:rsid w:val="00286C57"/>
    <w:rsid w:val="002A6C31"/>
    <w:rsid w:val="002B6684"/>
    <w:rsid w:val="002C1572"/>
    <w:rsid w:val="003036AB"/>
    <w:rsid w:val="00304AEE"/>
    <w:rsid w:val="00311C2B"/>
    <w:rsid w:val="003121CC"/>
    <w:rsid w:val="00335320"/>
    <w:rsid w:val="003409A3"/>
    <w:rsid w:val="003512CC"/>
    <w:rsid w:val="003641A8"/>
    <w:rsid w:val="00374CBA"/>
    <w:rsid w:val="00380CBA"/>
    <w:rsid w:val="003813BD"/>
    <w:rsid w:val="003867E7"/>
    <w:rsid w:val="003932DB"/>
    <w:rsid w:val="003A0A91"/>
    <w:rsid w:val="003A5A44"/>
    <w:rsid w:val="003A6413"/>
    <w:rsid w:val="003D2109"/>
    <w:rsid w:val="003E28A6"/>
    <w:rsid w:val="0040291D"/>
    <w:rsid w:val="00402E7D"/>
    <w:rsid w:val="0040685F"/>
    <w:rsid w:val="0041779C"/>
    <w:rsid w:val="0042431A"/>
    <w:rsid w:val="00440B5E"/>
    <w:rsid w:val="00446C34"/>
    <w:rsid w:val="00456717"/>
    <w:rsid w:val="00466DF2"/>
    <w:rsid w:val="00490B9A"/>
    <w:rsid w:val="004A297D"/>
    <w:rsid w:val="004A5A63"/>
    <w:rsid w:val="004B4C9C"/>
    <w:rsid w:val="004B745D"/>
    <w:rsid w:val="004C1E9C"/>
    <w:rsid w:val="004D50D3"/>
    <w:rsid w:val="00504FEC"/>
    <w:rsid w:val="005152B7"/>
    <w:rsid w:val="00536002"/>
    <w:rsid w:val="00543BD0"/>
    <w:rsid w:val="00547925"/>
    <w:rsid w:val="00573D5F"/>
    <w:rsid w:val="00582706"/>
    <w:rsid w:val="005C2C6E"/>
    <w:rsid w:val="006046EE"/>
    <w:rsid w:val="0060748D"/>
    <w:rsid w:val="006076FA"/>
    <w:rsid w:val="00613AE4"/>
    <w:rsid w:val="006140BB"/>
    <w:rsid w:val="00621558"/>
    <w:rsid w:val="00626FBB"/>
    <w:rsid w:val="00627B54"/>
    <w:rsid w:val="00632379"/>
    <w:rsid w:val="006568FD"/>
    <w:rsid w:val="00657919"/>
    <w:rsid w:val="00674363"/>
    <w:rsid w:val="00675F15"/>
    <w:rsid w:val="00680C06"/>
    <w:rsid w:val="0069021D"/>
    <w:rsid w:val="006950BE"/>
    <w:rsid w:val="006A2246"/>
    <w:rsid w:val="006A5F9C"/>
    <w:rsid w:val="006A6858"/>
    <w:rsid w:val="006B1ABD"/>
    <w:rsid w:val="00731060"/>
    <w:rsid w:val="00736C12"/>
    <w:rsid w:val="00744677"/>
    <w:rsid w:val="0075360C"/>
    <w:rsid w:val="00765F86"/>
    <w:rsid w:val="007929BF"/>
    <w:rsid w:val="00796E69"/>
    <w:rsid w:val="007A3EAA"/>
    <w:rsid w:val="007A4D10"/>
    <w:rsid w:val="007B1D42"/>
    <w:rsid w:val="007B7883"/>
    <w:rsid w:val="007D0AE4"/>
    <w:rsid w:val="007D47B4"/>
    <w:rsid w:val="007E025A"/>
    <w:rsid w:val="008024FA"/>
    <w:rsid w:val="00815BA8"/>
    <w:rsid w:val="00822470"/>
    <w:rsid w:val="00837B98"/>
    <w:rsid w:val="00866CFA"/>
    <w:rsid w:val="008713A0"/>
    <w:rsid w:val="00880E36"/>
    <w:rsid w:val="0089490C"/>
    <w:rsid w:val="008A0B88"/>
    <w:rsid w:val="008A63BA"/>
    <w:rsid w:val="008B59CA"/>
    <w:rsid w:val="008D5B4C"/>
    <w:rsid w:val="008E41FF"/>
    <w:rsid w:val="008E61BD"/>
    <w:rsid w:val="008F4A08"/>
    <w:rsid w:val="008F75A6"/>
    <w:rsid w:val="00911D82"/>
    <w:rsid w:val="00961020"/>
    <w:rsid w:val="00984E4E"/>
    <w:rsid w:val="00990C3D"/>
    <w:rsid w:val="00A3541E"/>
    <w:rsid w:val="00A60468"/>
    <w:rsid w:val="00A710AE"/>
    <w:rsid w:val="00A71F40"/>
    <w:rsid w:val="00A73721"/>
    <w:rsid w:val="00A770D1"/>
    <w:rsid w:val="00AA46CC"/>
    <w:rsid w:val="00AA490C"/>
    <w:rsid w:val="00AB0E61"/>
    <w:rsid w:val="00AB3616"/>
    <w:rsid w:val="00AC25B1"/>
    <w:rsid w:val="00AC7BC1"/>
    <w:rsid w:val="00AD4F03"/>
    <w:rsid w:val="00AE0A9F"/>
    <w:rsid w:val="00AE2BC5"/>
    <w:rsid w:val="00AF28EC"/>
    <w:rsid w:val="00B0078E"/>
    <w:rsid w:val="00B159F8"/>
    <w:rsid w:val="00B204D4"/>
    <w:rsid w:val="00B303F0"/>
    <w:rsid w:val="00B53DB4"/>
    <w:rsid w:val="00B54ED5"/>
    <w:rsid w:val="00B60904"/>
    <w:rsid w:val="00B60D0C"/>
    <w:rsid w:val="00B63179"/>
    <w:rsid w:val="00B75A54"/>
    <w:rsid w:val="00B869D3"/>
    <w:rsid w:val="00BA53F8"/>
    <w:rsid w:val="00BB3944"/>
    <w:rsid w:val="00BC1C1E"/>
    <w:rsid w:val="00BD74F3"/>
    <w:rsid w:val="00BE30AF"/>
    <w:rsid w:val="00C234A9"/>
    <w:rsid w:val="00C26B27"/>
    <w:rsid w:val="00C32CD9"/>
    <w:rsid w:val="00C52D24"/>
    <w:rsid w:val="00C63A41"/>
    <w:rsid w:val="00C7122B"/>
    <w:rsid w:val="00C86992"/>
    <w:rsid w:val="00C9090F"/>
    <w:rsid w:val="00CB7E16"/>
    <w:rsid w:val="00CD00FC"/>
    <w:rsid w:val="00CD51F1"/>
    <w:rsid w:val="00CE1587"/>
    <w:rsid w:val="00CE4BD8"/>
    <w:rsid w:val="00CF0F61"/>
    <w:rsid w:val="00D238B0"/>
    <w:rsid w:val="00D447D6"/>
    <w:rsid w:val="00D77CBC"/>
    <w:rsid w:val="00D91FE2"/>
    <w:rsid w:val="00DA0002"/>
    <w:rsid w:val="00DA757E"/>
    <w:rsid w:val="00DA75E0"/>
    <w:rsid w:val="00DC0624"/>
    <w:rsid w:val="00DD160F"/>
    <w:rsid w:val="00DE0365"/>
    <w:rsid w:val="00E01B0B"/>
    <w:rsid w:val="00E07D80"/>
    <w:rsid w:val="00E16E35"/>
    <w:rsid w:val="00E22D51"/>
    <w:rsid w:val="00E50A66"/>
    <w:rsid w:val="00E52EB8"/>
    <w:rsid w:val="00E5474C"/>
    <w:rsid w:val="00E60694"/>
    <w:rsid w:val="00E777D9"/>
    <w:rsid w:val="00E835D9"/>
    <w:rsid w:val="00E91D06"/>
    <w:rsid w:val="00EA37AA"/>
    <w:rsid w:val="00EB0636"/>
    <w:rsid w:val="00EB1A41"/>
    <w:rsid w:val="00EB446D"/>
    <w:rsid w:val="00EB6DD8"/>
    <w:rsid w:val="00EF427B"/>
    <w:rsid w:val="00F07A86"/>
    <w:rsid w:val="00F339A9"/>
    <w:rsid w:val="00F63C5E"/>
    <w:rsid w:val="00F8202D"/>
    <w:rsid w:val="00FA20EA"/>
    <w:rsid w:val="00FB63F6"/>
    <w:rsid w:val="00FB73EA"/>
    <w:rsid w:val="00FC5438"/>
    <w:rsid w:val="00FE0E39"/>
    <w:rsid w:val="00FE522A"/>
    <w:rsid w:val="00FF3D51"/>
    <w:rsid w:val="00FF7D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11D82"/>
    <w:pPr>
      <w:keepNext/>
      <w:jc w:val="center"/>
      <w:outlineLvl w:val="0"/>
    </w:pPr>
    <w:rPr>
      <w:i/>
      <w:noProof/>
      <w:szCs w:val="20"/>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 w:type="character" w:styleId="ad">
    <w:name w:val="Strong"/>
    <w:basedOn w:val="a0"/>
    <w:uiPriority w:val="22"/>
    <w:qFormat/>
    <w:rsid w:val="00E777D9"/>
    <w:rPr>
      <w:b/>
      <w:bCs/>
    </w:rPr>
  </w:style>
  <w:style w:type="character" w:customStyle="1" w:styleId="apple-converted-space">
    <w:name w:val="apple-converted-space"/>
    <w:basedOn w:val="a0"/>
    <w:rsid w:val="00E777D9"/>
  </w:style>
  <w:style w:type="paragraph" w:customStyle="1" w:styleId="doc-ti">
    <w:name w:val="doc-ti"/>
    <w:basedOn w:val="a"/>
    <w:rsid w:val="00E777D9"/>
    <w:pPr>
      <w:spacing w:before="100" w:beforeAutospacing="1" w:after="100" w:afterAutospacing="1"/>
    </w:pPr>
    <w:rPr>
      <w:lang w:val="ro-RO" w:eastAsia="ro-RO"/>
    </w:rPr>
  </w:style>
  <w:style w:type="character" w:customStyle="1" w:styleId="10">
    <w:name w:val="Заголовок 1 Знак"/>
    <w:basedOn w:val="a0"/>
    <w:link w:val="1"/>
    <w:rsid w:val="00911D82"/>
    <w:rPr>
      <w:rFonts w:ascii="Times New Roman" w:eastAsia="Times New Roman" w:hAnsi="Times New Roman" w:cs="Times New Roman"/>
      <w:i/>
      <w:noProof/>
      <w:sz w:val="24"/>
      <w:szCs w:val="20"/>
      <w:lang w:val="ro-RO" w:eastAsia="ro-RO"/>
    </w:rPr>
  </w:style>
  <w:style w:type="paragraph" w:styleId="ae">
    <w:name w:val="Body Text"/>
    <w:basedOn w:val="a"/>
    <w:link w:val="af"/>
    <w:rsid w:val="00911D82"/>
    <w:pPr>
      <w:jc w:val="both"/>
    </w:pPr>
    <w:rPr>
      <w:rFonts w:ascii="Arial" w:hAnsi="Arial"/>
      <w:szCs w:val="20"/>
      <w:lang w:val="ro-RO" w:eastAsia="en-US"/>
    </w:rPr>
  </w:style>
  <w:style w:type="character" w:customStyle="1" w:styleId="af">
    <w:name w:val="Основной текст Знак"/>
    <w:basedOn w:val="a0"/>
    <w:link w:val="ae"/>
    <w:rsid w:val="00911D82"/>
    <w:rPr>
      <w:rFonts w:ascii="Arial" w:eastAsia="Times New Roman" w:hAnsi="Arial" w:cs="Times New Roman"/>
      <w:sz w:val="24"/>
      <w:szCs w:val="20"/>
      <w:lang w:val="ro-RO"/>
    </w:rPr>
  </w:style>
  <w:style w:type="character" w:styleId="af0">
    <w:name w:val="footnote reference"/>
    <w:basedOn w:val="a0"/>
    <w:semiHidden/>
    <w:rsid w:val="00911D82"/>
    <w:rPr>
      <w:vertAlign w:val="superscript"/>
    </w:rPr>
  </w:style>
  <w:style w:type="paragraph" w:styleId="2">
    <w:name w:val="Body Text Indent 2"/>
    <w:basedOn w:val="a"/>
    <w:link w:val="20"/>
    <w:rsid w:val="00911D82"/>
    <w:pPr>
      <w:ind w:left="360"/>
      <w:jc w:val="both"/>
    </w:pPr>
    <w:rPr>
      <w:noProof/>
      <w:szCs w:val="20"/>
      <w:lang w:val="ro-RO" w:eastAsia="ro-RO"/>
    </w:rPr>
  </w:style>
  <w:style w:type="character" w:customStyle="1" w:styleId="20">
    <w:name w:val="Основной текст с отступом 2 Знак"/>
    <w:basedOn w:val="a0"/>
    <w:link w:val="2"/>
    <w:rsid w:val="00911D82"/>
    <w:rPr>
      <w:rFonts w:ascii="Times New Roman" w:eastAsia="Times New Roman" w:hAnsi="Times New Roman" w:cs="Times New Roman"/>
      <w:noProof/>
      <w:sz w:val="24"/>
      <w:szCs w:val="20"/>
      <w:lang w:val="ro-RO" w:eastAsia="ro-RO"/>
    </w:rPr>
  </w:style>
  <w:style w:type="paragraph" w:styleId="af1">
    <w:name w:val="Body Text Indent"/>
    <w:basedOn w:val="a"/>
    <w:link w:val="af2"/>
    <w:rsid w:val="00911D82"/>
    <w:pPr>
      <w:ind w:left="360"/>
    </w:pPr>
    <w:rPr>
      <w:noProof/>
      <w:szCs w:val="20"/>
      <w:lang w:val="ro-RO" w:eastAsia="ro-RO"/>
    </w:rPr>
  </w:style>
  <w:style w:type="character" w:customStyle="1" w:styleId="af2">
    <w:name w:val="Основной текст с отступом Знак"/>
    <w:basedOn w:val="a0"/>
    <w:link w:val="af1"/>
    <w:rsid w:val="00911D82"/>
    <w:rPr>
      <w:rFonts w:ascii="Times New Roman" w:eastAsia="Times New Roman" w:hAnsi="Times New Roman" w:cs="Times New Roman"/>
      <w:noProof/>
      <w:sz w:val="24"/>
      <w:szCs w:val="20"/>
      <w:lang w:val="ro-RO" w:eastAsia="ro-RO"/>
    </w:rPr>
  </w:style>
  <w:style w:type="paragraph" w:styleId="af3">
    <w:name w:val="footnote text"/>
    <w:basedOn w:val="a"/>
    <w:link w:val="af4"/>
    <w:semiHidden/>
    <w:rsid w:val="00911D82"/>
    <w:rPr>
      <w:rFonts w:ascii="Arial" w:hAnsi="Arial"/>
      <w:sz w:val="20"/>
      <w:szCs w:val="20"/>
      <w:lang w:val="ro-RO" w:eastAsia="ro-RO"/>
    </w:rPr>
  </w:style>
  <w:style w:type="character" w:customStyle="1" w:styleId="af4">
    <w:name w:val="Текст сноски Знак"/>
    <w:basedOn w:val="a0"/>
    <w:link w:val="af3"/>
    <w:semiHidden/>
    <w:rsid w:val="00911D82"/>
    <w:rPr>
      <w:rFonts w:ascii="Arial" w:eastAsia="Times New Roman" w:hAnsi="Arial" w:cs="Times New Roman"/>
      <w:sz w:val="20"/>
      <w:szCs w:val="20"/>
      <w:lang w:val="ro-RO" w:eastAsia="ro-RO"/>
    </w:rPr>
  </w:style>
  <w:style w:type="character" w:customStyle="1" w:styleId="docbody1">
    <w:name w:val="doc_body1"/>
    <w:rsid w:val="007A3EAA"/>
    <w:rPr>
      <w:rFonts w:ascii="Times New Roman" w:hAnsi="Times New Roman" w:cs="Times New Roman" w:hint="default"/>
      <w:color w:val="000000"/>
      <w:sz w:val="24"/>
      <w:szCs w:val="24"/>
    </w:rPr>
  </w:style>
  <w:style w:type="paragraph" w:customStyle="1" w:styleId="ti-art">
    <w:name w:val="ti-art"/>
    <w:basedOn w:val="a"/>
    <w:rsid w:val="00402E7D"/>
    <w:pPr>
      <w:spacing w:before="100" w:beforeAutospacing="1" w:after="100" w:afterAutospacing="1"/>
    </w:pPr>
  </w:style>
  <w:style w:type="paragraph" w:customStyle="1" w:styleId="11">
    <w:name w:val="Обычный1"/>
    <w:basedOn w:val="a"/>
    <w:rsid w:val="00402E7D"/>
    <w:pPr>
      <w:spacing w:before="100" w:beforeAutospacing="1" w:after="100" w:afterAutospacing="1"/>
    </w:pPr>
  </w:style>
  <w:style w:type="character" w:customStyle="1" w:styleId="italic">
    <w:name w:val="italic"/>
    <w:basedOn w:val="a0"/>
    <w:rsid w:val="00402E7D"/>
  </w:style>
  <w:style w:type="paragraph" w:customStyle="1" w:styleId="signatory">
    <w:name w:val="signatory"/>
    <w:basedOn w:val="a"/>
    <w:rsid w:val="00402E7D"/>
    <w:pPr>
      <w:spacing w:before="100" w:beforeAutospacing="1" w:after="100" w:afterAutospacing="1"/>
    </w:pPr>
  </w:style>
  <w:style w:type="paragraph" w:customStyle="1" w:styleId="ti-tbl">
    <w:name w:val="ti-tbl"/>
    <w:basedOn w:val="a"/>
    <w:rsid w:val="00402E7D"/>
    <w:pPr>
      <w:spacing w:before="100" w:beforeAutospacing="1" w:after="100" w:afterAutospacing="1"/>
    </w:pPr>
  </w:style>
  <w:style w:type="paragraph" w:customStyle="1" w:styleId="ti-grseq-1">
    <w:name w:val="ti-grseq-1"/>
    <w:basedOn w:val="a"/>
    <w:rsid w:val="00621558"/>
    <w:pPr>
      <w:spacing w:before="100" w:beforeAutospacing="1" w:after="100" w:afterAutospacing="1"/>
    </w:pPr>
  </w:style>
  <w:style w:type="paragraph" w:customStyle="1" w:styleId="sti-art">
    <w:name w:val="sti-art"/>
    <w:basedOn w:val="a"/>
    <w:rsid w:val="00A71F40"/>
    <w:pPr>
      <w:spacing w:before="100" w:beforeAutospacing="1" w:after="100" w:afterAutospacing="1"/>
    </w:pPr>
  </w:style>
  <w:style w:type="character" w:customStyle="1" w:styleId="super">
    <w:name w:val="super"/>
    <w:basedOn w:val="a0"/>
    <w:rsid w:val="00866CFA"/>
  </w:style>
  <w:style w:type="character" w:customStyle="1" w:styleId="sub">
    <w:name w:val="sub"/>
    <w:basedOn w:val="a0"/>
    <w:rsid w:val="00866CFA"/>
  </w:style>
  <w:style w:type="character" w:customStyle="1" w:styleId="bold">
    <w:name w:val="bold"/>
    <w:basedOn w:val="a0"/>
    <w:rsid w:val="001269CD"/>
  </w:style>
  <w:style w:type="paragraph" w:styleId="af5">
    <w:name w:val="Balloon Text"/>
    <w:basedOn w:val="a"/>
    <w:link w:val="af6"/>
    <w:uiPriority w:val="99"/>
    <w:semiHidden/>
    <w:unhideWhenUsed/>
    <w:rsid w:val="001269CD"/>
    <w:rPr>
      <w:rFonts w:ascii="Tahoma" w:hAnsi="Tahoma" w:cs="Tahoma"/>
      <w:sz w:val="16"/>
      <w:szCs w:val="16"/>
    </w:rPr>
  </w:style>
  <w:style w:type="character" w:customStyle="1" w:styleId="af6">
    <w:name w:val="Текст выноски Знак"/>
    <w:basedOn w:val="a0"/>
    <w:link w:val="af5"/>
    <w:uiPriority w:val="99"/>
    <w:semiHidden/>
    <w:rsid w:val="001269CD"/>
    <w:rPr>
      <w:rFonts w:ascii="Tahoma" w:eastAsia="Times New Roman" w:hAnsi="Tahoma" w:cs="Tahoma"/>
      <w:sz w:val="16"/>
      <w:szCs w:val="16"/>
      <w:lang w:val="ru-RU" w:eastAsia="ru-RU"/>
    </w:rPr>
  </w:style>
  <w:style w:type="character" w:customStyle="1" w:styleId="docheader">
    <w:name w:val="doc_header"/>
    <w:basedOn w:val="a0"/>
    <w:rsid w:val="00F07A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69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11D82"/>
    <w:pPr>
      <w:keepNext/>
      <w:jc w:val="center"/>
      <w:outlineLvl w:val="0"/>
    </w:pPr>
    <w:rPr>
      <w:i/>
      <w:noProof/>
      <w:szCs w:val="20"/>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06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w:basedOn w:val="a"/>
    <w:rsid w:val="00E60694"/>
    <w:pPr>
      <w:spacing w:after="160" w:line="240" w:lineRule="exact"/>
    </w:pPr>
    <w:rPr>
      <w:rFonts w:ascii="Arial" w:eastAsia="Batang" w:hAnsi="Arial" w:cs="Arial"/>
      <w:sz w:val="20"/>
      <w:szCs w:val="20"/>
      <w:lang w:val="en-US" w:eastAsia="en-US"/>
    </w:rPr>
  </w:style>
  <w:style w:type="character" w:styleId="a4">
    <w:name w:val="Emphasis"/>
    <w:basedOn w:val="a0"/>
    <w:qFormat/>
    <w:rsid w:val="00E60694"/>
    <w:rPr>
      <w:i/>
      <w:iCs/>
    </w:rPr>
  </w:style>
  <w:style w:type="paragraph" w:customStyle="1" w:styleId="Default">
    <w:name w:val="Default"/>
    <w:rsid w:val="007929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
    <w:name w:val="CM4"/>
    <w:basedOn w:val="Default"/>
    <w:next w:val="Default"/>
    <w:uiPriority w:val="99"/>
    <w:rsid w:val="007929BF"/>
    <w:rPr>
      <w:color w:val="auto"/>
    </w:rPr>
  </w:style>
  <w:style w:type="paragraph" w:styleId="a5">
    <w:name w:val="Normal (Web)"/>
    <w:basedOn w:val="a"/>
    <w:uiPriority w:val="99"/>
    <w:semiHidden/>
    <w:unhideWhenUsed/>
    <w:rsid w:val="007929BF"/>
    <w:pPr>
      <w:spacing w:before="100" w:beforeAutospacing="1" w:after="100" w:afterAutospacing="1"/>
    </w:pPr>
    <w:rPr>
      <w:lang w:val="en-US" w:eastAsia="en-US"/>
    </w:rPr>
  </w:style>
  <w:style w:type="paragraph" w:styleId="a6">
    <w:name w:val="No Spacing"/>
    <w:uiPriority w:val="1"/>
    <w:qFormat/>
    <w:rsid w:val="00547925"/>
    <w:pPr>
      <w:spacing w:after="0" w:line="240" w:lineRule="auto"/>
    </w:pPr>
    <w:rPr>
      <w:rFonts w:eastAsiaTheme="minorEastAsia"/>
    </w:rPr>
  </w:style>
  <w:style w:type="paragraph" w:styleId="a7">
    <w:name w:val="header"/>
    <w:basedOn w:val="a"/>
    <w:link w:val="a8"/>
    <w:uiPriority w:val="99"/>
    <w:unhideWhenUsed/>
    <w:rsid w:val="007B7883"/>
    <w:pPr>
      <w:tabs>
        <w:tab w:val="center" w:pos="4677"/>
        <w:tab w:val="right" w:pos="9355"/>
      </w:tabs>
    </w:pPr>
  </w:style>
  <w:style w:type="character" w:customStyle="1" w:styleId="a8">
    <w:name w:val="Верхний колонтитул Знак"/>
    <w:basedOn w:val="a0"/>
    <w:link w:val="a7"/>
    <w:uiPriority w:val="99"/>
    <w:rsid w:val="007B7883"/>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7B7883"/>
    <w:pPr>
      <w:tabs>
        <w:tab w:val="center" w:pos="4677"/>
        <w:tab w:val="right" w:pos="9355"/>
      </w:tabs>
    </w:pPr>
  </w:style>
  <w:style w:type="character" w:customStyle="1" w:styleId="aa">
    <w:name w:val="Нижний колонтитул Знак"/>
    <w:basedOn w:val="a0"/>
    <w:link w:val="a9"/>
    <w:uiPriority w:val="99"/>
    <w:rsid w:val="007B7883"/>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FB73EA"/>
    <w:pPr>
      <w:ind w:left="720"/>
      <w:contextualSpacing/>
    </w:pPr>
  </w:style>
  <w:style w:type="character" w:styleId="ac">
    <w:name w:val="Hyperlink"/>
    <w:rsid w:val="00815BA8"/>
    <w:rPr>
      <w:rFonts w:ascii="Arial" w:hAnsi="Arial" w:cs="Arial" w:hint="default"/>
      <w:b/>
      <w:bCs/>
      <w:strike w:val="0"/>
      <w:dstrike w:val="0"/>
      <w:color w:val="276096"/>
      <w:sz w:val="17"/>
      <w:szCs w:val="17"/>
      <w:u w:val="none"/>
      <w:effect w:val="none"/>
    </w:rPr>
  </w:style>
  <w:style w:type="character" w:styleId="ad">
    <w:name w:val="Strong"/>
    <w:basedOn w:val="a0"/>
    <w:uiPriority w:val="22"/>
    <w:qFormat/>
    <w:rsid w:val="00E777D9"/>
    <w:rPr>
      <w:b/>
      <w:bCs/>
    </w:rPr>
  </w:style>
  <w:style w:type="character" w:customStyle="1" w:styleId="apple-converted-space">
    <w:name w:val="apple-converted-space"/>
    <w:basedOn w:val="a0"/>
    <w:rsid w:val="00E777D9"/>
  </w:style>
  <w:style w:type="paragraph" w:customStyle="1" w:styleId="doc-ti">
    <w:name w:val="doc-ti"/>
    <w:basedOn w:val="a"/>
    <w:rsid w:val="00E777D9"/>
    <w:pPr>
      <w:spacing w:before="100" w:beforeAutospacing="1" w:after="100" w:afterAutospacing="1"/>
    </w:pPr>
    <w:rPr>
      <w:lang w:val="ro-RO" w:eastAsia="ro-RO"/>
    </w:rPr>
  </w:style>
  <w:style w:type="character" w:customStyle="1" w:styleId="10">
    <w:name w:val="Заголовок 1 Знак"/>
    <w:basedOn w:val="a0"/>
    <w:link w:val="1"/>
    <w:rsid w:val="00911D82"/>
    <w:rPr>
      <w:rFonts w:ascii="Times New Roman" w:eastAsia="Times New Roman" w:hAnsi="Times New Roman" w:cs="Times New Roman"/>
      <w:i/>
      <w:noProof/>
      <w:sz w:val="24"/>
      <w:szCs w:val="20"/>
      <w:lang w:val="ro-RO" w:eastAsia="ro-RO"/>
    </w:rPr>
  </w:style>
  <w:style w:type="paragraph" w:styleId="ae">
    <w:name w:val="Body Text"/>
    <w:basedOn w:val="a"/>
    <w:link w:val="af"/>
    <w:rsid w:val="00911D82"/>
    <w:pPr>
      <w:jc w:val="both"/>
    </w:pPr>
    <w:rPr>
      <w:rFonts w:ascii="Arial" w:hAnsi="Arial"/>
      <w:szCs w:val="20"/>
      <w:lang w:val="ro-RO" w:eastAsia="en-US"/>
    </w:rPr>
  </w:style>
  <w:style w:type="character" w:customStyle="1" w:styleId="af">
    <w:name w:val="Основной текст Знак"/>
    <w:basedOn w:val="a0"/>
    <w:link w:val="ae"/>
    <w:rsid w:val="00911D82"/>
    <w:rPr>
      <w:rFonts w:ascii="Arial" w:eastAsia="Times New Roman" w:hAnsi="Arial" w:cs="Times New Roman"/>
      <w:sz w:val="24"/>
      <w:szCs w:val="20"/>
      <w:lang w:val="ro-RO"/>
    </w:rPr>
  </w:style>
  <w:style w:type="character" w:styleId="af0">
    <w:name w:val="footnote reference"/>
    <w:basedOn w:val="a0"/>
    <w:semiHidden/>
    <w:rsid w:val="00911D82"/>
    <w:rPr>
      <w:vertAlign w:val="superscript"/>
    </w:rPr>
  </w:style>
  <w:style w:type="paragraph" w:styleId="2">
    <w:name w:val="Body Text Indent 2"/>
    <w:basedOn w:val="a"/>
    <w:link w:val="20"/>
    <w:rsid w:val="00911D82"/>
    <w:pPr>
      <w:ind w:left="360"/>
      <w:jc w:val="both"/>
    </w:pPr>
    <w:rPr>
      <w:noProof/>
      <w:szCs w:val="20"/>
      <w:lang w:val="ro-RO" w:eastAsia="ro-RO"/>
    </w:rPr>
  </w:style>
  <w:style w:type="character" w:customStyle="1" w:styleId="20">
    <w:name w:val="Основной текст с отступом 2 Знак"/>
    <w:basedOn w:val="a0"/>
    <w:link w:val="2"/>
    <w:rsid w:val="00911D82"/>
    <w:rPr>
      <w:rFonts w:ascii="Times New Roman" w:eastAsia="Times New Roman" w:hAnsi="Times New Roman" w:cs="Times New Roman"/>
      <w:noProof/>
      <w:sz w:val="24"/>
      <w:szCs w:val="20"/>
      <w:lang w:val="ro-RO" w:eastAsia="ro-RO"/>
    </w:rPr>
  </w:style>
  <w:style w:type="paragraph" w:styleId="af1">
    <w:name w:val="Body Text Indent"/>
    <w:basedOn w:val="a"/>
    <w:link w:val="af2"/>
    <w:rsid w:val="00911D82"/>
    <w:pPr>
      <w:ind w:left="360"/>
    </w:pPr>
    <w:rPr>
      <w:noProof/>
      <w:szCs w:val="20"/>
      <w:lang w:val="ro-RO" w:eastAsia="ro-RO"/>
    </w:rPr>
  </w:style>
  <w:style w:type="character" w:customStyle="1" w:styleId="af2">
    <w:name w:val="Основной текст с отступом Знак"/>
    <w:basedOn w:val="a0"/>
    <w:link w:val="af1"/>
    <w:rsid w:val="00911D82"/>
    <w:rPr>
      <w:rFonts w:ascii="Times New Roman" w:eastAsia="Times New Roman" w:hAnsi="Times New Roman" w:cs="Times New Roman"/>
      <w:noProof/>
      <w:sz w:val="24"/>
      <w:szCs w:val="20"/>
      <w:lang w:val="ro-RO" w:eastAsia="ro-RO"/>
    </w:rPr>
  </w:style>
  <w:style w:type="paragraph" w:styleId="af3">
    <w:name w:val="footnote text"/>
    <w:basedOn w:val="a"/>
    <w:link w:val="af4"/>
    <w:semiHidden/>
    <w:rsid w:val="00911D82"/>
    <w:rPr>
      <w:rFonts w:ascii="Arial" w:hAnsi="Arial"/>
      <w:sz w:val="20"/>
      <w:szCs w:val="20"/>
      <w:lang w:val="ro-RO" w:eastAsia="ro-RO"/>
    </w:rPr>
  </w:style>
  <w:style w:type="character" w:customStyle="1" w:styleId="af4">
    <w:name w:val="Текст сноски Знак"/>
    <w:basedOn w:val="a0"/>
    <w:link w:val="af3"/>
    <w:semiHidden/>
    <w:rsid w:val="00911D82"/>
    <w:rPr>
      <w:rFonts w:ascii="Arial" w:eastAsia="Times New Roman" w:hAnsi="Arial" w:cs="Times New Roman"/>
      <w:sz w:val="20"/>
      <w:szCs w:val="20"/>
      <w:lang w:val="ro-RO" w:eastAsia="ro-RO"/>
    </w:rPr>
  </w:style>
  <w:style w:type="character" w:customStyle="1" w:styleId="docbody1">
    <w:name w:val="doc_body1"/>
    <w:rsid w:val="007A3EAA"/>
    <w:rPr>
      <w:rFonts w:ascii="Times New Roman" w:hAnsi="Times New Roman" w:cs="Times New Roman" w:hint="default"/>
      <w:color w:val="000000"/>
      <w:sz w:val="24"/>
      <w:szCs w:val="24"/>
    </w:rPr>
  </w:style>
  <w:style w:type="paragraph" w:customStyle="1" w:styleId="ti-art">
    <w:name w:val="ti-art"/>
    <w:basedOn w:val="a"/>
    <w:rsid w:val="00402E7D"/>
    <w:pPr>
      <w:spacing w:before="100" w:beforeAutospacing="1" w:after="100" w:afterAutospacing="1"/>
    </w:pPr>
  </w:style>
  <w:style w:type="paragraph" w:customStyle="1" w:styleId="11">
    <w:name w:val="Обычный1"/>
    <w:basedOn w:val="a"/>
    <w:rsid w:val="00402E7D"/>
    <w:pPr>
      <w:spacing w:before="100" w:beforeAutospacing="1" w:after="100" w:afterAutospacing="1"/>
    </w:pPr>
  </w:style>
  <w:style w:type="character" w:customStyle="1" w:styleId="italic">
    <w:name w:val="italic"/>
    <w:basedOn w:val="a0"/>
    <w:rsid w:val="00402E7D"/>
  </w:style>
  <w:style w:type="paragraph" w:customStyle="1" w:styleId="signatory">
    <w:name w:val="signatory"/>
    <w:basedOn w:val="a"/>
    <w:rsid w:val="00402E7D"/>
    <w:pPr>
      <w:spacing w:before="100" w:beforeAutospacing="1" w:after="100" w:afterAutospacing="1"/>
    </w:pPr>
  </w:style>
  <w:style w:type="paragraph" w:customStyle="1" w:styleId="ti-tbl">
    <w:name w:val="ti-tbl"/>
    <w:basedOn w:val="a"/>
    <w:rsid w:val="00402E7D"/>
    <w:pPr>
      <w:spacing w:before="100" w:beforeAutospacing="1" w:after="100" w:afterAutospacing="1"/>
    </w:pPr>
  </w:style>
  <w:style w:type="paragraph" w:customStyle="1" w:styleId="ti-grseq-1">
    <w:name w:val="ti-grseq-1"/>
    <w:basedOn w:val="a"/>
    <w:rsid w:val="00621558"/>
    <w:pPr>
      <w:spacing w:before="100" w:beforeAutospacing="1" w:after="100" w:afterAutospacing="1"/>
    </w:pPr>
  </w:style>
  <w:style w:type="paragraph" w:customStyle="1" w:styleId="sti-art">
    <w:name w:val="sti-art"/>
    <w:basedOn w:val="a"/>
    <w:rsid w:val="00A71F40"/>
    <w:pPr>
      <w:spacing w:before="100" w:beforeAutospacing="1" w:after="100" w:afterAutospacing="1"/>
    </w:pPr>
  </w:style>
  <w:style w:type="character" w:customStyle="1" w:styleId="super">
    <w:name w:val="super"/>
    <w:basedOn w:val="a0"/>
    <w:rsid w:val="00866CFA"/>
  </w:style>
  <w:style w:type="character" w:customStyle="1" w:styleId="sub">
    <w:name w:val="sub"/>
    <w:basedOn w:val="a0"/>
    <w:rsid w:val="00866CFA"/>
  </w:style>
  <w:style w:type="character" w:customStyle="1" w:styleId="bold">
    <w:name w:val="bold"/>
    <w:basedOn w:val="a0"/>
    <w:rsid w:val="001269CD"/>
  </w:style>
  <w:style w:type="paragraph" w:styleId="af5">
    <w:name w:val="Balloon Text"/>
    <w:basedOn w:val="a"/>
    <w:link w:val="af6"/>
    <w:uiPriority w:val="99"/>
    <w:semiHidden/>
    <w:unhideWhenUsed/>
    <w:rsid w:val="001269CD"/>
    <w:rPr>
      <w:rFonts w:ascii="Tahoma" w:hAnsi="Tahoma" w:cs="Tahoma"/>
      <w:sz w:val="16"/>
      <w:szCs w:val="16"/>
    </w:rPr>
  </w:style>
  <w:style w:type="character" w:customStyle="1" w:styleId="af6">
    <w:name w:val="Текст выноски Знак"/>
    <w:basedOn w:val="a0"/>
    <w:link w:val="af5"/>
    <w:uiPriority w:val="99"/>
    <w:semiHidden/>
    <w:rsid w:val="001269CD"/>
    <w:rPr>
      <w:rFonts w:ascii="Tahoma" w:eastAsia="Times New Roman" w:hAnsi="Tahoma" w:cs="Tahoma"/>
      <w:sz w:val="16"/>
      <w:szCs w:val="16"/>
      <w:lang w:val="ru-RU" w:eastAsia="ru-RU"/>
    </w:rPr>
  </w:style>
  <w:style w:type="character" w:customStyle="1" w:styleId="docheader">
    <w:name w:val="doc_header"/>
    <w:basedOn w:val="a0"/>
    <w:rsid w:val="00F07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520">
      <w:bodyDiv w:val="1"/>
      <w:marLeft w:val="0"/>
      <w:marRight w:val="0"/>
      <w:marTop w:val="0"/>
      <w:marBottom w:val="0"/>
      <w:divBdr>
        <w:top w:val="none" w:sz="0" w:space="0" w:color="auto"/>
        <w:left w:val="none" w:sz="0" w:space="0" w:color="auto"/>
        <w:bottom w:val="none" w:sz="0" w:space="0" w:color="auto"/>
        <w:right w:val="none" w:sz="0" w:space="0" w:color="auto"/>
      </w:divBdr>
    </w:div>
    <w:div w:id="22750242">
      <w:bodyDiv w:val="1"/>
      <w:marLeft w:val="0"/>
      <w:marRight w:val="0"/>
      <w:marTop w:val="0"/>
      <w:marBottom w:val="0"/>
      <w:divBdr>
        <w:top w:val="none" w:sz="0" w:space="0" w:color="auto"/>
        <w:left w:val="none" w:sz="0" w:space="0" w:color="auto"/>
        <w:bottom w:val="none" w:sz="0" w:space="0" w:color="auto"/>
        <w:right w:val="none" w:sz="0" w:space="0" w:color="auto"/>
      </w:divBdr>
    </w:div>
    <w:div w:id="47848401">
      <w:bodyDiv w:val="1"/>
      <w:marLeft w:val="0"/>
      <w:marRight w:val="0"/>
      <w:marTop w:val="0"/>
      <w:marBottom w:val="0"/>
      <w:divBdr>
        <w:top w:val="none" w:sz="0" w:space="0" w:color="auto"/>
        <w:left w:val="none" w:sz="0" w:space="0" w:color="auto"/>
        <w:bottom w:val="none" w:sz="0" w:space="0" w:color="auto"/>
        <w:right w:val="none" w:sz="0" w:space="0" w:color="auto"/>
      </w:divBdr>
    </w:div>
    <w:div w:id="361787989">
      <w:bodyDiv w:val="1"/>
      <w:marLeft w:val="0"/>
      <w:marRight w:val="0"/>
      <w:marTop w:val="0"/>
      <w:marBottom w:val="0"/>
      <w:divBdr>
        <w:top w:val="none" w:sz="0" w:space="0" w:color="auto"/>
        <w:left w:val="none" w:sz="0" w:space="0" w:color="auto"/>
        <w:bottom w:val="none" w:sz="0" w:space="0" w:color="auto"/>
        <w:right w:val="none" w:sz="0" w:space="0" w:color="auto"/>
      </w:divBdr>
    </w:div>
    <w:div w:id="469903809">
      <w:bodyDiv w:val="1"/>
      <w:marLeft w:val="0"/>
      <w:marRight w:val="0"/>
      <w:marTop w:val="0"/>
      <w:marBottom w:val="0"/>
      <w:divBdr>
        <w:top w:val="none" w:sz="0" w:space="0" w:color="auto"/>
        <w:left w:val="none" w:sz="0" w:space="0" w:color="auto"/>
        <w:bottom w:val="none" w:sz="0" w:space="0" w:color="auto"/>
        <w:right w:val="none" w:sz="0" w:space="0" w:color="auto"/>
      </w:divBdr>
      <w:divsChild>
        <w:div w:id="1225143580">
          <w:marLeft w:val="0"/>
          <w:marRight w:val="0"/>
          <w:marTop w:val="0"/>
          <w:marBottom w:val="0"/>
          <w:divBdr>
            <w:top w:val="none" w:sz="0" w:space="0" w:color="auto"/>
            <w:left w:val="none" w:sz="0" w:space="0" w:color="auto"/>
            <w:bottom w:val="none" w:sz="0" w:space="0" w:color="auto"/>
            <w:right w:val="none" w:sz="0" w:space="0" w:color="auto"/>
          </w:divBdr>
        </w:div>
      </w:divsChild>
    </w:div>
    <w:div w:id="504593857">
      <w:bodyDiv w:val="1"/>
      <w:marLeft w:val="0"/>
      <w:marRight w:val="0"/>
      <w:marTop w:val="0"/>
      <w:marBottom w:val="0"/>
      <w:divBdr>
        <w:top w:val="none" w:sz="0" w:space="0" w:color="auto"/>
        <w:left w:val="none" w:sz="0" w:space="0" w:color="auto"/>
        <w:bottom w:val="none" w:sz="0" w:space="0" w:color="auto"/>
        <w:right w:val="none" w:sz="0" w:space="0" w:color="auto"/>
      </w:divBdr>
    </w:div>
    <w:div w:id="505675868">
      <w:bodyDiv w:val="1"/>
      <w:marLeft w:val="0"/>
      <w:marRight w:val="0"/>
      <w:marTop w:val="0"/>
      <w:marBottom w:val="0"/>
      <w:divBdr>
        <w:top w:val="none" w:sz="0" w:space="0" w:color="auto"/>
        <w:left w:val="none" w:sz="0" w:space="0" w:color="auto"/>
        <w:bottom w:val="none" w:sz="0" w:space="0" w:color="auto"/>
        <w:right w:val="none" w:sz="0" w:space="0" w:color="auto"/>
      </w:divBdr>
    </w:div>
    <w:div w:id="653797519">
      <w:bodyDiv w:val="1"/>
      <w:marLeft w:val="0"/>
      <w:marRight w:val="0"/>
      <w:marTop w:val="0"/>
      <w:marBottom w:val="0"/>
      <w:divBdr>
        <w:top w:val="none" w:sz="0" w:space="0" w:color="auto"/>
        <w:left w:val="none" w:sz="0" w:space="0" w:color="auto"/>
        <w:bottom w:val="none" w:sz="0" w:space="0" w:color="auto"/>
        <w:right w:val="none" w:sz="0" w:space="0" w:color="auto"/>
      </w:divBdr>
    </w:div>
    <w:div w:id="843714492">
      <w:bodyDiv w:val="1"/>
      <w:marLeft w:val="0"/>
      <w:marRight w:val="0"/>
      <w:marTop w:val="0"/>
      <w:marBottom w:val="0"/>
      <w:divBdr>
        <w:top w:val="none" w:sz="0" w:space="0" w:color="auto"/>
        <w:left w:val="none" w:sz="0" w:space="0" w:color="auto"/>
        <w:bottom w:val="none" w:sz="0" w:space="0" w:color="auto"/>
        <w:right w:val="none" w:sz="0" w:space="0" w:color="auto"/>
      </w:divBdr>
    </w:div>
    <w:div w:id="1049761397">
      <w:bodyDiv w:val="1"/>
      <w:marLeft w:val="0"/>
      <w:marRight w:val="0"/>
      <w:marTop w:val="0"/>
      <w:marBottom w:val="0"/>
      <w:divBdr>
        <w:top w:val="none" w:sz="0" w:space="0" w:color="auto"/>
        <w:left w:val="none" w:sz="0" w:space="0" w:color="auto"/>
        <w:bottom w:val="none" w:sz="0" w:space="0" w:color="auto"/>
        <w:right w:val="none" w:sz="0" w:space="0" w:color="auto"/>
      </w:divBdr>
    </w:div>
    <w:div w:id="1060203412">
      <w:bodyDiv w:val="1"/>
      <w:marLeft w:val="0"/>
      <w:marRight w:val="0"/>
      <w:marTop w:val="0"/>
      <w:marBottom w:val="0"/>
      <w:divBdr>
        <w:top w:val="none" w:sz="0" w:space="0" w:color="auto"/>
        <w:left w:val="none" w:sz="0" w:space="0" w:color="auto"/>
        <w:bottom w:val="none" w:sz="0" w:space="0" w:color="auto"/>
        <w:right w:val="none" w:sz="0" w:space="0" w:color="auto"/>
      </w:divBdr>
    </w:div>
    <w:div w:id="1069811087">
      <w:bodyDiv w:val="1"/>
      <w:marLeft w:val="0"/>
      <w:marRight w:val="0"/>
      <w:marTop w:val="0"/>
      <w:marBottom w:val="0"/>
      <w:divBdr>
        <w:top w:val="none" w:sz="0" w:space="0" w:color="auto"/>
        <w:left w:val="none" w:sz="0" w:space="0" w:color="auto"/>
        <w:bottom w:val="none" w:sz="0" w:space="0" w:color="auto"/>
        <w:right w:val="none" w:sz="0" w:space="0" w:color="auto"/>
      </w:divBdr>
    </w:div>
    <w:div w:id="1120026213">
      <w:bodyDiv w:val="1"/>
      <w:marLeft w:val="0"/>
      <w:marRight w:val="0"/>
      <w:marTop w:val="0"/>
      <w:marBottom w:val="0"/>
      <w:divBdr>
        <w:top w:val="none" w:sz="0" w:space="0" w:color="auto"/>
        <w:left w:val="none" w:sz="0" w:space="0" w:color="auto"/>
        <w:bottom w:val="none" w:sz="0" w:space="0" w:color="auto"/>
        <w:right w:val="none" w:sz="0" w:space="0" w:color="auto"/>
      </w:divBdr>
    </w:div>
    <w:div w:id="1210990520">
      <w:bodyDiv w:val="1"/>
      <w:marLeft w:val="0"/>
      <w:marRight w:val="0"/>
      <w:marTop w:val="0"/>
      <w:marBottom w:val="0"/>
      <w:divBdr>
        <w:top w:val="none" w:sz="0" w:space="0" w:color="auto"/>
        <w:left w:val="none" w:sz="0" w:space="0" w:color="auto"/>
        <w:bottom w:val="none" w:sz="0" w:space="0" w:color="auto"/>
        <w:right w:val="none" w:sz="0" w:space="0" w:color="auto"/>
      </w:divBdr>
    </w:div>
    <w:div w:id="1217744192">
      <w:bodyDiv w:val="1"/>
      <w:marLeft w:val="0"/>
      <w:marRight w:val="0"/>
      <w:marTop w:val="0"/>
      <w:marBottom w:val="0"/>
      <w:divBdr>
        <w:top w:val="none" w:sz="0" w:space="0" w:color="auto"/>
        <w:left w:val="none" w:sz="0" w:space="0" w:color="auto"/>
        <w:bottom w:val="none" w:sz="0" w:space="0" w:color="auto"/>
        <w:right w:val="none" w:sz="0" w:space="0" w:color="auto"/>
      </w:divBdr>
      <w:divsChild>
        <w:div w:id="1211115470">
          <w:marLeft w:val="0"/>
          <w:marRight w:val="0"/>
          <w:marTop w:val="0"/>
          <w:marBottom w:val="0"/>
          <w:divBdr>
            <w:top w:val="none" w:sz="0" w:space="0" w:color="auto"/>
            <w:left w:val="none" w:sz="0" w:space="0" w:color="auto"/>
            <w:bottom w:val="none" w:sz="0" w:space="0" w:color="auto"/>
            <w:right w:val="none" w:sz="0" w:space="0" w:color="auto"/>
          </w:divBdr>
        </w:div>
        <w:div w:id="764036749">
          <w:marLeft w:val="0"/>
          <w:marRight w:val="0"/>
          <w:marTop w:val="0"/>
          <w:marBottom w:val="0"/>
          <w:divBdr>
            <w:top w:val="none" w:sz="0" w:space="0" w:color="auto"/>
            <w:left w:val="none" w:sz="0" w:space="0" w:color="auto"/>
            <w:bottom w:val="none" w:sz="0" w:space="0" w:color="auto"/>
            <w:right w:val="none" w:sz="0" w:space="0" w:color="auto"/>
          </w:divBdr>
        </w:div>
        <w:div w:id="803817321">
          <w:marLeft w:val="0"/>
          <w:marRight w:val="0"/>
          <w:marTop w:val="0"/>
          <w:marBottom w:val="0"/>
          <w:divBdr>
            <w:top w:val="none" w:sz="0" w:space="0" w:color="auto"/>
            <w:left w:val="none" w:sz="0" w:space="0" w:color="auto"/>
            <w:bottom w:val="none" w:sz="0" w:space="0" w:color="auto"/>
            <w:right w:val="none" w:sz="0" w:space="0" w:color="auto"/>
          </w:divBdr>
        </w:div>
        <w:div w:id="509226249">
          <w:marLeft w:val="0"/>
          <w:marRight w:val="0"/>
          <w:marTop w:val="0"/>
          <w:marBottom w:val="0"/>
          <w:divBdr>
            <w:top w:val="none" w:sz="0" w:space="0" w:color="auto"/>
            <w:left w:val="none" w:sz="0" w:space="0" w:color="auto"/>
            <w:bottom w:val="none" w:sz="0" w:space="0" w:color="auto"/>
            <w:right w:val="none" w:sz="0" w:space="0" w:color="auto"/>
          </w:divBdr>
        </w:div>
        <w:div w:id="1049259031">
          <w:marLeft w:val="0"/>
          <w:marRight w:val="0"/>
          <w:marTop w:val="0"/>
          <w:marBottom w:val="0"/>
          <w:divBdr>
            <w:top w:val="none" w:sz="0" w:space="0" w:color="auto"/>
            <w:left w:val="none" w:sz="0" w:space="0" w:color="auto"/>
            <w:bottom w:val="none" w:sz="0" w:space="0" w:color="auto"/>
            <w:right w:val="none" w:sz="0" w:space="0" w:color="auto"/>
          </w:divBdr>
        </w:div>
      </w:divsChild>
    </w:div>
    <w:div w:id="1258782328">
      <w:bodyDiv w:val="1"/>
      <w:marLeft w:val="0"/>
      <w:marRight w:val="0"/>
      <w:marTop w:val="0"/>
      <w:marBottom w:val="0"/>
      <w:divBdr>
        <w:top w:val="none" w:sz="0" w:space="0" w:color="auto"/>
        <w:left w:val="none" w:sz="0" w:space="0" w:color="auto"/>
        <w:bottom w:val="none" w:sz="0" w:space="0" w:color="auto"/>
        <w:right w:val="none" w:sz="0" w:space="0" w:color="auto"/>
      </w:divBdr>
    </w:div>
    <w:div w:id="1429348019">
      <w:bodyDiv w:val="1"/>
      <w:marLeft w:val="0"/>
      <w:marRight w:val="0"/>
      <w:marTop w:val="0"/>
      <w:marBottom w:val="0"/>
      <w:divBdr>
        <w:top w:val="none" w:sz="0" w:space="0" w:color="auto"/>
        <w:left w:val="none" w:sz="0" w:space="0" w:color="auto"/>
        <w:bottom w:val="none" w:sz="0" w:space="0" w:color="auto"/>
        <w:right w:val="none" w:sz="0" w:space="0" w:color="auto"/>
      </w:divBdr>
    </w:div>
    <w:div w:id="1499079161">
      <w:bodyDiv w:val="1"/>
      <w:marLeft w:val="0"/>
      <w:marRight w:val="0"/>
      <w:marTop w:val="0"/>
      <w:marBottom w:val="0"/>
      <w:divBdr>
        <w:top w:val="none" w:sz="0" w:space="0" w:color="auto"/>
        <w:left w:val="none" w:sz="0" w:space="0" w:color="auto"/>
        <w:bottom w:val="none" w:sz="0" w:space="0" w:color="auto"/>
        <w:right w:val="none" w:sz="0" w:space="0" w:color="auto"/>
      </w:divBdr>
      <w:divsChild>
        <w:div w:id="1608539919">
          <w:marLeft w:val="810"/>
          <w:marRight w:val="810"/>
          <w:marTop w:val="360"/>
          <w:marBottom w:val="0"/>
          <w:divBdr>
            <w:top w:val="none" w:sz="0" w:space="0" w:color="auto"/>
            <w:left w:val="none" w:sz="0" w:space="0" w:color="auto"/>
            <w:bottom w:val="none" w:sz="0" w:space="0" w:color="auto"/>
            <w:right w:val="none" w:sz="0" w:space="0" w:color="auto"/>
          </w:divBdr>
          <w:divsChild>
            <w:div w:id="1972709344">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1672482994">
      <w:bodyDiv w:val="1"/>
      <w:marLeft w:val="0"/>
      <w:marRight w:val="0"/>
      <w:marTop w:val="0"/>
      <w:marBottom w:val="0"/>
      <w:divBdr>
        <w:top w:val="none" w:sz="0" w:space="0" w:color="auto"/>
        <w:left w:val="none" w:sz="0" w:space="0" w:color="auto"/>
        <w:bottom w:val="none" w:sz="0" w:space="0" w:color="auto"/>
        <w:right w:val="none" w:sz="0" w:space="0" w:color="auto"/>
      </w:divBdr>
    </w:div>
    <w:div w:id="1725180477">
      <w:bodyDiv w:val="1"/>
      <w:marLeft w:val="0"/>
      <w:marRight w:val="0"/>
      <w:marTop w:val="0"/>
      <w:marBottom w:val="0"/>
      <w:divBdr>
        <w:top w:val="none" w:sz="0" w:space="0" w:color="auto"/>
        <w:left w:val="none" w:sz="0" w:space="0" w:color="auto"/>
        <w:bottom w:val="none" w:sz="0" w:space="0" w:color="auto"/>
        <w:right w:val="none" w:sz="0" w:space="0" w:color="auto"/>
      </w:divBdr>
    </w:div>
    <w:div w:id="1769621296">
      <w:bodyDiv w:val="1"/>
      <w:marLeft w:val="0"/>
      <w:marRight w:val="0"/>
      <w:marTop w:val="0"/>
      <w:marBottom w:val="0"/>
      <w:divBdr>
        <w:top w:val="none" w:sz="0" w:space="0" w:color="auto"/>
        <w:left w:val="none" w:sz="0" w:space="0" w:color="auto"/>
        <w:bottom w:val="none" w:sz="0" w:space="0" w:color="auto"/>
        <w:right w:val="none" w:sz="0" w:space="0" w:color="auto"/>
      </w:divBdr>
    </w:div>
    <w:div w:id="1821261735">
      <w:bodyDiv w:val="1"/>
      <w:marLeft w:val="0"/>
      <w:marRight w:val="0"/>
      <w:marTop w:val="0"/>
      <w:marBottom w:val="0"/>
      <w:divBdr>
        <w:top w:val="none" w:sz="0" w:space="0" w:color="auto"/>
        <w:left w:val="none" w:sz="0" w:space="0" w:color="auto"/>
        <w:bottom w:val="none" w:sz="0" w:space="0" w:color="auto"/>
        <w:right w:val="none" w:sz="0" w:space="0" w:color="auto"/>
      </w:divBdr>
    </w:div>
    <w:div w:id="1832982710">
      <w:bodyDiv w:val="1"/>
      <w:marLeft w:val="0"/>
      <w:marRight w:val="0"/>
      <w:marTop w:val="0"/>
      <w:marBottom w:val="0"/>
      <w:divBdr>
        <w:top w:val="none" w:sz="0" w:space="0" w:color="auto"/>
        <w:left w:val="none" w:sz="0" w:space="0" w:color="auto"/>
        <w:bottom w:val="none" w:sz="0" w:space="0" w:color="auto"/>
        <w:right w:val="none" w:sz="0" w:space="0" w:color="auto"/>
      </w:divBdr>
    </w:div>
    <w:div w:id="1971670260">
      <w:bodyDiv w:val="1"/>
      <w:marLeft w:val="0"/>
      <w:marRight w:val="0"/>
      <w:marTop w:val="0"/>
      <w:marBottom w:val="0"/>
      <w:divBdr>
        <w:top w:val="none" w:sz="0" w:space="0" w:color="auto"/>
        <w:left w:val="none" w:sz="0" w:space="0" w:color="auto"/>
        <w:bottom w:val="none" w:sz="0" w:space="0" w:color="auto"/>
        <w:right w:val="none" w:sz="0" w:space="0" w:color="auto"/>
      </w:divBdr>
    </w:div>
    <w:div w:id="20634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3FFC9-4FCE-4057-A8C6-EF0D3999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3046</Words>
  <Characters>17366</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20372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cp:lastPrinted>2013-11-12T09:03:00Z</cp:lastPrinted>
  <dcterms:created xsi:type="dcterms:W3CDTF">2017-06-14T05:47:00Z</dcterms:created>
  <dcterms:modified xsi:type="dcterms:W3CDTF">2017-06-14T05:47:00Z</dcterms:modified>
</cp:coreProperties>
</file>