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94" w:rsidRPr="00384D86" w:rsidRDefault="00E76694" w:rsidP="00384D86">
      <w:pPr>
        <w:shd w:val="clear" w:color="auto" w:fill="FFFFFF"/>
        <w:spacing w:before="240" w:after="120" w:line="276" w:lineRule="auto"/>
        <w:jc w:val="right"/>
        <w:textAlignment w:val="baseline"/>
        <w:rPr>
          <w:rFonts w:ascii="Times New Roman" w:eastAsia="Times New Roman" w:hAnsi="Times New Roman" w:cs="Times New Roman"/>
          <w:bCs/>
          <w:color w:val="444444"/>
          <w:sz w:val="24"/>
          <w:szCs w:val="24"/>
          <w:lang w:val="ro-RO" w:eastAsia="ru-RU"/>
        </w:rPr>
      </w:pPr>
      <w:r w:rsidRPr="00384D86">
        <w:rPr>
          <w:rFonts w:ascii="Times New Roman" w:eastAsia="Times New Roman" w:hAnsi="Times New Roman" w:cs="Times New Roman"/>
          <w:bCs/>
          <w:color w:val="444444"/>
          <w:sz w:val="24"/>
          <w:szCs w:val="24"/>
          <w:lang w:val="ro-RO" w:eastAsia="ru-RU"/>
        </w:rPr>
        <w:t xml:space="preserve">Proiect </w:t>
      </w:r>
    </w:p>
    <w:p w:rsidR="00313751" w:rsidRPr="00384D86" w:rsidRDefault="00313751" w:rsidP="00384D86">
      <w:pPr>
        <w:spacing w:after="0" w:line="276" w:lineRule="auto"/>
        <w:jc w:val="center"/>
        <w:rPr>
          <w:rFonts w:ascii="Times New Roman" w:eastAsia="Calibri" w:hAnsi="Times New Roman" w:cs="Times New Roman"/>
          <w:sz w:val="24"/>
          <w:szCs w:val="24"/>
          <w:lang w:val="ro-RO"/>
        </w:rPr>
      </w:pPr>
    </w:p>
    <w:p w:rsidR="000538DE" w:rsidRPr="00384D86" w:rsidRDefault="000538DE" w:rsidP="00384D86">
      <w:pPr>
        <w:spacing w:after="0" w:line="276" w:lineRule="auto"/>
        <w:jc w:val="center"/>
        <w:rPr>
          <w:rFonts w:ascii="Times New Roman" w:eastAsia="Calibri" w:hAnsi="Times New Roman" w:cs="Times New Roman"/>
          <w:sz w:val="24"/>
          <w:szCs w:val="24"/>
          <w:lang w:val="ro-RO"/>
        </w:rPr>
      </w:pPr>
      <w:r w:rsidRPr="00384D86">
        <w:rPr>
          <w:rFonts w:ascii="Times New Roman" w:eastAsia="Calibri" w:hAnsi="Times New Roman" w:cs="Times New Roman"/>
          <w:sz w:val="24"/>
          <w:szCs w:val="24"/>
          <w:lang w:val="ro-RO"/>
        </w:rPr>
        <w:t>Guvernul Republicii Moldova</w:t>
      </w:r>
    </w:p>
    <w:p w:rsidR="00313751" w:rsidRPr="00384D86" w:rsidRDefault="00313751" w:rsidP="00384D86">
      <w:pPr>
        <w:spacing w:after="0" w:line="276" w:lineRule="auto"/>
        <w:jc w:val="center"/>
        <w:rPr>
          <w:rFonts w:ascii="Times New Roman" w:eastAsia="Calibri" w:hAnsi="Times New Roman" w:cs="Times New Roman"/>
          <w:sz w:val="24"/>
          <w:szCs w:val="24"/>
          <w:lang w:val="ro-RO"/>
        </w:rPr>
      </w:pPr>
    </w:p>
    <w:p w:rsidR="000538DE" w:rsidRPr="00384D86" w:rsidRDefault="000538DE" w:rsidP="00384D86">
      <w:pPr>
        <w:spacing w:after="0" w:line="276" w:lineRule="auto"/>
        <w:jc w:val="center"/>
        <w:rPr>
          <w:rFonts w:ascii="Times New Roman" w:eastAsia="Calibri" w:hAnsi="Times New Roman" w:cs="Times New Roman"/>
          <w:sz w:val="24"/>
          <w:szCs w:val="24"/>
          <w:lang w:val="ro-RO"/>
        </w:rPr>
      </w:pPr>
      <w:r w:rsidRPr="00384D86">
        <w:rPr>
          <w:rFonts w:ascii="Times New Roman" w:eastAsia="Calibri" w:hAnsi="Times New Roman" w:cs="Times New Roman"/>
          <w:sz w:val="24"/>
          <w:szCs w:val="24"/>
          <w:lang w:val="ro-RO"/>
        </w:rPr>
        <w:t>HOTĂRÂRE nr._______</w:t>
      </w:r>
    </w:p>
    <w:p w:rsidR="000538DE" w:rsidRPr="00384D86" w:rsidRDefault="000538DE" w:rsidP="00384D86">
      <w:pPr>
        <w:spacing w:after="0" w:line="276" w:lineRule="auto"/>
        <w:jc w:val="center"/>
        <w:rPr>
          <w:rFonts w:ascii="Times New Roman" w:eastAsia="Calibri" w:hAnsi="Times New Roman" w:cs="Times New Roman"/>
          <w:sz w:val="24"/>
          <w:szCs w:val="24"/>
          <w:lang w:val="ro-RO"/>
        </w:rPr>
      </w:pPr>
      <w:r w:rsidRPr="00384D86">
        <w:rPr>
          <w:rFonts w:ascii="Times New Roman" w:eastAsia="Calibri" w:hAnsi="Times New Roman" w:cs="Times New Roman"/>
          <w:sz w:val="24"/>
          <w:szCs w:val="24"/>
          <w:lang w:val="ro-RO"/>
        </w:rPr>
        <w:t>din_______</w:t>
      </w:r>
    </w:p>
    <w:p w:rsidR="000538DE" w:rsidRPr="00384D86" w:rsidRDefault="000538DE" w:rsidP="00384D86">
      <w:pPr>
        <w:spacing w:after="0" w:line="276" w:lineRule="auto"/>
        <w:jc w:val="center"/>
        <w:rPr>
          <w:rFonts w:ascii="Times New Roman" w:eastAsia="Calibri" w:hAnsi="Times New Roman" w:cs="Times New Roman"/>
          <w:sz w:val="24"/>
          <w:szCs w:val="24"/>
          <w:lang w:val="ro-RO"/>
        </w:rPr>
      </w:pPr>
    </w:p>
    <w:p w:rsidR="000538DE" w:rsidRPr="00384D86" w:rsidRDefault="000538DE" w:rsidP="00384D86">
      <w:pPr>
        <w:shd w:val="clear" w:color="auto" w:fill="FFFFFF"/>
        <w:spacing w:before="240" w:after="120" w:line="276" w:lineRule="auto"/>
        <w:jc w:val="center"/>
        <w:textAlignment w:val="baseline"/>
        <w:rPr>
          <w:rFonts w:ascii="Times New Roman" w:eastAsia="Times New Roman" w:hAnsi="Times New Roman" w:cs="Times New Roman"/>
          <w:b/>
          <w:bCs/>
          <w:color w:val="000000" w:themeColor="text1"/>
          <w:sz w:val="24"/>
          <w:szCs w:val="24"/>
          <w:lang w:val="ro-RO" w:eastAsia="ru-RU"/>
        </w:rPr>
      </w:pPr>
      <w:r w:rsidRPr="00384D86">
        <w:rPr>
          <w:rFonts w:ascii="Times New Roman" w:eastAsia="Calibri" w:hAnsi="Times New Roman" w:cs="Times New Roman"/>
          <w:b/>
          <w:color w:val="000000" w:themeColor="text1"/>
          <w:sz w:val="24"/>
          <w:szCs w:val="24"/>
          <w:lang w:val="ro-RO"/>
        </w:rPr>
        <w:t>Cu privire la aprobarea Listei</w:t>
      </w:r>
      <w:r w:rsidRPr="00384D86">
        <w:rPr>
          <w:rFonts w:ascii="Times New Roman" w:eastAsia="Times New Roman" w:hAnsi="Times New Roman" w:cs="Times New Roman"/>
          <w:b/>
          <w:bCs/>
          <w:color w:val="000000" w:themeColor="text1"/>
          <w:sz w:val="24"/>
          <w:szCs w:val="24"/>
          <w:lang w:val="ro-RO" w:eastAsia="ru-RU"/>
        </w:rPr>
        <w:t xml:space="preserve"> de mențiuni de sănătate permise, înscrise pe produsele alimentare, altele decât cele care se referă la reducerea riscului de îmbolnăvire și la dezvoltarea și sănătatea copiilor</w:t>
      </w:r>
    </w:p>
    <w:p w:rsidR="003D6EA6" w:rsidRPr="00384D86" w:rsidRDefault="003D6EA6" w:rsidP="00384D86">
      <w:pPr>
        <w:spacing w:line="276" w:lineRule="auto"/>
        <w:ind w:firstLine="708"/>
        <w:jc w:val="both"/>
        <w:rPr>
          <w:rFonts w:ascii="Times New Roman" w:eastAsia="Calibri" w:hAnsi="Times New Roman" w:cs="Times New Roman"/>
          <w:sz w:val="24"/>
          <w:szCs w:val="24"/>
          <w:lang w:val="ro-RO"/>
        </w:rPr>
      </w:pPr>
    </w:p>
    <w:p w:rsidR="003D6EA6" w:rsidRPr="00384D86" w:rsidRDefault="00565E2F" w:rsidP="00384D86">
      <w:pPr>
        <w:spacing w:line="276" w:lineRule="auto"/>
        <w:ind w:firstLine="708"/>
        <w:jc w:val="both"/>
        <w:rPr>
          <w:rFonts w:ascii="Times New Roman" w:eastAsia="Calibri" w:hAnsi="Times New Roman" w:cs="Times New Roman"/>
          <w:b/>
          <w:sz w:val="24"/>
          <w:szCs w:val="24"/>
          <w:lang w:val="ro-RO" w:eastAsia="ru-RU"/>
        </w:rPr>
      </w:pPr>
      <w:r w:rsidRPr="00384D86">
        <w:rPr>
          <w:rFonts w:ascii="Times New Roman" w:eastAsia="Calibri" w:hAnsi="Times New Roman" w:cs="Times New Roman"/>
          <w:color w:val="000000"/>
          <w:sz w:val="24"/>
          <w:szCs w:val="24"/>
          <w:lang w:val="ro-RO" w:eastAsia="ru-RU"/>
        </w:rPr>
        <w:t xml:space="preserve">În temeiul art. 6 din Legea nr.10-XVI din 10 februarie 2009 privind supravegherea de stat a sănătăţii publice (Monitorul Oficial al Republicii Moldova, 2009, nr.67, art.183), art. 5 alin. (2) şi art. 9 </w:t>
      </w:r>
      <w:r w:rsidR="00FF4B9B" w:rsidRPr="00384D86">
        <w:rPr>
          <w:rFonts w:ascii="Times New Roman" w:eastAsia="Calibri" w:hAnsi="Times New Roman" w:cs="Times New Roman"/>
          <w:color w:val="000000"/>
          <w:sz w:val="24"/>
          <w:szCs w:val="24"/>
          <w:lang w:val="ro-RO" w:eastAsia="ru-RU"/>
        </w:rPr>
        <w:t xml:space="preserve">alin. (1) </w:t>
      </w:r>
      <w:r w:rsidRPr="00384D86">
        <w:rPr>
          <w:rFonts w:ascii="Times New Roman" w:eastAsia="Calibri" w:hAnsi="Times New Roman" w:cs="Times New Roman"/>
          <w:color w:val="000000"/>
          <w:sz w:val="24"/>
          <w:szCs w:val="24"/>
          <w:lang w:val="ro-RO" w:eastAsia="ru-RU"/>
        </w:rPr>
        <w:t>din Legea nr.78-XV din 18 martie 2004 privind produsele alimentare (Monitorul Oficial al Republicii Moldova, 2004, nr.83-87, art.431)</w:t>
      </w:r>
      <w:r w:rsidR="00D27372" w:rsidRPr="00384D86">
        <w:rPr>
          <w:rFonts w:ascii="Times New Roman" w:eastAsia="Calibri" w:hAnsi="Times New Roman" w:cs="Times New Roman"/>
          <w:color w:val="000000"/>
          <w:sz w:val="24"/>
          <w:szCs w:val="24"/>
          <w:lang w:val="ro-RO" w:eastAsia="ru-RU"/>
        </w:rPr>
        <w:t xml:space="preserve">, </w:t>
      </w:r>
      <w:r w:rsidRPr="00384D86">
        <w:rPr>
          <w:rFonts w:ascii="Times New Roman" w:eastAsia="Calibri" w:hAnsi="Times New Roman" w:cs="Times New Roman"/>
          <w:color w:val="000000"/>
          <w:sz w:val="24"/>
          <w:szCs w:val="24"/>
          <w:lang w:val="ro-RO" w:eastAsia="ru-RU"/>
        </w:rPr>
        <w:t xml:space="preserve">în scopul </w:t>
      </w:r>
      <w:r w:rsidR="00137288" w:rsidRPr="00384D86">
        <w:rPr>
          <w:rFonts w:ascii="Times New Roman" w:eastAsia="Calibri" w:hAnsi="Times New Roman" w:cs="Times New Roman"/>
          <w:color w:val="000000"/>
          <w:sz w:val="24"/>
          <w:szCs w:val="24"/>
          <w:lang w:val="ro-RO" w:eastAsia="ru-RU"/>
        </w:rPr>
        <w:t xml:space="preserve">implementării Regulamentului </w:t>
      </w:r>
      <w:r w:rsidR="003D6EA6" w:rsidRPr="00384D86">
        <w:rPr>
          <w:rFonts w:ascii="Times New Roman" w:eastAsia="Calibri" w:hAnsi="Times New Roman" w:cs="Times New Roman"/>
          <w:color w:val="000000"/>
          <w:sz w:val="24"/>
          <w:szCs w:val="24"/>
          <w:lang w:val="ro-RO" w:eastAsia="ru-RU"/>
        </w:rPr>
        <w:t xml:space="preserve">sanitar </w:t>
      </w:r>
      <w:r w:rsidR="003D6EA6" w:rsidRPr="00384D86">
        <w:rPr>
          <w:rFonts w:ascii="Times New Roman" w:eastAsia="Times New Roman" w:hAnsi="Times New Roman" w:cs="Times New Roman"/>
          <w:bCs/>
          <w:color w:val="000000"/>
          <w:sz w:val="24"/>
          <w:szCs w:val="24"/>
          <w:lang w:val="ro-RO" w:eastAsia="ru-RU"/>
        </w:rPr>
        <w:t xml:space="preserve">privind menţiunile nutriţionale şi de sănătate înscrise pe produsele alimentare, aprobat prin Hotărîrea Guvernului </w:t>
      </w:r>
      <w:r w:rsidR="003D6EA6" w:rsidRPr="00384D86">
        <w:rPr>
          <w:rFonts w:ascii="Times New Roman" w:eastAsia="Calibri" w:hAnsi="Times New Roman" w:cs="Times New Roman"/>
          <w:color w:val="000000"/>
          <w:sz w:val="24"/>
          <w:szCs w:val="24"/>
          <w:lang w:val="ro-RO" w:eastAsia="ru-RU"/>
        </w:rPr>
        <w:t xml:space="preserve">nr. 196 din 23 martie </w:t>
      </w:r>
      <w:r w:rsidR="00137288" w:rsidRPr="00384D86">
        <w:rPr>
          <w:rFonts w:ascii="Times New Roman" w:eastAsia="Calibri" w:hAnsi="Times New Roman" w:cs="Times New Roman"/>
          <w:color w:val="000000"/>
          <w:sz w:val="24"/>
          <w:szCs w:val="24"/>
          <w:lang w:val="ro-RO" w:eastAsia="ru-RU"/>
        </w:rPr>
        <w:t>201</w:t>
      </w:r>
      <w:r w:rsidR="003D6EA6" w:rsidRPr="00384D86">
        <w:rPr>
          <w:rFonts w:ascii="Times New Roman" w:eastAsia="Calibri" w:hAnsi="Times New Roman" w:cs="Times New Roman"/>
          <w:color w:val="000000"/>
          <w:sz w:val="24"/>
          <w:szCs w:val="24"/>
          <w:lang w:val="ro-RO" w:eastAsia="ru-RU"/>
        </w:rPr>
        <w:t>1</w:t>
      </w:r>
      <w:r w:rsidR="00137288" w:rsidRPr="00384D86">
        <w:rPr>
          <w:rFonts w:ascii="Times New Roman" w:eastAsia="Calibri" w:hAnsi="Times New Roman" w:cs="Times New Roman"/>
          <w:color w:val="000000"/>
          <w:sz w:val="24"/>
          <w:szCs w:val="24"/>
          <w:lang w:val="ro-RO" w:eastAsia="ru-RU"/>
        </w:rPr>
        <w:t xml:space="preserve">, </w:t>
      </w:r>
      <w:r w:rsidR="00D27372" w:rsidRPr="00384D86">
        <w:rPr>
          <w:rFonts w:ascii="Times New Roman" w:eastAsia="Calibri" w:hAnsi="Times New Roman" w:cs="Times New Roman"/>
          <w:color w:val="000000"/>
          <w:sz w:val="24"/>
          <w:szCs w:val="24"/>
          <w:lang w:val="ro-RO" w:eastAsia="ru-RU"/>
        </w:rPr>
        <w:t xml:space="preserve">ajustării cadrului normativ național la prevederile </w:t>
      </w:r>
      <w:r w:rsidR="00D27372" w:rsidRPr="00384D86">
        <w:rPr>
          <w:rFonts w:ascii="Times New Roman" w:eastAsia="Times New Roman" w:hAnsi="Times New Roman" w:cs="Times New Roman"/>
          <w:color w:val="000000" w:themeColor="text1"/>
          <w:sz w:val="24"/>
          <w:szCs w:val="24"/>
          <w:lang w:val="ro-RO" w:eastAsia="ru-RU"/>
        </w:rPr>
        <w:t>Regulamentul</w:t>
      </w:r>
      <w:r w:rsidR="00CB7451" w:rsidRPr="00384D86">
        <w:rPr>
          <w:rFonts w:ascii="Times New Roman" w:eastAsia="Times New Roman" w:hAnsi="Times New Roman" w:cs="Times New Roman"/>
          <w:color w:val="000000" w:themeColor="text1"/>
          <w:sz w:val="24"/>
          <w:szCs w:val="24"/>
          <w:lang w:val="ro-RO" w:eastAsia="ru-RU"/>
        </w:rPr>
        <w:t>ui</w:t>
      </w:r>
      <w:r w:rsidR="00D27372" w:rsidRPr="00384D86">
        <w:rPr>
          <w:rFonts w:ascii="Times New Roman" w:eastAsia="Times New Roman" w:hAnsi="Times New Roman" w:cs="Times New Roman"/>
          <w:color w:val="000000" w:themeColor="text1"/>
          <w:sz w:val="24"/>
          <w:szCs w:val="24"/>
          <w:lang w:val="ro-RO" w:eastAsia="ru-RU"/>
        </w:rPr>
        <w:t xml:space="preserve"> (CE) nr. 1924/2006 al Parlamentului European și al Consiliului din 20 decembrie 2006 privind mențiunile nutriționale și de sănătate înscrise pe produsele alimentare</w:t>
      </w:r>
      <w:r w:rsidR="0086669D" w:rsidRPr="00384D86">
        <w:rPr>
          <w:rFonts w:ascii="Times New Roman" w:eastAsia="Times New Roman" w:hAnsi="Times New Roman" w:cs="Times New Roman"/>
          <w:color w:val="000000" w:themeColor="text1"/>
          <w:sz w:val="24"/>
          <w:szCs w:val="24"/>
          <w:lang w:val="ro-RO" w:eastAsia="ru-RU"/>
        </w:rPr>
        <w:t xml:space="preserve"> </w:t>
      </w:r>
      <w:r w:rsidR="0086669D" w:rsidRPr="00384D86">
        <w:rPr>
          <w:rFonts w:ascii="Times New Roman" w:hAnsi="Times New Roman" w:cs="Times New Roman"/>
          <w:color w:val="000000" w:themeColor="text1"/>
          <w:sz w:val="24"/>
          <w:szCs w:val="24"/>
          <w:lang w:val="ro-RO"/>
        </w:rPr>
        <w:t>(JO L 404, 30.12.2006, p. 9</w:t>
      </w:r>
      <w:r w:rsidR="00CB7451" w:rsidRPr="00384D86">
        <w:rPr>
          <w:rFonts w:ascii="Times New Roman" w:eastAsia="Times New Roman" w:hAnsi="Times New Roman" w:cs="Times New Roman"/>
          <w:color w:val="000000" w:themeColor="text1"/>
          <w:sz w:val="24"/>
          <w:szCs w:val="24"/>
          <w:lang w:val="ro-RO" w:eastAsia="ru-RU"/>
        </w:rPr>
        <w:t>),</w:t>
      </w:r>
      <w:r w:rsidR="0086669D" w:rsidRPr="00384D86">
        <w:rPr>
          <w:rFonts w:ascii="Times New Roman" w:hAnsi="Times New Roman" w:cs="Times New Roman"/>
          <w:color w:val="000000" w:themeColor="text1"/>
          <w:sz w:val="24"/>
          <w:szCs w:val="24"/>
          <w:bdr w:val="none" w:sz="0" w:space="0" w:color="auto" w:frame="1"/>
          <w:shd w:val="clear" w:color="auto" w:fill="FFFFFF"/>
          <w:lang w:val="ro-RO"/>
        </w:rPr>
        <w:t xml:space="preserve"> </w:t>
      </w:r>
      <w:r w:rsidR="0086669D" w:rsidRPr="00384D86">
        <w:rPr>
          <w:rStyle w:val="a8"/>
          <w:rFonts w:ascii="Times New Roman" w:hAnsi="Times New Roman" w:cs="Times New Roman"/>
          <w:b w:val="0"/>
          <w:color w:val="000000" w:themeColor="text1"/>
          <w:sz w:val="24"/>
          <w:szCs w:val="24"/>
          <w:bdr w:val="none" w:sz="0" w:space="0" w:color="auto" w:frame="1"/>
          <w:shd w:val="clear" w:color="auto" w:fill="FFFFFF"/>
          <w:lang w:val="ro-RO"/>
        </w:rPr>
        <w:t>Regulamentului (UE) nr. 432/2012 al Comisiei din 16 mai 2012 de stabilire a unei liste de mențiuni de sănătate permise, înscrise pe produsele alimentare, altele decât cele care se referă la reducerea riscului de îmbolnăvire și la dezvoltarea și sănătatea copiilor</w:t>
      </w:r>
      <w:r w:rsidR="00CB7451" w:rsidRPr="00384D86">
        <w:rPr>
          <w:rFonts w:ascii="Times New Roman" w:eastAsia="Times New Roman" w:hAnsi="Times New Roman" w:cs="Times New Roman"/>
          <w:b/>
          <w:color w:val="000000" w:themeColor="text1"/>
          <w:sz w:val="24"/>
          <w:szCs w:val="24"/>
          <w:lang w:val="ro-RO" w:eastAsia="ru-RU"/>
        </w:rPr>
        <w:t xml:space="preserve"> </w:t>
      </w:r>
      <w:r w:rsidR="0086669D" w:rsidRPr="00384D86">
        <w:rPr>
          <w:rFonts w:ascii="Times New Roman" w:eastAsia="Times New Roman" w:hAnsi="Times New Roman" w:cs="Times New Roman"/>
          <w:b/>
          <w:color w:val="000000" w:themeColor="text1"/>
          <w:sz w:val="24"/>
          <w:szCs w:val="24"/>
          <w:lang w:val="ro-RO" w:eastAsia="ru-RU"/>
        </w:rPr>
        <w:t>(</w:t>
      </w:r>
      <w:r w:rsidR="0086669D" w:rsidRPr="00384D86">
        <w:rPr>
          <w:rFonts w:ascii="Times New Roman" w:hAnsi="Times New Roman" w:cs="Times New Roman"/>
          <w:bCs/>
          <w:color w:val="000000" w:themeColor="text1"/>
          <w:sz w:val="24"/>
          <w:szCs w:val="24"/>
          <w:lang w:val="ro-RO"/>
        </w:rPr>
        <w:t xml:space="preserve">Monitorul Oficial al Uniunii Europene </w:t>
      </w:r>
      <w:r w:rsidR="0086669D" w:rsidRPr="00384D86">
        <w:rPr>
          <w:rFonts w:ascii="Times New Roman" w:eastAsia="Times New Roman" w:hAnsi="Times New Roman" w:cs="Times New Roman"/>
          <w:bCs/>
          <w:color w:val="000000" w:themeColor="text1"/>
          <w:sz w:val="24"/>
          <w:szCs w:val="24"/>
          <w:lang w:val="ro-RO" w:eastAsia="ru-RU"/>
        </w:rPr>
        <w:t>(J</w:t>
      </w:r>
      <w:r w:rsidR="0086669D" w:rsidRPr="00384D86">
        <w:rPr>
          <w:rFonts w:ascii="Times New Roman" w:hAnsi="Times New Roman" w:cs="Times New Roman"/>
          <w:bCs/>
          <w:color w:val="000000" w:themeColor="text1"/>
          <w:sz w:val="24"/>
          <w:szCs w:val="24"/>
          <w:lang w:val="ro-RO"/>
        </w:rPr>
        <w:t>.O.</w:t>
      </w:r>
      <w:r w:rsidR="0086669D" w:rsidRPr="00384D86">
        <w:rPr>
          <w:rFonts w:ascii="Times New Roman" w:eastAsia="Times New Roman" w:hAnsi="Times New Roman" w:cs="Times New Roman"/>
          <w:bCs/>
          <w:color w:val="000000" w:themeColor="text1"/>
          <w:sz w:val="24"/>
          <w:szCs w:val="24"/>
          <w:lang w:val="ro-RO" w:eastAsia="ru-RU"/>
        </w:rPr>
        <w:t xml:space="preserve"> </w:t>
      </w:r>
      <w:r w:rsidR="0086669D" w:rsidRPr="00384D86">
        <w:rPr>
          <w:rFonts w:ascii="Times New Roman" w:hAnsi="Times New Roman" w:cs="Times New Roman"/>
          <w:color w:val="000000" w:themeColor="text1"/>
          <w:sz w:val="24"/>
          <w:szCs w:val="24"/>
          <w:lang w:val="ro-RO"/>
        </w:rPr>
        <w:t xml:space="preserve">L 136, 25.5.2012, p.1) </w:t>
      </w:r>
      <w:r w:rsidR="0086669D" w:rsidRPr="00384D86">
        <w:rPr>
          <w:rFonts w:ascii="Times New Roman" w:eastAsia="Times New Roman" w:hAnsi="Times New Roman" w:cs="Times New Roman"/>
          <w:color w:val="000000" w:themeColor="text1"/>
          <w:sz w:val="24"/>
          <w:szCs w:val="24"/>
          <w:lang w:val="ro-RO" w:eastAsia="ru-RU"/>
        </w:rPr>
        <w:t xml:space="preserve">cu completările ulterioare </w:t>
      </w:r>
      <w:r w:rsidR="00D27372" w:rsidRPr="00384D86">
        <w:rPr>
          <w:rFonts w:ascii="Times New Roman" w:eastAsia="Calibri" w:hAnsi="Times New Roman" w:cs="Times New Roman"/>
          <w:color w:val="000000"/>
          <w:sz w:val="24"/>
          <w:szCs w:val="24"/>
          <w:lang w:val="ro-RO" w:eastAsia="ru-RU"/>
        </w:rPr>
        <w:t>și sporirii accesului la</w:t>
      </w:r>
      <w:r w:rsidRPr="00384D86">
        <w:rPr>
          <w:rFonts w:ascii="Times New Roman" w:eastAsia="Calibri" w:hAnsi="Times New Roman" w:cs="Times New Roman"/>
          <w:color w:val="000000"/>
          <w:sz w:val="24"/>
          <w:szCs w:val="24"/>
          <w:lang w:val="ro-RO" w:eastAsia="ru-RU"/>
        </w:rPr>
        <w:t xml:space="preserve"> </w:t>
      </w:r>
      <w:r w:rsidR="008970D5" w:rsidRPr="00384D86">
        <w:rPr>
          <w:rFonts w:ascii="Times New Roman" w:eastAsia="Calibri" w:hAnsi="Times New Roman" w:cs="Times New Roman"/>
          <w:color w:val="000000"/>
          <w:sz w:val="24"/>
          <w:szCs w:val="24"/>
          <w:lang w:val="ro-RO" w:eastAsia="ru-RU"/>
        </w:rPr>
        <w:t xml:space="preserve">informare și </w:t>
      </w:r>
      <w:r w:rsidRPr="00384D86">
        <w:rPr>
          <w:rFonts w:ascii="Times New Roman" w:eastAsia="Calibri" w:hAnsi="Times New Roman" w:cs="Times New Roman"/>
          <w:color w:val="000000"/>
          <w:sz w:val="24"/>
          <w:szCs w:val="24"/>
          <w:lang w:val="ro-RO" w:eastAsia="ru-RU"/>
        </w:rPr>
        <w:t>protecţie a sănătăţii populaţiei,</w:t>
      </w:r>
      <w:r w:rsidRPr="00384D86">
        <w:rPr>
          <w:rFonts w:ascii="Times New Roman" w:eastAsia="Calibri" w:hAnsi="Times New Roman" w:cs="Times New Roman"/>
          <w:b/>
          <w:sz w:val="24"/>
          <w:szCs w:val="24"/>
          <w:lang w:val="ro-RO" w:eastAsia="ru-RU"/>
        </w:rPr>
        <w:t xml:space="preserve"> </w:t>
      </w:r>
    </w:p>
    <w:p w:rsidR="00565E2F" w:rsidRPr="00384D86" w:rsidRDefault="00565E2F" w:rsidP="00384D86">
      <w:pPr>
        <w:spacing w:line="276" w:lineRule="auto"/>
        <w:ind w:firstLine="708"/>
        <w:jc w:val="center"/>
        <w:rPr>
          <w:rFonts w:ascii="Times New Roman" w:eastAsia="Calibri" w:hAnsi="Times New Roman" w:cs="Times New Roman"/>
          <w:sz w:val="24"/>
          <w:szCs w:val="24"/>
          <w:lang w:val="ro-RO" w:eastAsia="ru-RU"/>
        </w:rPr>
      </w:pPr>
      <w:r w:rsidRPr="00384D86">
        <w:rPr>
          <w:rFonts w:ascii="Times New Roman" w:eastAsia="Calibri" w:hAnsi="Times New Roman" w:cs="Times New Roman"/>
          <w:sz w:val="24"/>
          <w:szCs w:val="24"/>
          <w:lang w:val="ro-RO" w:eastAsia="ru-RU"/>
        </w:rPr>
        <w:t>Guvernul HOTĂRĂŞTE:</w:t>
      </w:r>
    </w:p>
    <w:p w:rsidR="001D1405" w:rsidRPr="00384D86" w:rsidRDefault="0086669D" w:rsidP="00384D86">
      <w:pPr>
        <w:pStyle w:val="a5"/>
        <w:numPr>
          <w:ilvl w:val="0"/>
          <w:numId w:val="4"/>
        </w:numPr>
        <w:shd w:val="clear" w:color="auto" w:fill="FFFFFF"/>
        <w:spacing w:before="240" w:after="120" w:line="276" w:lineRule="auto"/>
        <w:jc w:val="both"/>
        <w:textAlignment w:val="baseline"/>
        <w:rPr>
          <w:rFonts w:ascii="Times New Roman" w:eastAsia="Times New Roman" w:hAnsi="Times New Roman" w:cs="Times New Roman"/>
          <w:bCs/>
          <w:color w:val="000000" w:themeColor="text1"/>
          <w:sz w:val="24"/>
          <w:szCs w:val="24"/>
          <w:lang w:val="ro-RO" w:eastAsia="ru-RU"/>
        </w:rPr>
      </w:pPr>
      <w:r w:rsidRPr="00384D86">
        <w:rPr>
          <w:rFonts w:ascii="Times New Roman" w:eastAsia="Calibri" w:hAnsi="Times New Roman" w:cs="Times New Roman"/>
          <w:sz w:val="24"/>
          <w:szCs w:val="24"/>
          <w:lang w:val="ro-RO"/>
        </w:rPr>
        <w:t>Se</w:t>
      </w:r>
      <w:r w:rsidR="001D1405" w:rsidRPr="00384D86">
        <w:rPr>
          <w:rFonts w:ascii="Times New Roman" w:eastAsia="Calibri" w:hAnsi="Times New Roman" w:cs="Times New Roman"/>
          <w:sz w:val="24"/>
          <w:szCs w:val="24"/>
          <w:lang w:val="ro-RO"/>
        </w:rPr>
        <w:t xml:space="preserve"> aprob</w:t>
      </w:r>
      <w:r w:rsidRPr="00384D86">
        <w:rPr>
          <w:rFonts w:ascii="Times New Roman" w:eastAsia="Calibri" w:hAnsi="Times New Roman" w:cs="Times New Roman"/>
          <w:sz w:val="24"/>
          <w:szCs w:val="24"/>
          <w:lang w:val="ro-RO"/>
        </w:rPr>
        <w:t>ă</w:t>
      </w:r>
      <w:r w:rsidR="001D1405" w:rsidRPr="00384D86">
        <w:rPr>
          <w:rFonts w:ascii="Times New Roman" w:eastAsia="Calibri" w:hAnsi="Times New Roman" w:cs="Times New Roman"/>
          <w:sz w:val="24"/>
          <w:szCs w:val="24"/>
          <w:lang w:val="ro-RO"/>
        </w:rPr>
        <w:t xml:space="preserve"> </w:t>
      </w:r>
      <w:r w:rsidR="001D1405" w:rsidRPr="00384D86">
        <w:rPr>
          <w:rFonts w:ascii="Times New Roman" w:eastAsia="Calibri" w:hAnsi="Times New Roman" w:cs="Times New Roman"/>
          <w:color w:val="000000" w:themeColor="text1"/>
          <w:sz w:val="24"/>
          <w:szCs w:val="24"/>
          <w:lang w:val="ro-RO"/>
        </w:rPr>
        <w:t xml:space="preserve">Lista </w:t>
      </w:r>
      <w:r w:rsidR="001D1405" w:rsidRPr="00384D86">
        <w:rPr>
          <w:rFonts w:ascii="Times New Roman" w:eastAsia="Times New Roman" w:hAnsi="Times New Roman" w:cs="Times New Roman"/>
          <w:bCs/>
          <w:color w:val="000000" w:themeColor="text1"/>
          <w:sz w:val="24"/>
          <w:szCs w:val="24"/>
          <w:lang w:val="ro-RO" w:eastAsia="ru-RU"/>
        </w:rPr>
        <w:t>de mențiuni de sănătate permise, înscrise pe produsele alimentare, altele decât cele care se referă la reducerea riscului de îmbolnăvire și la dezvoltarea și sănătatea copiilor</w:t>
      </w:r>
      <w:r w:rsidR="00313751" w:rsidRPr="00384D86">
        <w:rPr>
          <w:rFonts w:ascii="Times New Roman" w:eastAsia="Times New Roman" w:hAnsi="Times New Roman" w:cs="Times New Roman"/>
          <w:bCs/>
          <w:color w:val="000000" w:themeColor="text1"/>
          <w:sz w:val="24"/>
          <w:szCs w:val="24"/>
          <w:lang w:val="ro-RO" w:eastAsia="ru-RU"/>
        </w:rPr>
        <w:t>,</w:t>
      </w:r>
      <w:r w:rsidR="001D1405" w:rsidRPr="00384D86">
        <w:rPr>
          <w:rFonts w:ascii="Times New Roman" w:eastAsia="Times New Roman" w:hAnsi="Times New Roman" w:cs="Times New Roman"/>
          <w:bCs/>
          <w:color w:val="000000" w:themeColor="text1"/>
          <w:sz w:val="24"/>
          <w:szCs w:val="24"/>
          <w:lang w:val="ro-RO" w:eastAsia="ru-RU"/>
        </w:rPr>
        <w:t xml:space="preserve"> conform anexei.</w:t>
      </w:r>
    </w:p>
    <w:p w:rsidR="001D1405" w:rsidRPr="00384D86" w:rsidRDefault="00D27372" w:rsidP="00384D86">
      <w:pPr>
        <w:pStyle w:val="a5"/>
        <w:numPr>
          <w:ilvl w:val="0"/>
          <w:numId w:val="4"/>
        </w:numPr>
        <w:shd w:val="clear" w:color="auto" w:fill="FFFFFF"/>
        <w:spacing w:before="240" w:after="120" w:line="276" w:lineRule="auto"/>
        <w:jc w:val="both"/>
        <w:textAlignment w:val="baseline"/>
        <w:rPr>
          <w:rFonts w:ascii="Times New Roman" w:eastAsia="Times New Roman" w:hAnsi="Times New Roman" w:cs="Times New Roman"/>
          <w:b/>
          <w:bCs/>
          <w:color w:val="444444"/>
          <w:sz w:val="24"/>
          <w:szCs w:val="24"/>
          <w:lang w:val="ro-RO" w:eastAsia="ru-RU"/>
        </w:rPr>
      </w:pPr>
      <w:r w:rsidRPr="00384D86">
        <w:rPr>
          <w:rFonts w:ascii="Times New Roman" w:eastAsia="Times New Roman" w:hAnsi="Times New Roman" w:cs="Times New Roman"/>
          <w:bCs/>
          <w:color w:val="000000" w:themeColor="text1"/>
          <w:sz w:val="24"/>
          <w:szCs w:val="24"/>
          <w:lang w:val="ro-RO" w:eastAsia="ru-RU"/>
        </w:rPr>
        <w:t xml:space="preserve">Prezenta hotărîre intră în vigoare la 3 luni din data publicării în </w:t>
      </w:r>
      <w:r w:rsidRPr="00384D86">
        <w:rPr>
          <w:rFonts w:ascii="Times New Roman" w:eastAsia="Calibri" w:hAnsi="Times New Roman" w:cs="Times New Roman"/>
          <w:color w:val="000000" w:themeColor="text1"/>
          <w:sz w:val="24"/>
          <w:szCs w:val="24"/>
          <w:lang w:val="ro-RO" w:eastAsia="ru-RU"/>
        </w:rPr>
        <w:t xml:space="preserve">Monitorul </w:t>
      </w:r>
      <w:r w:rsidRPr="00384D86">
        <w:rPr>
          <w:rFonts w:ascii="Times New Roman" w:eastAsia="Calibri" w:hAnsi="Times New Roman" w:cs="Times New Roman"/>
          <w:color w:val="000000"/>
          <w:sz w:val="24"/>
          <w:szCs w:val="24"/>
          <w:lang w:val="ro-RO" w:eastAsia="ru-RU"/>
        </w:rPr>
        <w:t>Oficial al Republicii Moldova.</w:t>
      </w:r>
    </w:p>
    <w:p w:rsidR="000538DE" w:rsidRPr="00384D86" w:rsidRDefault="000538DE" w:rsidP="00384D86">
      <w:pPr>
        <w:spacing w:after="0" w:line="276" w:lineRule="auto"/>
        <w:jc w:val="both"/>
        <w:rPr>
          <w:rFonts w:ascii="Times New Roman" w:eastAsia="Calibri" w:hAnsi="Times New Roman" w:cs="Times New Roman"/>
          <w:sz w:val="24"/>
          <w:szCs w:val="24"/>
          <w:lang w:val="ro-RO"/>
        </w:rPr>
      </w:pPr>
    </w:p>
    <w:p w:rsidR="000538DE" w:rsidRPr="00384D86" w:rsidRDefault="000538DE" w:rsidP="00384D86">
      <w:pPr>
        <w:spacing w:after="0" w:line="276" w:lineRule="auto"/>
        <w:jc w:val="both"/>
        <w:rPr>
          <w:rFonts w:ascii="Times New Roman" w:eastAsia="Calibri" w:hAnsi="Times New Roman" w:cs="Times New Roman"/>
          <w:b/>
          <w:sz w:val="24"/>
          <w:szCs w:val="24"/>
          <w:lang w:val="ro-RO" w:eastAsia="ru-RU"/>
        </w:rPr>
      </w:pPr>
      <w:r w:rsidRPr="00384D86">
        <w:rPr>
          <w:rFonts w:ascii="Times New Roman" w:eastAsia="Calibri" w:hAnsi="Times New Roman" w:cs="Times New Roman"/>
          <w:sz w:val="24"/>
          <w:szCs w:val="24"/>
          <w:lang w:val="ro-RO"/>
        </w:rPr>
        <w:t xml:space="preserve"> </w:t>
      </w:r>
      <w:r w:rsidR="00384D86">
        <w:rPr>
          <w:rFonts w:ascii="Times New Roman" w:eastAsia="Calibri" w:hAnsi="Times New Roman" w:cs="Times New Roman"/>
          <w:sz w:val="24"/>
          <w:szCs w:val="24"/>
          <w:lang w:val="ro-RO"/>
        </w:rPr>
        <w:t xml:space="preserve">           </w:t>
      </w:r>
      <w:r w:rsidRPr="00384D86">
        <w:rPr>
          <w:rFonts w:ascii="Times New Roman" w:eastAsia="Calibri" w:hAnsi="Times New Roman" w:cs="Times New Roman"/>
          <w:b/>
          <w:sz w:val="24"/>
          <w:szCs w:val="24"/>
          <w:lang w:val="ro-RO" w:eastAsia="ru-RU"/>
        </w:rPr>
        <w:t xml:space="preserve">Prim-ministru </w:t>
      </w:r>
      <w:r w:rsidRPr="00384D86">
        <w:rPr>
          <w:rFonts w:ascii="Times New Roman" w:eastAsia="Calibri" w:hAnsi="Times New Roman" w:cs="Times New Roman"/>
          <w:b/>
          <w:sz w:val="24"/>
          <w:szCs w:val="24"/>
          <w:lang w:val="ro-RO" w:eastAsia="ru-RU"/>
        </w:rPr>
        <w:tab/>
      </w:r>
      <w:r w:rsidRPr="00384D86">
        <w:rPr>
          <w:rFonts w:ascii="Times New Roman" w:eastAsia="Calibri" w:hAnsi="Times New Roman" w:cs="Times New Roman"/>
          <w:b/>
          <w:sz w:val="24"/>
          <w:szCs w:val="24"/>
          <w:lang w:val="ro-RO" w:eastAsia="ru-RU"/>
        </w:rPr>
        <w:tab/>
      </w:r>
      <w:r w:rsidRPr="00384D86">
        <w:rPr>
          <w:rFonts w:ascii="Times New Roman" w:eastAsia="Calibri" w:hAnsi="Times New Roman" w:cs="Times New Roman"/>
          <w:b/>
          <w:sz w:val="24"/>
          <w:szCs w:val="24"/>
          <w:lang w:val="ro-RO" w:eastAsia="ru-RU"/>
        </w:rPr>
        <w:tab/>
      </w:r>
      <w:r w:rsidRPr="00384D86">
        <w:rPr>
          <w:rFonts w:ascii="Times New Roman" w:eastAsia="Calibri" w:hAnsi="Times New Roman" w:cs="Times New Roman"/>
          <w:b/>
          <w:sz w:val="24"/>
          <w:szCs w:val="24"/>
          <w:lang w:val="ro-RO" w:eastAsia="ru-RU"/>
        </w:rPr>
        <w:tab/>
      </w:r>
      <w:r w:rsidRPr="00384D86">
        <w:rPr>
          <w:rFonts w:ascii="Times New Roman" w:eastAsia="Calibri" w:hAnsi="Times New Roman" w:cs="Times New Roman"/>
          <w:b/>
          <w:sz w:val="24"/>
          <w:szCs w:val="24"/>
          <w:lang w:val="ro-RO" w:eastAsia="ru-RU"/>
        </w:rPr>
        <w:tab/>
      </w:r>
      <w:r w:rsidRPr="00384D86">
        <w:rPr>
          <w:rFonts w:ascii="Times New Roman" w:eastAsia="Calibri" w:hAnsi="Times New Roman" w:cs="Times New Roman"/>
          <w:b/>
          <w:sz w:val="24"/>
          <w:szCs w:val="24"/>
          <w:lang w:val="ro-RO" w:eastAsia="ru-RU"/>
        </w:rPr>
        <w:tab/>
        <w:t>PAVEL FILIP</w:t>
      </w:r>
    </w:p>
    <w:p w:rsidR="000538DE" w:rsidRPr="00384D86" w:rsidRDefault="000538DE" w:rsidP="00384D86">
      <w:pPr>
        <w:spacing w:line="276" w:lineRule="auto"/>
        <w:ind w:firstLine="709"/>
        <w:rPr>
          <w:rFonts w:ascii="Times New Roman" w:eastAsia="Calibri" w:hAnsi="Times New Roman" w:cs="Times New Roman"/>
          <w:b/>
          <w:sz w:val="24"/>
          <w:szCs w:val="24"/>
          <w:lang w:val="ro-RO" w:eastAsia="ru-RU"/>
        </w:rPr>
      </w:pPr>
    </w:p>
    <w:p w:rsidR="000538DE" w:rsidRPr="00384D86" w:rsidRDefault="000538DE" w:rsidP="00384D86">
      <w:pPr>
        <w:spacing w:line="276" w:lineRule="auto"/>
        <w:ind w:firstLine="709"/>
        <w:rPr>
          <w:rFonts w:ascii="Times New Roman" w:eastAsia="Calibri" w:hAnsi="Times New Roman" w:cs="Times New Roman"/>
          <w:sz w:val="24"/>
          <w:szCs w:val="24"/>
          <w:lang w:val="ro-RO" w:eastAsia="ru-RU"/>
        </w:rPr>
      </w:pPr>
      <w:r w:rsidRPr="00384D86">
        <w:rPr>
          <w:rFonts w:ascii="Times New Roman" w:eastAsia="Calibri" w:hAnsi="Times New Roman" w:cs="Times New Roman"/>
          <w:sz w:val="24"/>
          <w:szCs w:val="24"/>
          <w:lang w:val="ro-RO" w:eastAsia="ru-RU"/>
        </w:rPr>
        <w:t>Contrasemnează:</w:t>
      </w:r>
    </w:p>
    <w:p w:rsidR="000538DE" w:rsidRPr="00384D86" w:rsidRDefault="000538DE" w:rsidP="00384D86">
      <w:pPr>
        <w:spacing w:line="276" w:lineRule="auto"/>
        <w:ind w:firstLine="709"/>
        <w:rPr>
          <w:rFonts w:ascii="Times New Roman" w:eastAsia="Calibri" w:hAnsi="Times New Roman" w:cs="Times New Roman"/>
          <w:color w:val="000000"/>
          <w:sz w:val="24"/>
          <w:szCs w:val="24"/>
          <w:lang w:val="ro-RO" w:eastAsia="ru-RU"/>
        </w:rPr>
      </w:pPr>
      <w:r w:rsidRPr="00384D86">
        <w:rPr>
          <w:rFonts w:ascii="Times New Roman" w:eastAsia="Calibri" w:hAnsi="Times New Roman" w:cs="Times New Roman"/>
          <w:color w:val="000000"/>
          <w:sz w:val="24"/>
          <w:szCs w:val="24"/>
          <w:lang w:val="ro-RO" w:eastAsia="ru-RU"/>
        </w:rPr>
        <w:t xml:space="preserve">Ministrul sănătăţii </w:t>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t>Ruxanda  G</w:t>
      </w:r>
      <w:r w:rsidR="00384D86">
        <w:rPr>
          <w:rFonts w:ascii="Times New Roman" w:eastAsia="Calibri" w:hAnsi="Times New Roman" w:cs="Times New Roman"/>
          <w:color w:val="000000"/>
          <w:sz w:val="24"/>
          <w:szCs w:val="24"/>
          <w:lang w:val="ro-RO" w:eastAsia="ru-RU"/>
        </w:rPr>
        <w:t>LAVAN</w:t>
      </w:r>
      <w:r w:rsidRPr="00384D86">
        <w:rPr>
          <w:rFonts w:ascii="Times New Roman" w:eastAsia="Calibri" w:hAnsi="Times New Roman" w:cs="Times New Roman"/>
          <w:color w:val="000000"/>
          <w:sz w:val="24"/>
          <w:szCs w:val="24"/>
          <w:lang w:val="ro-RO" w:eastAsia="ru-RU"/>
        </w:rPr>
        <w:t xml:space="preserve"> </w:t>
      </w:r>
    </w:p>
    <w:p w:rsidR="001D1405" w:rsidRPr="00384D86" w:rsidRDefault="001D1405" w:rsidP="00384D86">
      <w:pPr>
        <w:spacing w:line="276" w:lineRule="auto"/>
        <w:ind w:firstLine="709"/>
        <w:rPr>
          <w:rFonts w:ascii="Times New Roman" w:eastAsia="Calibri" w:hAnsi="Times New Roman" w:cs="Times New Roman"/>
          <w:sz w:val="24"/>
          <w:szCs w:val="24"/>
          <w:lang w:val="ro-RO"/>
        </w:rPr>
      </w:pPr>
      <w:r w:rsidRPr="00384D86">
        <w:rPr>
          <w:rFonts w:ascii="Times New Roman" w:eastAsia="Calibri" w:hAnsi="Times New Roman" w:cs="Times New Roman"/>
          <w:color w:val="000000"/>
          <w:sz w:val="24"/>
          <w:szCs w:val="24"/>
          <w:lang w:val="ro-RO" w:eastAsia="ru-RU"/>
        </w:rPr>
        <w:t xml:space="preserve">Ministrul econimiei </w:t>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00384D86">
        <w:rPr>
          <w:rFonts w:ascii="Times New Roman" w:eastAsia="Calibri" w:hAnsi="Times New Roman" w:cs="Times New Roman"/>
          <w:color w:val="000000"/>
          <w:sz w:val="24"/>
          <w:szCs w:val="24"/>
          <w:lang w:val="ro-RO" w:eastAsia="ru-RU"/>
        </w:rPr>
        <w:t xml:space="preserve">            Octavian CALMÎC</w:t>
      </w:r>
      <w:bookmarkStart w:id="0" w:name="_GoBack"/>
      <w:bookmarkEnd w:id="0"/>
    </w:p>
    <w:p w:rsidR="000538DE" w:rsidRPr="00384D86" w:rsidRDefault="000538DE" w:rsidP="00384D86">
      <w:pPr>
        <w:spacing w:after="0" w:line="276" w:lineRule="auto"/>
        <w:ind w:firstLine="709"/>
        <w:rPr>
          <w:rFonts w:ascii="Times New Roman" w:eastAsia="Calibri" w:hAnsi="Times New Roman" w:cs="Times New Roman"/>
          <w:color w:val="000000"/>
          <w:sz w:val="24"/>
          <w:szCs w:val="24"/>
          <w:lang w:val="ro-RO" w:eastAsia="ru-RU"/>
        </w:rPr>
      </w:pPr>
      <w:r w:rsidRPr="00384D86">
        <w:rPr>
          <w:rFonts w:ascii="Times New Roman" w:eastAsia="Calibri" w:hAnsi="Times New Roman" w:cs="Times New Roman"/>
          <w:color w:val="000000"/>
          <w:sz w:val="24"/>
          <w:szCs w:val="24"/>
          <w:lang w:val="ro-RO" w:eastAsia="ru-RU"/>
        </w:rPr>
        <w:t xml:space="preserve">Ministrul agriculturii </w:t>
      </w:r>
    </w:p>
    <w:p w:rsidR="000538DE" w:rsidRPr="00384D86" w:rsidRDefault="008A7EEF" w:rsidP="00384D86">
      <w:pPr>
        <w:spacing w:after="0" w:line="276" w:lineRule="auto"/>
        <w:ind w:firstLine="709"/>
        <w:rPr>
          <w:rFonts w:ascii="Times New Roman" w:eastAsia="Times New Roman" w:hAnsi="Times New Roman" w:cs="Times New Roman"/>
          <w:b/>
          <w:bCs/>
          <w:color w:val="444444"/>
          <w:sz w:val="24"/>
          <w:szCs w:val="24"/>
          <w:lang w:val="ro-RO" w:eastAsia="ru-RU"/>
        </w:rPr>
      </w:pPr>
      <w:r w:rsidRPr="00384D86">
        <w:rPr>
          <w:rFonts w:ascii="Times New Roman" w:eastAsia="Calibri" w:hAnsi="Times New Roman" w:cs="Times New Roman"/>
          <w:color w:val="000000"/>
          <w:sz w:val="24"/>
          <w:szCs w:val="24"/>
          <w:lang w:val="ro-RO" w:eastAsia="ru-RU"/>
        </w:rPr>
        <w:t xml:space="preserve">şi industriei alimentare </w:t>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Pr="00384D86">
        <w:rPr>
          <w:rFonts w:ascii="Times New Roman" w:eastAsia="Calibri" w:hAnsi="Times New Roman" w:cs="Times New Roman"/>
          <w:color w:val="000000"/>
          <w:sz w:val="24"/>
          <w:szCs w:val="24"/>
          <w:lang w:val="ro-RO" w:eastAsia="ru-RU"/>
        </w:rPr>
        <w:tab/>
      </w:r>
      <w:r w:rsidR="000538DE" w:rsidRPr="00384D86">
        <w:rPr>
          <w:rFonts w:ascii="Times New Roman" w:eastAsia="Times New Roman" w:hAnsi="Times New Roman" w:cs="Times New Roman"/>
          <w:b/>
          <w:bCs/>
          <w:color w:val="444444"/>
          <w:sz w:val="24"/>
          <w:szCs w:val="24"/>
          <w:lang w:val="ro-RO" w:eastAsia="ru-RU"/>
        </w:rPr>
        <w:br w:type="page"/>
      </w:r>
    </w:p>
    <w:p w:rsidR="00565E2F" w:rsidRPr="00384D86" w:rsidRDefault="001D1405" w:rsidP="00384D86">
      <w:pPr>
        <w:shd w:val="clear" w:color="auto" w:fill="FFFFFF"/>
        <w:spacing w:after="0" w:line="276" w:lineRule="auto"/>
        <w:jc w:val="right"/>
        <w:textAlignment w:val="baseline"/>
        <w:rPr>
          <w:rFonts w:ascii="Times New Roman" w:eastAsia="Times New Roman" w:hAnsi="Times New Roman" w:cs="Times New Roman"/>
          <w:bCs/>
          <w:color w:val="444444"/>
          <w:sz w:val="24"/>
          <w:szCs w:val="24"/>
          <w:lang w:val="ro-RO" w:eastAsia="ru-RU"/>
        </w:rPr>
      </w:pPr>
      <w:r w:rsidRPr="00384D86">
        <w:rPr>
          <w:rFonts w:ascii="Times New Roman" w:eastAsia="Times New Roman" w:hAnsi="Times New Roman" w:cs="Times New Roman"/>
          <w:bCs/>
          <w:color w:val="444444"/>
          <w:sz w:val="24"/>
          <w:szCs w:val="24"/>
          <w:lang w:val="ro-RO" w:eastAsia="ru-RU"/>
        </w:rPr>
        <w:lastRenderedPageBreak/>
        <w:t xml:space="preserve">Anexă </w:t>
      </w:r>
    </w:p>
    <w:p w:rsidR="00565E2F" w:rsidRPr="00384D86" w:rsidRDefault="001D1405" w:rsidP="00384D86">
      <w:pPr>
        <w:shd w:val="clear" w:color="auto" w:fill="FFFFFF"/>
        <w:spacing w:after="0" w:line="276" w:lineRule="auto"/>
        <w:jc w:val="right"/>
        <w:textAlignment w:val="baseline"/>
        <w:rPr>
          <w:rFonts w:ascii="Times New Roman" w:eastAsia="Times New Roman" w:hAnsi="Times New Roman" w:cs="Times New Roman"/>
          <w:bCs/>
          <w:color w:val="444444"/>
          <w:sz w:val="24"/>
          <w:szCs w:val="24"/>
          <w:lang w:val="ro-RO" w:eastAsia="ru-RU"/>
        </w:rPr>
      </w:pPr>
      <w:r w:rsidRPr="00384D86">
        <w:rPr>
          <w:rFonts w:ascii="Times New Roman" w:eastAsia="Times New Roman" w:hAnsi="Times New Roman" w:cs="Times New Roman"/>
          <w:bCs/>
          <w:color w:val="444444"/>
          <w:sz w:val="24"/>
          <w:szCs w:val="24"/>
          <w:lang w:val="ro-RO" w:eastAsia="ru-RU"/>
        </w:rPr>
        <w:t>la H</w:t>
      </w:r>
      <w:r w:rsidR="00565E2F" w:rsidRPr="00384D86">
        <w:rPr>
          <w:rFonts w:ascii="Times New Roman" w:eastAsia="Times New Roman" w:hAnsi="Times New Roman" w:cs="Times New Roman"/>
          <w:bCs/>
          <w:color w:val="444444"/>
          <w:sz w:val="24"/>
          <w:szCs w:val="24"/>
          <w:lang w:val="ro-RO" w:eastAsia="ru-RU"/>
        </w:rPr>
        <w:t xml:space="preserve">otărîrea </w:t>
      </w:r>
      <w:r w:rsidRPr="00384D86">
        <w:rPr>
          <w:rFonts w:ascii="Times New Roman" w:eastAsia="Times New Roman" w:hAnsi="Times New Roman" w:cs="Times New Roman"/>
          <w:bCs/>
          <w:color w:val="444444"/>
          <w:sz w:val="24"/>
          <w:szCs w:val="24"/>
          <w:lang w:val="ro-RO" w:eastAsia="ru-RU"/>
        </w:rPr>
        <w:t>G</w:t>
      </w:r>
      <w:r w:rsidR="00565E2F" w:rsidRPr="00384D86">
        <w:rPr>
          <w:rFonts w:ascii="Times New Roman" w:eastAsia="Times New Roman" w:hAnsi="Times New Roman" w:cs="Times New Roman"/>
          <w:bCs/>
          <w:color w:val="444444"/>
          <w:sz w:val="24"/>
          <w:szCs w:val="24"/>
          <w:lang w:val="ro-RO" w:eastAsia="ru-RU"/>
        </w:rPr>
        <w:t>uvernului</w:t>
      </w:r>
      <w:r w:rsidRPr="00384D86">
        <w:rPr>
          <w:rFonts w:ascii="Times New Roman" w:eastAsia="Times New Roman" w:hAnsi="Times New Roman" w:cs="Times New Roman"/>
          <w:bCs/>
          <w:color w:val="444444"/>
          <w:sz w:val="24"/>
          <w:szCs w:val="24"/>
          <w:lang w:val="ro-RO" w:eastAsia="ru-RU"/>
        </w:rPr>
        <w:t xml:space="preserve"> nr. _______ </w:t>
      </w:r>
    </w:p>
    <w:p w:rsidR="000538DE" w:rsidRPr="00384D86" w:rsidRDefault="001D1405" w:rsidP="00384D86">
      <w:pPr>
        <w:shd w:val="clear" w:color="auto" w:fill="FFFFFF"/>
        <w:spacing w:after="0" w:line="276" w:lineRule="auto"/>
        <w:jc w:val="right"/>
        <w:textAlignment w:val="baseline"/>
        <w:rPr>
          <w:rFonts w:ascii="Times New Roman" w:eastAsia="Times New Roman" w:hAnsi="Times New Roman" w:cs="Times New Roman"/>
          <w:bCs/>
          <w:color w:val="444444"/>
          <w:sz w:val="24"/>
          <w:szCs w:val="24"/>
          <w:lang w:val="ro-RO" w:eastAsia="ru-RU"/>
        </w:rPr>
      </w:pPr>
      <w:r w:rsidRPr="00384D86">
        <w:rPr>
          <w:rFonts w:ascii="Times New Roman" w:eastAsia="Times New Roman" w:hAnsi="Times New Roman" w:cs="Times New Roman"/>
          <w:bCs/>
          <w:color w:val="444444"/>
          <w:sz w:val="24"/>
          <w:szCs w:val="24"/>
          <w:lang w:val="ro-RO" w:eastAsia="ru-RU"/>
        </w:rPr>
        <w:t>din __________2017</w:t>
      </w:r>
    </w:p>
    <w:p w:rsidR="00565E2F" w:rsidRPr="00384D86" w:rsidRDefault="001D1405" w:rsidP="00384D86">
      <w:pPr>
        <w:shd w:val="clear" w:color="auto" w:fill="FFFFFF"/>
        <w:spacing w:before="240" w:after="120" w:line="276" w:lineRule="auto"/>
        <w:jc w:val="center"/>
        <w:textAlignment w:val="baseline"/>
        <w:rPr>
          <w:rFonts w:ascii="Times New Roman" w:eastAsia="Times New Roman" w:hAnsi="Times New Roman" w:cs="Times New Roman"/>
          <w:b/>
          <w:bCs/>
          <w:color w:val="444444"/>
          <w:sz w:val="24"/>
          <w:szCs w:val="24"/>
          <w:lang w:val="ro-RO" w:eastAsia="ru-RU"/>
        </w:rPr>
      </w:pPr>
      <w:r w:rsidRPr="00384D86">
        <w:rPr>
          <w:rFonts w:ascii="Times New Roman" w:eastAsia="Times New Roman" w:hAnsi="Times New Roman" w:cs="Times New Roman"/>
          <w:b/>
          <w:bCs/>
          <w:color w:val="444444"/>
          <w:sz w:val="24"/>
          <w:szCs w:val="24"/>
          <w:lang w:val="ro-RO" w:eastAsia="ru-RU"/>
        </w:rPr>
        <w:t>L</w:t>
      </w:r>
      <w:r w:rsidR="000D6713" w:rsidRPr="00384D86">
        <w:rPr>
          <w:rFonts w:ascii="Times New Roman" w:eastAsia="Times New Roman" w:hAnsi="Times New Roman" w:cs="Times New Roman"/>
          <w:b/>
          <w:bCs/>
          <w:color w:val="444444"/>
          <w:sz w:val="24"/>
          <w:szCs w:val="24"/>
          <w:lang w:val="ro-RO" w:eastAsia="ru-RU"/>
        </w:rPr>
        <w:t>ist</w:t>
      </w:r>
      <w:r w:rsidRPr="00384D86">
        <w:rPr>
          <w:rFonts w:ascii="Times New Roman" w:eastAsia="Times New Roman" w:hAnsi="Times New Roman" w:cs="Times New Roman"/>
          <w:b/>
          <w:bCs/>
          <w:color w:val="444444"/>
          <w:sz w:val="24"/>
          <w:szCs w:val="24"/>
          <w:lang w:val="ro-RO" w:eastAsia="ru-RU"/>
        </w:rPr>
        <w:t>a</w:t>
      </w:r>
      <w:r w:rsidR="000D6713" w:rsidRPr="00384D86">
        <w:rPr>
          <w:rFonts w:ascii="Times New Roman" w:eastAsia="Times New Roman" w:hAnsi="Times New Roman" w:cs="Times New Roman"/>
          <w:b/>
          <w:bCs/>
          <w:color w:val="444444"/>
          <w:sz w:val="24"/>
          <w:szCs w:val="24"/>
          <w:lang w:val="ro-RO" w:eastAsia="ru-RU"/>
        </w:rPr>
        <w:t xml:space="preserve"> de mențiuni de sănătate permise, </w:t>
      </w:r>
    </w:p>
    <w:p w:rsidR="000D6713" w:rsidRPr="00384D86" w:rsidRDefault="000D6713" w:rsidP="00384D86">
      <w:pPr>
        <w:shd w:val="clear" w:color="auto" w:fill="FFFFFF"/>
        <w:spacing w:before="240" w:after="120" w:line="276" w:lineRule="auto"/>
        <w:jc w:val="center"/>
        <w:textAlignment w:val="baseline"/>
        <w:rPr>
          <w:rFonts w:ascii="Times New Roman" w:eastAsia="Times New Roman" w:hAnsi="Times New Roman" w:cs="Times New Roman"/>
          <w:b/>
          <w:bCs/>
          <w:color w:val="444444"/>
          <w:sz w:val="24"/>
          <w:szCs w:val="24"/>
          <w:lang w:val="ro-RO" w:eastAsia="ru-RU"/>
        </w:rPr>
      </w:pPr>
      <w:r w:rsidRPr="00384D86">
        <w:rPr>
          <w:rFonts w:ascii="Times New Roman" w:eastAsia="Times New Roman" w:hAnsi="Times New Roman" w:cs="Times New Roman"/>
          <w:b/>
          <w:bCs/>
          <w:color w:val="444444"/>
          <w:sz w:val="24"/>
          <w:szCs w:val="24"/>
          <w:lang w:val="ro-RO" w:eastAsia="ru-RU"/>
        </w:rPr>
        <w:t>înscrise pe produsele alimentare, altele decât cele care se referă la reducerea riscului de îmbolnăvire și la de</w:t>
      </w:r>
      <w:r w:rsidR="00F27EE7" w:rsidRPr="00384D86">
        <w:rPr>
          <w:rFonts w:ascii="Times New Roman" w:eastAsia="Times New Roman" w:hAnsi="Times New Roman" w:cs="Times New Roman"/>
          <w:b/>
          <w:bCs/>
          <w:color w:val="444444"/>
          <w:sz w:val="24"/>
          <w:szCs w:val="24"/>
          <w:lang w:val="ro-RO" w:eastAsia="ru-RU"/>
        </w:rPr>
        <w:t>zvoltarea și sănătatea copiilor</w:t>
      </w:r>
    </w:p>
    <w:tbl>
      <w:tblPr>
        <w:tblW w:w="5230" w:type="pct"/>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8"/>
        <w:gridCol w:w="1289"/>
        <w:gridCol w:w="1861"/>
        <w:gridCol w:w="4441"/>
        <w:gridCol w:w="1859"/>
      </w:tblGrid>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627A3C" w:rsidP="00384D86">
            <w:pPr>
              <w:spacing w:before="60" w:after="60" w:line="276"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Nr.d/o</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Nutrient, substanță, produs alimentar sau categorie de produse alimentare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Mențiune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Condiții de utilizare a mențiunii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Condiții și/sau restricții de utilizare a produsului alimentar și/sau indicații sau avertizări suplimentare</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Cărbune activ</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Cărbunele activ contribuie la reducerea flatulenței după consumul de alimente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g de cărbune activ la o porție cuantificată. Pentru a putea fi înscrisă, mențiunea trebuie însoțită de o informare a consumatorului cu privire la faptul că efectul benefic se obține în condițiile consumului unei cantități de 1 g, cel puțin cu 30 de minute înainte de masă și de 1 g imediat după masă.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alfa-linolenic</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(AAL)</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AAL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017D21"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AAL, astfel cum apare în mențiunea SURSĂ DE ACIZI GRAȘI OMEGA 3,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Consumatorul trebuie informat cu privire la faptul că efectul benefic se obține în condițiile unui consum zilnic de 2 g de AAL.</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Arabinoxilan produs din endospermul bobului de grâu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Consumul de arabinoxilan în timpul unei mese contribuie la o diminuare a creșterii nivelului de glucoză în </w:t>
            </w:r>
            <w:r w:rsidRPr="00384D86">
              <w:rPr>
                <w:rFonts w:ascii="Times New Roman" w:eastAsia="Times New Roman" w:hAnsi="Times New Roman" w:cs="Times New Roman"/>
                <w:sz w:val="24"/>
                <w:szCs w:val="24"/>
                <w:lang w:val="ro-RO" w:eastAsia="ru-RU"/>
              </w:rPr>
              <w:lastRenderedPageBreak/>
              <w:t>sânge după masa respectivă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conțin cel puțin 8 g de fibre bogate în arabinoxilan (AX) produse din endospermul bobului de grâu (cel puțin 60 % AX per greutate) la 100 g de carbohidrați disponibili la o porție cuantificată ca parte a unei mese. Pentru a </w:t>
            </w:r>
            <w:r w:rsidRPr="00384D86">
              <w:rPr>
                <w:rFonts w:ascii="Times New Roman" w:eastAsia="Times New Roman" w:hAnsi="Times New Roman" w:cs="Times New Roman"/>
                <w:sz w:val="24"/>
                <w:szCs w:val="24"/>
                <w:lang w:val="ro-RO" w:eastAsia="ru-RU"/>
              </w:rPr>
              <w:lastRenderedPageBreak/>
              <w:t>putea fi înscrisă, mențiunea trebuie însoțită de o informare a consumatorului cu privire la faptul că efectul benefic se obține în condițiile consumului, în timpul mesei, de fibre bogate în arabinoxilan (AX) produse din endospermul bobului de grâu.</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boabe de orz</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boabele de orz contribuie la creșterea volumului bolului fecal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Beta-glucani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Beta-glucanii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1 g de beta-glucani din ovăz, tărâțe de ovăz, orz, tărâțe de orz sau din amestecuri de astfel de surse la o porție cuantificată. Pentru a putea fi înscrisă, mențiunea trebuie să fie însoțită de o informare a consumatorului cu privire la faptul că efectul benefic se obține în condițiile unui consum zilnic de 3 g de beta-glucani din ovăz, tărâțe de ovăz, orz, tărâțe de orz sau din amestecuri de astfel de beta-glucani.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Beta-glucani din ovăz și orz</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beta-glucani din ovăz sau orz la o masă contribuie la o diminuare a creșterii nivelului de glucoză în sânge după masa respectivă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 g de beta-glucani din ovăz sau orz la fiecare 30 g de carbohidrați disponibili într-o porție cuantificată, la o masă. Pentru a putea fi înscrisă, mențiunea trebuie însoțită de o informare a consumatorului cu privire la faptul că efectul benefic se obține în condițiile consumului de beta-glucani din ovăz sau orz în timpul mesei.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Betaina contribuie la metabolismul normal al homocisteinei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500 mg de betaină la o porție cuantificată. Pentru a putea fi înscrisă, mențiunea trebuie însoțită de o informare a consumatorului cu privire la faptul că efectul benefic se obține în condițiile unui consum zilnic de 1,5 g de betaină.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Pentru a putea fi înscrisă, mențiunea trebuie însoțită de o informare a consumatorului cu privire la faptul că un consum zilnic care depășește 4 g </w:t>
            </w:r>
            <w:r w:rsidRPr="00384D86">
              <w:rPr>
                <w:rFonts w:ascii="Times New Roman" w:eastAsia="Times New Roman" w:hAnsi="Times New Roman" w:cs="Times New Roman"/>
                <w:sz w:val="24"/>
                <w:szCs w:val="24"/>
                <w:lang w:val="ro-RO" w:eastAsia="ru-RU"/>
              </w:rPr>
              <w:lastRenderedPageBreak/>
              <w:t>poate determina o creștere semnificativă a nivelului de colesterol în sânge.</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metabolismul normal al macronutrienților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părului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membranelor mucoase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coagularea normală a sângelui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w:t>
            </w:r>
            <w:r w:rsidRPr="00384D86">
              <w:rPr>
                <w:rFonts w:ascii="Times New Roman" w:eastAsia="Times New Roman" w:hAnsi="Times New Roman" w:cs="Times New Roman"/>
                <w:sz w:val="24"/>
                <w:szCs w:val="24"/>
                <w:lang w:val="ro-RO" w:eastAsia="ru-RU"/>
              </w:rPr>
              <w:lastRenderedPageBreak/>
              <w:t xml:space="preserve">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funcționarea normală a sistemului muscular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o neurotransmisie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funcționarea normală a enzimelor digestive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w:t>
            </w:r>
            <w:r w:rsidR="00017D21" w:rsidRPr="00384D86">
              <w:rPr>
                <w:rFonts w:ascii="Times New Roman" w:eastAsia="Times New Roman" w:hAnsi="Times New Roman" w:cs="Times New Roman"/>
                <w:sz w:val="24"/>
                <w:szCs w:val="24"/>
                <w:lang w:val="ro-RO" w:eastAsia="ru-RU"/>
              </w:rPr>
              <w:lastRenderedPageBreak/>
              <w:t>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procesul de diviziune și de diferențiere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este necesar pentru menținerea sănătății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este necesar pentru menținerea sănătății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Soluții carbohidrați – electroliți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Soluțiile carbohidrați – electroliți contribuie la menținerea rezistenței la efort în timpul exercițiilor fizice prelungite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Pentru ca mențiunea să poată fi înscrisă pe acestea, soluțiile carbohidrați-electroliți trebuie să conțină 80-350 kcal/L provenind din carbohidrați, iar cel puțin 75 % din energie trebuie să provină din carbohidrați care determină un răspuns glicemic rapid, precum glucoza, polimerii de glucoză și zaharoza. În plus, aceste băuturi trebuie să conțină sodiu între 20 mmol/L (460 mg/L) </w:t>
            </w:r>
            <w:r w:rsidRPr="00384D86">
              <w:rPr>
                <w:rFonts w:ascii="Times New Roman" w:eastAsia="Times New Roman" w:hAnsi="Times New Roman" w:cs="Times New Roman"/>
                <w:sz w:val="24"/>
                <w:szCs w:val="24"/>
                <w:lang w:val="ro-RO" w:eastAsia="ru-RU"/>
              </w:rPr>
              <w:lastRenderedPageBreak/>
              <w:t>și 50 mmol/L (1 150 mg/L) și să aibă o osmolalitate între 200-330 mOsm/kg apă.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Soluții carbohidrați – electroliți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Soluțiile carbohidrați –electroliți cresc absorbția de apă în timpul exercițiilor fizice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pe acestea, soluțiile carbohidrați-electroliți trebuie să conțină 80-350 kcal/L provenind din carbohidrați, iar cel puțin 75 % din energie trebuie să provină din carbohidrați care determină un răspuns glicemic rapid, precum glucoza, polimerii de glucoză și zaharoza. În plus, aceste băuturi trebuie să conțină sodiu între 20 mmol/L (460 mg/L) și 50 mmol/L (1 150 mg/L) și să aibă o osmolalitate între 200-330 mOsm/kg apă.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Chitosan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Chitosanul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 g de chitosan. Pentru a putea fi înscrisă, mențiunea trebuie însoțită de o informare a consumatorului cu privire la faptul că efectul benefic se obține în condițiile unui consum zilnic de 3 g de chitosan.</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Clorură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Clorura contribuie la digestia normală, prin producerea de acid clorhidric în stomac</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clorură,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nu poate fi utilizată pentru clorura a cărei sursă este clorura de sodiu</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Colina contribuie la metabolismul normal al homocisteinei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82,5 mg de colină la 100 g sau 100 ml sau la o singură porție de produs alimentar.</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Colina contribuie la metabolismul normal al lipidelor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82,5 mg de colină la 100 g sau 100 ml sau la o singură porție de produs alimentar.</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Colina contribuie la menținerea funcției normale a </w:t>
            </w:r>
            <w:r w:rsidRPr="00384D86">
              <w:rPr>
                <w:rFonts w:ascii="Times New Roman" w:eastAsia="Times New Roman" w:hAnsi="Times New Roman" w:cs="Times New Roman"/>
                <w:sz w:val="24"/>
                <w:szCs w:val="24"/>
                <w:lang w:val="ro-RO" w:eastAsia="ru-RU"/>
              </w:rPr>
              <w:lastRenderedPageBreak/>
              <w:t>ficatului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conțin cel puțin 82,5 mg de colină la 100 g sau 100 ml sau la </w:t>
            </w:r>
            <w:r w:rsidRPr="00384D86">
              <w:rPr>
                <w:rFonts w:ascii="Times New Roman" w:eastAsia="Times New Roman" w:hAnsi="Times New Roman" w:cs="Times New Roman"/>
                <w:sz w:val="24"/>
                <w:szCs w:val="24"/>
                <w:lang w:val="ro-RO" w:eastAsia="ru-RU"/>
              </w:rPr>
              <w:lastRenderedPageBreak/>
              <w:t>o singură porție de produs alimentar.</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30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Crom</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Cromul contribuie la metabolismul normal al macronutrienților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crom trivalent,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Crom</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Cromul contribuie la menținerea concentrațiilor normale ale glucozei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crom trivalent,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menținerea sănătății țesuturilor conjunctive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34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pigmentarea normală a părului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transportul normal al fierului în corp</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pigmentarea normală a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Cuprul contribuie </w:t>
            </w:r>
            <w:r w:rsidRPr="00384D86">
              <w:rPr>
                <w:rFonts w:ascii="Times New Roman" w:eastAsia="Times New Roman" w:hAnsi="Times New Roman" w:cs="Times New Roman"/>
                <w:sz w:val="24"/>
                <w:szCs w:val="24"/>
                <w:lang w:val="ro-RO" w:eastAsia="ru-RU"/>
              </w:rPr>
              <w:lastRenderedPageBreak/>
              <w:t>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w:t>
            </w:r>
            <w:r w:rsidRPr="00384D86">
              <w:rPr>
                <w:rFonts w:ascii="Times New Roman" w:eastAsia="Times New Roman" w:hAnsi="Times New Roman" w:cs="Times New Roman"/>
                <w:sz w:val="24"/>
                <w:szCs w:val="24"/>
                <w:lang w:val="ro-RO" w:eastAsia="ru-RU"/>
              </w:rPr>
              <w:lastRenderedPageBreak/>
              <w:t xml:space="preserve">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39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protejarea constituenților celulari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Creatină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Creatina crește performanța fizică în eforturi succesive din timpul exercițiilor fizice de scurtă durată și de mare intensitate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 g de creatină. Pentru a putea fi înscrisă, mențiunea trebuie însoțită de o informare a consumatorului cu privire la faptul că efectul benefic se obține în condițiile unui consum zilnic de 3 g de creatină.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destinate adulților care efectuează exerciții fizice de mare intensitate</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docosahexaenoic</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(DHA)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DHA contribuie la menținerea funcției normale a creierului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40 mg de DHA la 100 g și 100 kcal. Pentru a putea fi înscrisă, mențiunea trebuie însoțită de o informare a consumatorului cu privire la faptul că efectul benefic se obține în condițiile unui consum zilnic de 250 mg de DHA.</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docosahexaenoic</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(DHA)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DHA contribuie la menținerea vederii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40 mg de DHA la 100 g și 100 kcal. Pentru a putea fi înscrisă, mențiunea trebuie însoțită de o informare a consumatorului cu privire la faptul că efectul benefic se obține în condițiile unui consum zilnic de 250 mg de DHA.</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F21517"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43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eicosapentaenoic și acid docosahexaenoic</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(EPA/DHA)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EPA și DHA contribuie la funcția normală a inimii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sunt cel puțin o sursă de EPA și DHA, astfel cum apare în mențiunea SURSĂ DE ACIZI GRAȘI OMEGA 3, prevăzută în anexa la Regulamentul (CE) nr. 1924/2006. Pentru a putea fi înscrisă, mențiunea trebuie însoțită de o informare a consumatorului cu privire la faptul că efectul benefic se obține în condițiile unui consum zilnic de 250 mg de EPA și DHA.</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Fluorură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Fluorura contribuie la menținerea mineralizării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fluorură,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creșterea țesutului matern în timpul sarcinii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sinteza normală a aminoacizilor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Folatul contribuie </w:t>
            </w:r>
            <w:r w:rsidRPr="00384D86">
              <w:rPr>
                <w:rFonts w:ascii="Times New Roman" w:eastAsia="Times New Roman" w:hAnsi="Times New Roman" w:cs="Times New Roman"/>
                <w:sz w:val="24"/>
                <w:szCs w:val="24"/>
                <w:lang w:val="ro-RO" w:eastAsia="ru-RU"/>
              </w:rPr>
              <w:lastRenderedPageBreak/>
              <w:t>la buna funcționare a hematopoiezei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w:t>
            </w:r>
            <w:r w:rsidRPr="00384D86">
              <w:rPr>
                <w:rFonts w:ascii="Times New Roman" w:eastAsia="Times New Roman" w:hAnsi="Times New Roman" w:cs="Times New Roman"/>
                <w:sz w:val="24"/>
                <w:szCs w:val="24"/>
                <w:lang w:val="ro-RO" w:eastAsia="ru-RU"/>
              </w:rPr>
              <w:lastRenderedPageBreak/>
              <w:t xml:space="preserve">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48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metabolismul normal al homocisteinei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Folatul contribuie la reducerea </w:t>
            </w:r>
            <w:r w:rsidRPr="00384D86">
              <w:rPr>
                <w:rFonts w:ascii="Times New Roman" w:eastAsia="Times New Roman" w:hAnsi="Times New Roman" w:cs="Times New Roman"/>
                <w:sz w:val="24"/>
                <w:szCs w:val="24"/>
                <w:lang w:val="ro-RO" w:eastAsia="ru-RU"/>
              </w:rPr>
              <w:lastRenderedPageBreak/>
              <w:t>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w:t>
            </w:r>
            <w:r w:rsidRPr="00384D86">
              <w:rPr>
                <w:rFonts w:ascii="Times New Roman" w:eastAsia="Times New Roman" w:hAnsi="Times New Roman" w:cs="Times New Roman"/>
                <w:sz w:val="24"/>
                <w:szCs w:val="24"/>
                <w:lang w:val="ro-RO" w:eastAsia="ru-RU"/>
              </w:rPr>
              <w:lastRenderedPageBreak/>
              <w:t xml:space="preserve">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Produse alimentare cu conținut scăzut sau redus de acizi grași saturați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Reducerea consumului de grăsimi saturate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cel puțin un conținut scăzut de acizi grași saturați, astfel cum apare în mențiunea CONȚINUT SCĂZUT DE GRĂSIMI SATURATE sau având un conținut redus de acizi grași saturați, astfel cum apare în mențiunea CONȚINUT REDUS DE [DENUMIREA NUTRIENTULUI],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Produse alimentare cu conținut scăzut sau redus de sodiu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Reducerea consumului de sodiu contribuie la menținerea tensiunii arteriale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cel puțin un conținut scăzut de sodiu/sare, astfel cum apare în mențiunea CONȚINUT SCĂZUT DE SODIU/SARE sau având un conținut redus de sodiu/sare, astfel cum apare în mențiunea CONȚINUT REDUS DE [DENUMIREA NUTRIENTULUI],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Glucomanan</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(konjac mannan)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Glucomananul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4 g de glucomanan. Pentru a putea fi înscrisă, mențiunea trebuie însoțită de o informare a consumatorului cu privire la faptul că efectul benefic se obține în condițiile unui consum zilnic de 4 g de glucomanan.</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Glucomananul</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(konjac mannan)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 condițiile unei diete hipocalorice, glucomananul contribuie la scăderea în greutate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g de glucomanan la o porție cuantificată. Pentru a putea fi înscrisă, mențiunea trebuie însoțită de o informare a consumatorului cu privire la faptul că efectul benefic se obține în condițiile unui consum zilnic de 3 g de glucomanan în trei doze a câte 1 g, luate împreună cu 1-2 pahare de apă, înaintea meselor și în condițiile unei diete hipocalorice.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Guar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Guma de Guar contribuie la menținerea </w:t>
            </w:r>
            <w:r w:rsidRPr="00384D86">
              <w:rPr>
                <w:rFonts w:ascii="Times New Roman" w:eastAsia="Times New Roman" w:hAnsi="Times New Roman" w:cs="Times New Roman"/>
                <w:sz w:val="24"/>
                <w:szCs w:val="24"/>
                <w:lang w:val="ro-RO" w:eastAsia="ru-RU"/>
              </w:rPr>
              <w:lastRenderedPageBreak/>
              <w:t>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asigură un aport zilnic de 10 g de gumă de Guar. Pentru a </w:t>
            </w:r>
            <w:r w:rsidRPr="00384D86">
              <w:rPr>
                <w:rFonts w:ascii="Times New Roman" w:eastAsia="Times New Roman" w:hAnsi="Times New Roman" w:cs="Times New Roman"/>
                <w:sz w:val="24"/>
                <w:szCs w:val="24"/>
                <w:lang w:val="ro-RO" w:eastAsia="ru-RU"/>
              </w:rPr>
              <w:lastRenderedPageBreak/>
              <w:t>putea fi înscrisă, mențiunea trebuie însoțită de o informare a consumatorului cu privire la faptul că efectul benefic se obține în condițiile unui consum zilnic de 10 g de gumă de Guar.</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Trebuie să se prevadă un avertisment </w:t>
            </w:r>
            <w:r w:rsidRPr="00384D86">
              <w:rPr>
                <w:rFonts w:ascii="Times New Roman" w:eastAsia="Times New Roman" w:hAnsi="Times New Roman" w:cs="Times New Roman"/>
                <w:sz w:val="24"/>
                <w:szCs w:val="24"/>
                <w:lang w:val="ro-RO" w:eastAsia="ru-RU"/>
              </w:rPr>
              <w:lastRenderedPageBreak/>
              <w:t>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Hidroxipropil metilceluloză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(HPMC)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hidroxipropil metilceluloză în timpul mesei contribuie la o diminuare a creșterii nivelului de glucoză din sânge după masa respectivă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4 g de HPMC la o porție cuantificată la o masă. Pentru a putea fi înscrisă, mențiunea trebuie însoțită de o informare a consumatorului cu privire la faptul că efectul benefic se obține în condițiile unui consum de 4 g de HPMC în timpul unei mese.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Hidroxipropil metilceluloză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(HPMC)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Hidroxipropil metilceluloza contribuie la menținerea concentrațiilor normale ale </w:t>
            </w:r>
            <w:r w:rsidRPr="00384D86">
              <w:rPr>
                <w:rFonts w:ascii="Times New Roman" w:eastAsia="Times New Roman" w:hAnsi="Times New Roman" w:cs="Times New Roman"/>
                <w:sz w:val="24"/>
                <w:szCs w:val="24"/>
                <w:lang w:val="ro-RO" w:eastAsia="ru-RU"/>
              </w:rPr>
              <w:lastRenderedPageBreak/>
              <w:t>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asigură un aport zilnic de 5 g de HPMC. Pentru a putea fi înscrisă, mențiunea trebuie însoțită de o informare a consumatorului cu privire la faptul că efectul benefic se obține în </w:t>
            </w:r>
            <w:r w:rsidRPr="00384D86">
              <w:rPr>
                <w:rFonts w:ascii="Times New Roman" w:eastAsia="Times New Roman" w:hAnsi="Times New Roman" w:cs="Times New Roman"/>
                <w:sz w:val="24"/>
                <w:szCs w:val="24"/>
                <w:lang w:val="ro-RO" w:eastAsia="ru-RU"/>
              </w:rPr>
              <w:lastRenderedPageBreak/>
              <w:t>condițiile unui consum zilnic de 5 g de HPMC.</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Trebuie să se prevadă un avertisment privind riscul de sufocare pentru persoanele cu </w:t>
            </w:r>
            <w:r w:rsidRPr="00384D86">
              <w:rPr>
                <w:rFonts w:ascii="Times New Roman" w:eastAsia="Times New Roman" w:hAnsi="Times New Roman" w:cs="Times New Roman"/>
                <w:sz w:val="24"/>
                <w:szCs w:val="24"/>
                <w:lang w:val="ro-RO" w:eastAsia="ru-RU"/>
              </w:rPr>
              <w:lastRenderedPageBreak/>
              <w:t>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60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funcția cognitivă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w:t>
            </w:r>
            <w:r w:rsidR="00F36335" w:rsidRPr="00384D86">
              <w:rPr>
                <w:rFonts w:ascii="Times New Roman" w:eastAsia="Times New Roman" w:hAnsi="Times New Roman" w:cs="Times New Roman"/>
                <w:sz w:val="24"/>
                <w:szCs w:val="24"/>
                <w:lang w:val="ro-RO" w:eastAsia="ru-RU"/>
              </w:rPr>
              <w:lastRenderedPageBreak/>
              <w:t>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63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producția normală de hormoni tiroidieni și la funcționarea normală a glandei tiroide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funcția cognitivă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w:t>
            </w:r>
            <w:r w:rsidR="00EF64A4" w:rsidRPr="00384D86">
              <w:rPr>
                <w:rFonts w:ascii="Times New Roman" w:eastAsia="Times New Roman" w:hAnsi="Times New Roman" w:cs="Times New Roman"/>
                <w:sz w:val="24"/>
                <w:szCs w:val="24"/>
                <w:lang w:val="ro-RO" w:eastAsia="ru-RU"/>
              </w:rPr>
              <w:lastRenderedPageBreak/>
              <w:t>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67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formarea normală a globulelor roșii și a hemoglobinei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transportul normal al oxigenului în corp</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w:t>
            </w:r>
            <w:r w:rsidR="00EF64A4" w:rsidRPr="00384D86">
              <w:rPr>
                <w:rFonts w:ascii="Times New Roman" w:eastAsia="Times New Roman" w:hAnsi="Times New Roman" w:cs="Times New Roman"/>
                <w:sz w:val="24"/>
                <w:szCs w:val="24"/>
                <w:lang w:val="ro-RO" w:eastAsia="ru-RU"/>
              </w:rPr>
              <w:lastRenderedPageBreak/>
              <w:t>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71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Enzima lactază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Enzima lactază îmbunătățește digestia lactozei la persoanele care au dificultăți în ceea ce privește digerarea lactozei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suplimentele alimentare, cu o doză minimă de 4 500 unități FCC (Food Chemicals Codex – Codexul substanțelor chimice din produsele alimentare), cu instrucțiuni pentru persoanele vizate privind consumul la fiecare masă care conține lactoză.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Persoanele vizate trebuie informate, de asemenea, că toleranța la lactoză este variabilă și că trebuie să solicite recomandări în ceea ce privește rolul acestei substanțe în dieta lor.</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Lactuloză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Lactuloza contribuie la accelerarea tranzitului intestinal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10 g de lactuloză într-o singură porție cuantificată. Pentru a putea fi înscrisă, mențiunea trebuie însoțită de o informare a consumatorului cu privire la faptul că efectul benefic se obține în condițiile consumului unei doze unice de 10 g de lactuloză pe zi.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linoleic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linoleic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1,5 g de acid linoleic (AL) la 100 g și 100 kcal.</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Consumatorul trebuie informat cu privire la faptul că efectul benefic se obține în condițiile unui consum zilnic de 10 g de AL.</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Culturi vii din iaurt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Culturile vii din iaurt sau lapte fermentat facilitează digestia lactozei din produsele </w:t>
            </w:r>
            <w:r w:rsidRPr="00384D86">
              <w:rPr>
                <w:rFonts w:ascii="Times New Roman" w:eastAsia="Times New Roman" w:hAnsi="Times New Roman" w:cs="Times New Roman"/>
                <w:sz w:val="24"/>
                <w:szCs w:val="24"/>
                <w:lang w:val="ro-RO" w:eastAsia="ru-RU"/>
              </w:rPr>
              <w:lastRenderedPageBreak/>
              <w:t>alimentare la persoanele care au dificultăți în ceea ce privește digerarea lactozei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after="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Pentru ca mențiunea să poată fi înscrisă pe acestea, iaurtul sau laptele fermentat trebuie să conțină cel puțin 10</w:t>
            </w:r>
            <w:r w:rsidRPr="00384D86">
              <w:rPr>
                <w:rFonts w:ascii="Times New Roman" w:eastAsia="Times New Roman" w:hAnsi="Times New Roman" w:cs="Times New Roman"/>
                <w:sz w:val="24"/>
                <w:szCs w:val="24"/>
                <w:bdr w:val="none" w:sz="0" w:space="0" w:color="auto" w:frame="1"/>
                <w:vertAlign w:val="superscript"/>
                <w:lang w:val="ro-RO" w:eastAsia="ru-RU"/>
              </w:rPr>
              <w:t>8</w:t>
            </w:r>
            <w:r w:rsidRPr="00384D86">
              <w:rPr>
                <w:rFonts w:ascii="Times New Roman" w:eastAsia="Times New Roman" w:hAnsi="Times New Roman" w:cs="Times New Roman"/>
                <w:sz w:val="24"/>
                <w:szCs w:val="24"/>
                <w:lang w:val="ro-RO" w:eastAsia="ru-RU"/>
              </w:rPr>
              <w:t> unități formatoare de colonii de microorganisme vii (Lactobacillus delbrueckii subsp. bulgaricus și Streptococcus thermophilus) per gram.</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76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echilibrul electrolitic</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w:t>
            </w:r>
            <w:r w:rsidRPr="00384D86">
              <w:rPr>
                <w:rFonts w:ascii="Times New Roman" w:eastAsia="Times New Roman" w:hAnsi="Times New Roman" w:cs="Times New Roman"/>
                <w:sz w:val="24"/>
                <w:szCs w:val="24"/>
                <w:lang w:val="ro-RO" w:eastAsia="ru-RU"/>
              </w:rPr>
              <w:lastRenderedPageBreak/>
              <w:t xml:space="preserve">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funcționarea normală a sistemului muscular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sinteza normală a proteinelor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w:t>
            </w:r>
            <w:r w:rsidR="00EF64A4" w:rsidRPr="00384D86">
              <w:rPr>
                <w:rFonts w:ascii="Times New Roman" w:eastAsia="Times New Roman" w:hAnsi="Times New Roman" w:cs="Times New Roman"/>
                <w:sz w:val="24"/>
                <w:szCs w:val="24"/>
                <w:lang w:val="ro-RO" w:eastAsia="ru-RU"/>
              </w:rPr>
              <w:lastRenderedPageBreak/>
              <w:t>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menținerea sănătății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w:t>
            </w:r>
            <w:r w:rsidR="00EF64A4" w:rsidRPr="00384D86">
              <w:rPr>
                <w:rFonts w:ascii="Times New Roman" w:eastAsia="Times New Roman" w:hAnsi="Times New Roman" w:cs="Times New Roman"/>
                <w:sz w:val="24"/>
                <w:szCs w:val="24"/>
                <w:lang w:val="ro-RO" w:eastAsia="ru-RU"/>
              </w:rPr>
              <w:lastRenderedPageBreak/>
              <w:t>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formarea normală a țesuturilor conjunctive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 al unei mese pentru controlul greutății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Substituirea unei mese zilnice din cadrul unei diete hipocalorice cu un înlocuitor contribuie la menținerea greutății corporale după pierderea în greutate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un produs alimentar trebuie să respecte specificațiile prevăzute în Directiva 96/8/CE în ceea ce privește produsele alimentare menționate la articolul 1 alineatul (2) litera (b) din directivă. Pentru obținerea efectului menționat, în locul unei mese zilnice trebuie să se consume înlocuitori.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 al unei mese pentru controlul greutății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Substituirea a două mese zilnice din cadrul unei diete hipocalorice cu înlocuitori contribuie la pierderea în greutate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un produs alimentar trebuie să respecte specificațiile prevăzute în Directiva 96/8/CE în ceea ce privește produsele alimentare menționate la articolul 1 alineatul (2) litera (b) din directivă. Pentru obținerea efectului menționat, în locul a două mese zilnice trebuie să se consume înlocuitori.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Carne sau pește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Carnea sau peștele contribuie la </w:t>
            </w:r>
            <w:r w:rsidRPr="00384D86">
              <w:rPr>
                <w:rFonts w:ascii="Times New Roman" w:eastAsia="Times New Roman" w:hAnsi="Times New Roman" w:cs="Times New Roman"/>
                <w:sz w:val="24"/>
                <w:szCs w:val="24"/>
                <w:lang w:val="ro-RO" w:eastAsia="ru-RU"/>
              </w:rPr>
              <w:lastRenderedPageBreak/>
              <w:t>îmbunătățirea absorbției fierului atunci când se consumă împreună cu alte alimente care conțin fier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conțin cel puțin </w:t>
            </w:r>
            <w:r w:rsidRPr="00384D86">
              <w:rPr>
                <w:rFonts w:ascii="Times New Roman" w:eastAsia="Times New Roman" w:hAnsi="Times New Roman" w:cs="Times New Roman"/>
                <w:sz w:val="24"/>
                <w:szCs w:val="24"/>
                <w:lang w:val="ro-RO" w:eastAsia="ru-RU"/>
              </w:rPr>
              <w:lastRenderedPageBreak/>
              <w:t>50 g de carne sau pește într-o singură porție cuantificată. Pentru a putea fi înscrisă, mențiunea trebuie însoțită de o informare a consumatorului cu privire la faptul că efectul benefic se obține în condițiile unui consum de 50 g de carne sau pește împreună cu unul sau mai multe alimente care conțin fier non-heminic.</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93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Melatonină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Melatonina contribuie la atenuarea tulburărilor de somn</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0,5 mg de melatonină la o porție cuantificată. Pentru a putea fi înscrisă, mențiunea trebuie însoțită de o informare a consumatorului cu privire la faptul că efectul benefic se obține în condițiile consumului unei doze minime de 0,5 mg administrate înainte de culcare în prima zi de călătorie și în următoarele câteva zile după sosirea la destinație.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Melatonină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Melatonina contribuie la reducerea timpului necesar pentru a adormi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mg de melatonină la o porție cuantificată. Pentru a putea fi înscrisă, mențiunea trebuie însoțită de o informare a consumatorului cu privire la faptul că efectul benefic se obține în condițiile unui consum de 1 mg de melatonină înainte de culcare.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Molibden</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Molibdenul contribuie la metabolismul normal al aminoacizilor care conțin sulf</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molibden,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Monascus purpureus</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(orez roșu fermentat)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Substanța denumită „monacolin K”, care se găsește în orezul roșu fermentat, contribuie la menținerea </w:t>
            </w:r>
            <w:r w:rsidRPr="00384D86">
              <w:rPr>
                <w:rFonts w:ascii="Times New Roman" w:eastAsia="Times New Roman" w:hAnsi="Times New Roman" w:cs="Times New Roman"/>
                <w:sz w:val="24"/>
                <w:szCs w:val="24"/>
                <w:lang w:val="ro-RO" w:eastAsia="ru-RU"/>
              </w:rPr>
              <w:lastRenderedPageBreak/>
              <w:t>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asigură un aport zilnic de 10 mg de monacolin K din orezul roșu fermentat. Pentru a putea fi înscrisă, mențiunea trebuie însoțită de o informare a consumatorului cu privire la faptul că efectul benefic se obține în condițiile unui consum zilnic de 10 mg de monacolin K conținute în </w:t>
            </w:r>
            <w:r w:rsidRPr="00384D86">
              <w:rPr>
                <w:rFonts w:ascii="Times New Roman" w:eastAsia="Times New Roman" w:hAnsi="Times New Roman" w:cs="Times New Roman"/>
                <w:sz w:val="24"/>
                <w:szCs w:val="24"/>
                <w:lang w:val="ro-RO" w:eastAsia="ru-RU"/>
              </w:rPr>
              <w:lastRenderedPageBreak/>
              <w:t>preparatele alimentare din orez roșu fermentat.</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97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Acizi grași mononesaturați (MUFA) și/sau acizi grași polinesaturați (PUFA)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Înlocuirea grăsimilor saturate cu grăsimi nesaturate din dietă contribuie la menținerea concentrațiilor normale ale colesterolului din sânge [MUFA și PUFA sunt grăsimi nesaturate]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acizi grași nesaturați, astfel cum apare în mențiunea CONȚINUT RIDICAT DE GRĂSIMI NESATURATE,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w:t>
            </w:r>
            <w:r w:rsidRPr="00384D86">
              <w:rPr>
                <w:rFonts w:ascii="Times New Roman" w:eastAsia="Times New Roman" w:hAnsi="Times New Roman" w:cs="Times New Roman"/>
                <w:sz w:val="24"/>
                <w:szCs w:val="24"/>
                <w:lang w:val="ro-RO" w:eastAsia="ru-RU"/>
              </w:rPr>
              <w:lastRenderedPageBreak/>
              <w:t xml:space="preserve">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101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membranelor mucoase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boabe de ovăz</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boabele de ovăz contribuie la creșterea volumului bolului fecal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105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oleic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Înlocuirea grăsimilor saturate din alimentație cu grăsimi nesaturate contribuie la menținerea concentrațiilor normale ale colesterolului din sânge. Acidul oleic este o grăsime nesaturată.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acizi grași nesaturați, astfel cum apare în mențiunea CONȚINUT RIDICAT DE GRĂSIMI NESATURATE,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Polifenoli din ulei de măsline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Polifenolii din uleiul de măsline contribuie la protejarea lipidelor din sânge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uleiul de măsline care conține cel puțin 5 mg de hidroxitirozol și derivați ai acestuia (de exemplu, compusul oleuropeină și tirozolul) la 20 g de ulei de măsline. Pentru a putea fi înscrisă, mențiunea trebuie însoțită de o informare a consumatorului cu privire la faptul că efectul benefic se obține în condițiile unui consum zilnic de 20 g de ulei de măsline.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sinteza normală și la metabolizarea hormonilor steroizi, a vitaminei D și a unor neurotransmițători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109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performanța mentală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Pectine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Pectinele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6 g de pectine. Pentru a putea fi înscrisă, mențiunea trebuie însoțită de o informare a consumatorului cu privire la faptul că efectul benefic se obține în condițiile unui consum zilnic de 6 g de pectine.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Pectine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Consumul de pectine în timpul </w:t>
            </w:r>
            <w:r w:rsidRPr="00384D86">
              <w:rPr>
                <w:rFonts w:ascii="Times New Roman" w:eastAsia="Times New Roman" w:hAnsi="Times New Roman" w:cs="Times New Roman"/>
                <w:sz w:val="24"/>
                <w:szCs w:val="24"/>
                <w:lang w:val="ro-RO" w:eastAsia="ru-RU"/>
              </w:rPr>
              <w:lastRenderedPageBreak/>
              <w:t>unei mese contribuie la o diminuare a creșterii nivelului de glucoză în sânge după masa respectivă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conțin 10 g de </w:t>
            </w:r>
            <w:r w:rsidRPr="00384D86">
              <w:rPr>
                <w:rFonts w:ascii="Times New Roman" w:eastAsia="Times New Roman" w:hAnsi="Times New Roman" w:cs="Times New Roman"/>
                <w:sz w:val="24"/>
                <w:szCs w:val="24"/>
                <w:lang w:val="ro-RO" w:eastAsia="ru-RU"/>
              </w:rPr>
              <w:lastRenderedPageBreak/>
              <w:t>pectine la o porție cuantificată. Pentru a putea fi înscrisă, mențiunea trebuie însoțită de o informare a consumatorului cu privire la faptul că efectul benefic se obține în condițiile unui consum de 10 g de pectine la o masă.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Trebuie să se prevadă un </w:t>
            </w:r>
            <w:r w:rsidRPr="00384D86">
              <w:rPr>
                <w:rFonts w:ascii="Times New Roman" w:eastAsia="Times New Roman" w:hAnsi="Times New Roman" w:cs="Times New Roman"/>
                <w:sz w:val="24"/>
                <w:szCs w:val="24"/>
                <w:lang w:val="ro-RO" w:eastAsia="ru-RU"/>
              </w:rPr>
              <w:lastRenderedPageBreak/>
              <w:t>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2"/>
              <w:gridCol w:w="1396"/>
            </w:tblGrid>
            <w:tr w:rsidR="00627A3C" w:rsidRPr="00384D86"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rsidR="00627A3C" w:rsidRPr="00384D86" w:rsidRDefault="00627A3C" w:rsidP="00384D86">
            <w:pPr>
              <w:spacing w:after="0" w:line="276" w:lineRule="auto"/>
              <w:rPr>
                <w:rFonts w:ascii="Times New Roman" w:eastAsia="Times New Roman" w:hAnsi="Times New Roman" w:cs="Times New Roman"/>
                <w:sz w:val="24"/>
                <w:szCs w:val="24"/>
                <w:lang w:val="ro-RO" w:eastAsia="ru-RU"/>
              </w:rPr>
            </w:pP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113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funcționarea normală a membranelor celulare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Fosforul contribuie la menținerea sănătății </w:t>
            </w:r>
            <w:r w:rsidRPr="00384D86">
              <w:rPr>
                <w:rFonts w:ascii="Times New Roman" w:eastAsia="Times New Roman" w:hAnsi="Times New Roman" w:cs="Times New Roman"/>
                <w:sz w:val="24"/>
                <w:szCs w:val="24"/>
                <w:lang w:val="ro-RO" w:eastAsia="ru-RU"/>
              </w:rPr>
              <w:lastRenderedPageBreak/>
              <w:t>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fosfor, astfel cum apare în mențiunea SURSĂ DE [DENUMIREA </w:t>
            </w:r>
            <w:r w:rsidRPr="00384D86">
              <w:rPr>
                <w:rFonts w:ascii="Times New Roman" w:eastAsia="Times New Roman" w:hAnsi="Times New Roman" w:cs="Times New Roman"/>
                <w:sz w:val="24"/>
                <w:szCs w:val="24"/>
                <w:lang w:val="ro-RO" w:eastAsia="ru-RU"/>
              </w:rPr>
              <w:lastRenderedPageBreak/>
              <w:t xml:space="preserve">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116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menținerea sănătății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Steroli vegetali și stanoli vegetali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Sterolii/stanolii vegetali contribuie la menținerea concentrațiilor normale ale colesterolului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în condițiile unui consum zilnic de cel puțin 0,8 g de steroli/stanoli vegetali.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funcționarea normală a sistemului muscular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w:t>
            </w:r>
            <w:r w:rsidR="00EF64A4" w:rsidRPr="00384D86">
              <w:rPr>
                <w:rFonts w:ascii="Times New Roman" w:eastAsia="Times New Roman" w:hAnsi="Times New Roman" w:cs="Times New Roman"/>
                <w:sz w:val="24"/>
                <w:szCs w:val="24"/>
                <w:lang w:val="ro-RO" w:eastAsia="ru-RU"/>
              </w:rPr>
              <w:lastRenderedPageBreak/>
              <w:t>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120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menținerea tensiunii arteriale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creșterea masei musculare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sunt cel puțin o sursă de proteine, astfel cum apare în mențiunea SURSĂ DE PROTEINE, prevăzută în anexa la Regulamentul (CE) nr. 1924/2006.</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menținerea masei musculare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proteine, astfel cum apare în mențiunea SURSĂ DE PROTEINE,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menținerea sănătății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proteine, astfel cum apare în mențiunea SURSĂ DE PROTEINE,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Amidon rezistent</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Înlocuirea tipurilor de amidon digerabile cu amidon rezistent la o masă contribuie la o diminuare a creșterii nivelului de glucoză în sânge după masa </w:t>
            </w:r>
            <w:r w:rsidRPr="00384D86">
              <w:rPr>
                <w:rFonts w:ascii="Times New Roman" w:eastAsia="Times New Roman" w:hAnsi="Times New Roman" w:cs="Times New Roman"/>
                <w:sz w:val="24"/>
                <w:szCs w:val="24"/>
                <w:lang w:val="ro-RO" w:eastAsia="ru-RU"/>
              </w:rPr>
              <w:lastRenderedPageBreak/>
              <w:t>respectivă.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Mențiunea poate fi utilizată doar pentru produsele alimentare în care amidonul digerabil a fost înlocuit cu amidon rezistent, astfel încât conținutul final de amidon rezistent să reprezinte cel puțin 14 % din conținutul total de amidon.</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125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sănătății membranelor mucoase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globulelor roșii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129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vederii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metabolismul normal al fierului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Riboflavina </w:t>
            </w:r>
            <w:r w:rsidRPr="00384D86">
              <w:rPr>
                <w:rFonts w:ascii="Times New Roman" w:eastAsia="Times New Roman" w:hAnsi="Times New Roman" w:cs="Times New Roman"/>
                <w:sz w:val="24"/>
                <w:szCs w:val="24"/>
                <w:lang w:val="ro-RO" w:eastAsia="ru-RU"/>
              </w:rPr>
              <w:lastRenderedPageBreak/>
              <w:t>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w:t>
            </w:r>
            <w:r w:rsidRPr="00384D86">
              <w:rPr>
                <w:rFonts w:ascii="Times New Roman" w:eastAsia="Times New Roman" w:hAnsi="Times New Roman" w:cs="Times New Roman"/>
                <w:sz w:val="24"/>
                <w:szCs w:val="24"/>
                <w:lang w:val="ro-RO" w:eastAsia="ru-RU"/>
              </w:rPr>
              <w:lastRenderedPageBreak/>
              <w:t xml:space="preserve">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secară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din secară contribuie la funcționarea normală a intestinului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având un conținut bogat în astfel de fibre, astfel cum apare la mențiunea BOGAT ÎN FIBRE, prevăzută în anexa la Regulamentul (CE) nr. 1924/2006.</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spermatogeneza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menținerea sănătății părului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menținerea sănătății unghiilor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w:t>
            </w:r>
            <w:r w:rsidR="00EF64A4" w:rsidRPr="00384D86">
              <w:rPr>
                <w:rFonts w:ascii="Times New Roman" w:eastAsia="Times New Roman" w:hAnsi="Times New Roman" w:cs="Times New Roman"/>
                <w:sz w:val="24"/>
                <w:szCs w:val="24"/>
                <w:lang w:val="ro-RO" w:eastAsia="ru-RU"/>
              </w:rPr>
              <w:lastRenderedPageBreak/>
              <w:t>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funcționarea normală a glandei tiroide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sunt cel puțin o sursă de seleniu, astfel cum apare în mențiunea SURSĂ DE [DENUMIREA VITAMINEI/VITAMINELOR] ȘI/SAU [DENUMIREA MINERALULUI/MINERALELOR], prevăzută în anexa la Regulamentul (CE) nr. 1924/2006.</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Înlocuitori ai zahărului, precum îndulcitorii concentrați;</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xilitol, sorbitol, manitol, maltitol, lactitol, </w:t>
            </w:r>
            <w:r w:rsidRPr="00384D86">
              <w:rPr>
                <w:rFonts w:ascii="Times New Roman" w:eastAsia="Times New Roman" w:hAnsi="Times New Roman" w:cs="Times New Roman"/>
                <w:b/>
                <w:sz w:val="24"/>
                <w:szCs w:val="24"/>
                <w:lang w:val="ro-RO" w:eastAsia="ru-RU"/>
              </w:rPr>
              <w:lastRenderedPageBreak/>
              <w:t xml:space="preserve">izomalt, eritritol, sucraloză și polidextroză; </w:t>
            </w:r>
            <w:r w:rsidR="008E4909" w:rsidRPr="00384D86">
              <w:rPr>
                <w:rFonts w:ascii="Times New Roman" w:eastAsia="Times New Roman" w:hAnsi="Times New Roman" w:cs="Times New Roman"/>
                <w:b/>
                <w:sz w:val="24"/>
                <w:szCs w:val="24"/>
                <w:lang w:val="ro-RO" w:eastAsia="ru-RU"/>
              </w:rPr>
              <w:t>alte zaharuri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after="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Consumul de alimente/băuturi care conțin &lt;denumirea înlocuitorului de zahăr&gt; în loc de zahăr</w:t>
            </w:r>
            <w:hyperlink r:id="rId7" w:anchor="ntr1-L_2012136RO.01000401-E0001" w:history="1"/>
            <w:r w:rsidR="008E4909" w:rsidRPr="00384D86">
              <w:rPr>
                <w:rFonts w:ascii="Times New Roman" w:eastAsia="Times New Roman" w:hAnsi="Times New Roman" w:cs="Times New Roman"/>
                <w:color w:val="800080"/>
                <w:sz w:val="24"/>
                <w:szCs w:val="24"/>
                <w:bdr w:val="none" w:sz="0" w:space="0" w:color="auto" w:frame="1"/>
                <w:lang w:val="ro-RO" w:eastAsia="ru-RU"/>
              </w:rPr>
              <w:t xml:space="preserve"> </w:t>
            </w:r>
            <w:r w:rsidRPr="00384D86">
              <w:rPr>
                <w:rFonts w:ascii="Times New Roman" w:eastAsia="Times New Roman" w:hAnsi="Times New Roman" w:cs="Times New Roman"/>
                <w:sz w:val="24"/>
                <w:szCs w:val="24"/>
                <w:lang w:val="ro-RO" w:eastAsia="ru-RU"/>
              </w:rPr>
              <w:t xml:space="preserve">determină diminuarea a creșterii nivelului de glucoză în sânge după </w:t>
            </w:r>
            <w:r w:rsidRPr="00384D86">
              <w:rPr>
                <w:rFonts w:ascii="Times New Roman" w:eastAsia="Times New Roman" w:hAnsi="Times New Roman" w:cs="Times New Roman"/>
                <w:sz w:val="24"/>
                <w:szCs w:val="24"/>
                <w:lang w:val="ro-RO" w:eastAsia="ru-RU"/>
              </w:rPr>
              <w:lastRenderedPageBreak/>
              <w:t>consum, comparativ cu alimentele/băuturile care conțin zahăr</w:t>
            </w:r>
          </w:p>
        </w:tc>
        <w:tc>
          <w:tcPr>
            <w:tcW w:w="2184" w:type="pct"/>
            <w:tcBorders>
              <w:top w:val="single" w:sz="6" w:space="0" w:color="000000"/>
              <w:left w:val="single" w:sz="6" w:space="0" w:color="000000"/>
              <w:bottom w:val="single" w:sz="6" w:space="0" w:color="000000"/>
              <w:right w:val="single" w:sz="6" w:space="0" w:color="000000"/>
            </w:tcBorders>
          </w:tcPr>
          <w:p w:rsidR="00EF64A4"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Pentru a putea fi înscrisă mențiunea, zaharurile din produsele alimentare și băuturi ar trebui să fie înlocuite cu înlocuitori ai zahărului, de exemplu cu îndulcitori concentrați, xilitol, sorbitol, manitol, maltitol, lactitol, izomalt, eritritol, sucraloză sau polidextroză sau cu o combinație a acestora, astfel încât alimentele sau băuturile să conțină cantități de zaharuri reduse cel puțin cu cantitatea specificată prin mențiunea CONȚINUT REDUS DE [DENUMIREA </w:t>
            </w:r>
            <w:r w:rsidRPr="00384D86">
              <w:rPr>
                <w:rFonts w:ascii="Times New Roman" w:eastAsia="Times New Roman" w:hAnsi="Times New Roman" w:cs="Times New Roman"/>
                <w:sz w:val="24"/>
                <w:szCs w:val="24"/>
                <w:lang w:val="ro-RO" w:eastAsia="ru-RU"/>
              </w:rPr>
              <w:lastRenderedPageBreak/>
              <w:t xml:space="preserve">NUTRIENTULUI],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D-tagatoza și izomaltuloza ar trebui să substituie cantități echivalente de alte zaharuri în aceeași proporție ca cea prevăzută în mențiunea CONȚINUT REDUS DE [DENUMIREA NUTRIENTULUI],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142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Înlocuitori ai zahărului, precum îndulcitorii concentrați;</w:t>
            </w:r>
          </w:p>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xilitol, sorbitol, manitol, maltitol, lactitol, izomalt, eritritol, sucraloză și polidextroză; </w:t>
            </w:r>
            <w:r w:rsidR="008E4909" w:rsidRPr="00384D86">
              <w:rPr>
                <w:rFonts w:ascii="Times New Roman" w:eastAsia="Times New Roman" w:hAnsi="Times New Roman" w:cs="Times New Roman"/>
                <w:b/>
                <w:sz w:val="24"/>
                <w:szCs w:val="24"/>
                <w:lang w:val="ro-RO" w:eastAsia="ru-RU"/>
              </w:rPr>
              <w:t>alte zaharuri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after="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alimente/băuturi care conțin &lt;denumirea înlocuitorului de zahăr&gt; în loc de zahăr</w:t>
            </w:r>
            <w:r w:rsidR="008E4909" w:rsidRPr="00384D86">
              <w:rPr>
                <w:rFonts w:ascii="Times New Roman" w:eastAsia="Times New Roman" w:hAnsi="Times New Roman" w:cs="Times New Roman"/>
                <w:sz w:val="24"/>
                <w:szCs w:val="24"/>
                <w:lang w:val="ro-RO" w:eastAsia="ru-RU"/>
              </w:rPr>
              <w:t xml:space="preserve"> </w:t>
            </w:r>
            <w:r w:rsidRPr="00384D86">
              <w:rPr>
                <w:rFonts w:ascii="Times New Roman" w:eastAsia="Times New Roman" w:hAnsi="Times New Roman" w:cs="Times New Roman"/>
                <w:sz w:val="24"/>
                <w:szCs w:val="24"/>
                <w:lang w:val="ro-RO" w:eastAsia="ru-RU"/>
              </w:rPr>
              <w:t>contribuie la menținerea mineralizării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zaharurile din produsele alimentare și băuturi ar trebui să fie înlocuite (ceea ce reduce pH-ul plăcii la un nivel sub 5,7) cu înlocuitori ai zahărului, de exemplu cu îndulcitori concentrați, xilitol, sorbitol, manitol, maltitol, lactitol, izomalt, eritritol, D-tagatoză, izomaltuloză, sucraloză sau polidextroză sau cu o combinație a acestora, în cantități care, la consumarea unor astfel de alimente sau băuturi, să nu determine o scădere sub 5,7 a pH-ului plăcii în timpul consumului și pe o durată de până la 30 de minute după consum</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contribuie la menținerea mineralizării dinților</w:t>
            </w:r>
          </w:p>
        </w:tc>
        <w:tc>
          <w:tcPr>
            <w:tcW w:w="2184" w:type="pct"/>
            <w:tcBorders>
              <w:top w:val="single" w:sz="6" w:space="0" w:color="000000"/>
              <w:left w:val="single" w:sz="6" w:space="0" w:color="000000"/>
              <w:bottom w:val="single" w:sz="6" w:space="0" w:color="000000"/>
              <w:right w:val="single" w:sz="6" w:space="0" w:color="000000"/>
            </w:tcBorders>
          </w:tcPr>
          <w:p w:rsidR="00EF64A4"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mestecând, timp de cel puțin 20 de minute, după consumul de mâncare sau băutură.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Gumă de </w:t>
            </w:r>
            <w:r w:rsidRPr="00384D86">
              <w:rPr>
                <w:rFonts w:ascii="Times New Roman" w:eastAsia="Times New Roman" w:hAnsi="Times New Roman" w:cs="Times New Roman"/>
                <w:b/>
                <w:sz w:val="24"/>
                <w:szCs w:val="24"/>
                <w:lang w:val="ro-RO" w:eastAsia="ru-RU"/>
              </w:rPr>
              <w:lastRenderedPageBreak/>
              <w:t>mestecat fără zahăr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Guma de mestecat </w:t>
            </w:r>
            <w:r w:rsidRPr="00384D86">
              <w:rPr>
                <w:rFonts w:ascii="Times New Roman" w:eastAsia="Times New Roman" w:hAnsi="Times New Roman" w:cs="Times New Roman"/>
                <w:sz w:val="24"/>
                <w:szCs w:val="24"/>
                <w:lang w:val="ro-RO" w:eastAsia="ru-RU"/>
              </w:rPr>
              <w:lastRenderedPageBreak/>
              <w:t>fără zahăr contribuie la neutralizarea acizilor din placa dentară</w:t>
            </w:r>
          </w:p>
        </w:tc>
        <w:tc>
          <w:tcPr>
            <w:tcW w:w="2184" w:type="pct"/>
            <w:tcBorders>
              <w:top w:val="single" w:sz="6" w:space="0" w:color="000000"/>
              <w:left w:val="single" w:sz="6" w:space="0" w:color="000000"/>
              <w:bottom w:val="single" w:sz="6" w:space="0" w:color="000000"/>
              <w:right w:val="single" w:sz="6" w:space="0" w:color="000000"/>
            </w:tcBorders>
          </w:tcPr>
          <w:p w:rsidR="00EF64A4"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guma </w:t>
            </w:r>
            <w:r w:rsidRPr="00384D86">
              <w:rPr>
                <w:rFonts w:ascii="Times New Roman" w:eastAsia="Times New Roman" w:hAnsi="Times New Roman" w:cs="Times New Roman"/>
                <w:sz w:val="24"/>
                <w:szCs w:val="24"/>
                <w:lang w:val="ro-RO" w:eastAsia="ru-RU"/>
              </w:rPr>
              <w:lastRenderedPageBreak/>
              <w:t xml:space="preserve">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mestecând, timp de cel puțin 20 de minute, după consumul de mâncare sau băutură.</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145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contribuie la reducerea uscăciunii gurii</w:t>
            </w:r>
          </w:p>
        </w:tc>
        <w:tc>
          <w:tcPr>
            <w:tcW w:w="2184" w:type="pct"/>
            <w:tcBorders>
              <w:top w:val="single" w:sz="6" w:space="0" w:color="000000"/>
              <w:left w:val="single" w:sz="6" w:space="0" w:color="000000"/>
              <w:bottom w:val="single" w:sz="6" w:space="0" w:color="000000"/>
              <w:right w:val="single" w:sz="6" w:space="0" w:color="000000"/>
            </w:tcBorders>
          </w:tcPr>
          <w:p w:rsidR="00EF64A4"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în condițiile unei utilizări a gumei de mestecat de fiecare dată când apare senzația de uscăciune a gurii.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 cu carbamidă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cu carbamidă neutralizează acizii din placa dentară cu o mai mare eficiență decât gumele de mestecat fără zahăr care nu conțin carbamidă</w:t>
            </w:r>
          </w:p>
        </w:tc>
        <w:tc>
          <w:tcPr>
            <w:tcW w:w="2184" w:type="pct"/>
            <w:tcBorders>
              <w:top w:val="single" w:sz="6" w:space="0" w:color="000000"/>
              <w:left w:val="single" w:sz="6" w:space="0" w:color="000000"/>
              <w:bottom w:val="single" w:sz="6" w:space="0" w:color="000000"/>
              <w:right w:val="single" w:sz="6" w:space="0" w:color="000000"/>
            </w:tcBorders>
          </w:tcPr>
          <w:p w:rsidR="00EF64A4"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Fiecare bucată de gumă de mestecat fără zahăr trebuie să conțină cel puțin 20 mg de carbamidă. Pentru a putea fi înscrisă, mențiunea trebuie însoțită de o informare a consumatorului cu privire la faptul că guma ar trebui mestecată timp de cel puțin 20 de minute după consumul de mâncare sau băuturi.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w:t>
            </w:r>
            <w:r w:rsidRPr="00384D86">
              <w:rPr>
                <w:rFonts w:ascii="Times New Roman" w:eastAsia="Times New Roman" w:hAnsi="Times New Roman" w:cs="Times New Roman"/>
                <w:sz w:val="24"/>
                <w:szCs w:val="24"/>
                <w:lang w:val="ro-RO" w:eastAsia="ru-RU"/>
              </w:rPr>
              <w:lastRenderedPageBreak/>
              <w:t xml:space="preserve">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148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funcționarea normală a inimii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metabolismul normal al fierului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w:t>
            </w:r>
            <w:r w:rsidRPr="00384D86">
              <w:rPr>
                <w:rFonts w:ascii="Times New Roman" w:eastAsia="Times New Roman" w:hAnsi="Times New Roman" w:cs="Times New Roman"/>
                <w:sz w:val="24"/>
                <w:szCs w:val="24"/>
                <w:lang w:val="ro-RO" w:eastAsia="ru-RU"/>
              </w:rPr>
              <w:lastRenderedPageBreak/>
              <w:t xml:space="preserve">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153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sănătății membranelor mucoase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vederii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A contribuie la funcționarea normală a sistemului </w:t>
            </w:r>
            <w:r w:rsidRPr="00384D86">
              <w:rPr>
                <w:rFonts w:ascii="Times New Roman" w:eastAsia="Times New Roman" w:hAnsi="Times New Roman" w:cs="Times New Roman"/>
                <w:sz w:val="24"/>
                <w:szCs w:val="24"/>
                <w:lang w:val="ro-RO" w:eastAsia="ru-RU"/>
              </w:rPr>
              <w:lastRenderedPageBreak/>
              <w:t>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A, astfel cum apare în mențiunea SURSĂ DE [DENUMIREA VITAMINEI/VITAMINELOR] ȘI/SAU </w:t>
            </w:r>
            <w:r w:rsidRPr="00384D86">
              <w:rPr>
                <w:rFonts w:ascii="Times New Roman" w:eastAsia="Times New Roman" w:hAnsi="Times New Roman" w:cs="Times New Roman"/>
                <w:sz w:val="24"/>
                <w:szCs w:val="24"/>
                <w:lang w:val="ro-RO" w:eastAsia="ru-RU"/>
              </w:rPr>
              <w:lastRenderedPageBreak/>
              <w:t xml:space="preserve">[DENUMIREA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157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procesul de diferențiere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metabolismul normal al homocisteinei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EF64A4"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161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formarea normală a globulelor roșii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w:t>
            </w:r>
            <w:r w:rsidRPr="00384D86">
              <w:rPr>
                <w:rFonts w:ascii="Times New Roman" w:eastAsia="Times New Roman" w:hAnsi="Times New Roman" w:cs="Times New Roman"/>
                <w:sz w:val="24"/>
                <w:szCs w:val="24"/>
                <w:lang w:val="ro-RO" w:eastAsia="ru-RU"/>
              </w:rPr>
              <w:lastRenderedPageBreak/>
              <w:t xml:space="preserve">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165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sinteza normală a 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w:t>
            </w:r>
            <w:r w:rsidR="00A964B9" w:rsidRPr="00384D86">
              <w:rPr>
                <w:rFonts w:ascii="Times New Roman" w:eastAsia="Times New Roman" w:hAnsi="Times New Roman" w:cs="Times New Roman"/>
                <w:sz w:val="24"/>
                <w:szCs w:val="24"/>
                <w:lang w:val="ro-RO" w:eastAsia="ru-RU"/>
              </w:rPr>
              <w:lastRenderedPageBreak/>
              <w:t>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169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metabolismul normal al homocisteinei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metabolismul normal al proteinelor și al glicogenilor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formarea normală a globulelor roșii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w:t>
            </w:r>
            <w:r w:rsidR="00A964B9" w:rsidRPr="00384D86">
              <w:rPr>
                <w:rFonts w:ascii="Times New Roman" w:eastAsia="Times New Roman" w:hAnsi="Times New Roman" w:cs="Times New Roman"/>
                <w:sz w:val="24"/>
                <w:szCs w:val="24"/>
                <w:lang w:val="ro-RO" w:eastAsia="ru-RU"/>
              </w:rPr>
              <w:lastRenderedPageBreak/>
              <w:t>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173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reglarea activității hormonale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1A0FF6"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menținerea funcționării normale a sistemului imunitar în timpul exercițiilor fizice intense și după acestea</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200 mg de vitamina C. Pentru a putea fi înscrisă, mențiunea trebuie însoțită de o informare a consumatorului cu privire la faptul că efectul benefic se obține în condițiile unui consum zilnic de 200 mg, în plus față de aportul zilnic recomandat de vitamina C.</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177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vaselor de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ligamentelor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gingiilor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C </w:t>
            </w:r>
            <w:r w:rsidRPr="00384D86">
              <w:rPr>
                <w:rFonts w:ascii="Times New Roman" w:eastAsia="Times New Roman" w:hAnsi="Times New Roman" w:cs="Times New Roman"/>
                <w:sz w:val="24"/>
                <w:szCs w:val="24"/>
                <w:lang w:val="ro-RO" w:eastAsia="ru-RU"/>
              </w:rPr>
              <w:lastRenderedPageBreak/>
              <w:t>contribuie la formarea normală a colagenului pentru funcționarea normală a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w:t>
            </w:r>
            <w:r w:rsidRPr="00384D86">
              <w:rPr>
                <w:rFonts w:ascii="Times New Roman" w:eastAsia="Times New Roman" w:hAnsi="Times New Roman" w:cs="Times New Roman"/>
                <w:sz w:val="24"/>
                <w:szCs w:val="24"/>
                <w:lang w:val="ro-RO" w:eastAsia="ru-RU"/>
              </w:rPr>
              <w:lastRenderedPageBreak/>
              <w:t xml:space="preserve">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182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metabolismul energetic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nervos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C contribuie la </w:t>
            </w:r>
            <w:r w:rsidRPr="00384D86">
              <w:rPr>
                <w:rFonts w:ascii="Times New Roman" w:eastAsia="Times New Roman" w:hAnsi="Times New Roman" w:cs="Times New Roman"/>
                <w:sz w:val="24"/>
                <w:szCs w:val="24"/>
                <w:lang w:val="ro-RO" w:eastAsia="ru-RU"/>
              </w:rPr>
              <w:lastRenderedPageBreak/>
              <w:t>menținerea sănătății psihice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w:t>
            </w:r>
            <w:r w:rsidRPr="00384D86">
              <w:rPr>
                <w:rFonts w:ascii="Times New Roman" w:eastAsia="Times New Roman" w:hAnsi="Times New Roman" w:cs="Times New Roman"/>
                <w:sz w:val="24"/>
                <w:szCs w:val="24"/>
                <w:lang w:val="ro-RO" w:eastAsia="ru-RU"/>
              </w:rPr>
              <w:lastRenderedPageBreak/>
              <w:t xml:space="preserve">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186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reducerea oboselii și extenuării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C contribuie la regenerarea formei </w:t>
            </w:r>
            <w:r w:rsidRPr="00384D86">
              <w:rPr>
                <w:rFonts w:ascii="Times New Roman" w:eastAsia="Times New Roman" w:hAnsi="Times New Roman" w:cs="Times New Roman"/>
                <w:sz w:val="24"/>
                <w:szCs w:val="24"/>
                <w:lang w:val="ro-RO" w:eastAsia="ru-RU"/>
              </w:rPr>
              <w:lastRenderedPageBreak/>
              <w:t>reduse a vitaminei 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C, astfel cum apare în </w:t>
            </w:r>
            <w:r w:rsidRPr="00384D86">
              <w:rPr>
                <w:rFonts w:ascii="Times New Roman" w:eastAsia="Times New Roman" w:hAnsi="Times New Roman" w:cs="Times New Roman"/>
                <w:sz w:val="24"/>
                <w:szCs w:val="24"/>
                <w:lang w:val="ro-RO" w:eastAsia="ru-RU"/>
              </w:rPr>
              <w:lastRenderedPageBreak/>
              <w:t xml:space="preserve">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190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crește absorbția fierului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absorbția/utilizarea normală a calciului și fosforului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concentrațiilor normale de calciu în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D contribuie la menținerea sănătății </w:t>
            </w:r>
            <w:r w:rsidRPr="00384D86">
              <w:rPr>
                <w:rFonts w:ascii="Times New Roman" w:eastAsia="Times New Roman" w:hAnsi="Times New Roman" w:cs="Times New Roman"/>
                <w:sz w:val="24"/>
                <w:szCs w:val="24"/>
                <w:lang w:val="ro-RO" w:eastAsia="ru-RU"/>
              </w:rPr>
              <w:lastRenderedPageBreak/>
              <w:t>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D, astfel cum apare în mențiunea SURSĂ DE [DENUMIREA </w:t>
            </w:r>
            <w:r w:rsidRPr="00384D86">
              <w:rPr>
                <w:rFonts w:ascii="Times New Roman" w:eastAsia="Times New Roman" w:hAnsi="Times New Roman" w:cs="Times New Roman"/>
                <w:sz w:val="24"/>
                <w:szCs w:val="24"/>
                <w:lang w:val="ro-RO" w:eastAsia="ru-RU"/>
              </w:rPr>
              <w:lastRenderedPageBreak/>
              <w:t>VITAMINEI/VITAMINELOR] ȘI/SAU [DENUMIREA MINERALULUI/MINERALELOR], prevăzută în anexa la Regulamentul (CE) nr. 1924/2006.</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194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funcției normale a sistemului muscular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sănătății dinților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participă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w:t>
            </w:r>
            <w:r w:rsidRPr="00384D86">
              <w:rPr>
                <w:rFonts w:ascii="Times New Roman" w:eastAsia="Times New Roman" w:hAnsi="Times New Roman" w:cs="Times New Roman"/>
                <w:sz w:val="24"/>
                <w:szCs w:val="24"/>
                <w:lang w:val="ro-RO" w:eastAsia="ru-RU"/>
              </w:rPr>
              <w:lastRenderedPageBreak/>
              <w:t>prevăzută în anexa la Regulamentul (CE) nr. 1924/2006.</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198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E</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E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E,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K</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K contribuie la coagularea normală a sângelui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K,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K</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K contribuie la menținerea sănătății 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K,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Nuci</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Nucile contribuie la îmbunătățirea elasticității vaselor de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30 g de nuci. Pentru a putea fi înscrisă, mențiunea trebuie însoțită de o informare a consumatorului cu privire la faptul că efectul benefic se obține în condițiile unui consum zilnic de 30 g de nuci.</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Apă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Apa contribuie la menținerea </w:t>
            </w:r>
            <w:r w:rsidRPr="00384D86">
              <w:rPr>
                <w:rFonts w:ascii="Times New Roman" w:eastAsia="Times New Roman" w:hAnsi="Times New Roman" w:cs="Times New Roman"/>
                <w:sz w:val="24"/>
                <w:szCs w:val="24"/>
                <w:lang w:val="ro-RO" w:eastAsia="ru-RU"/>
              </w:rPr>
              <w:lastRenderedPageBreak/>
              <w:t>funcțiilor fizice și cognitive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Pentru a putea fi înscrisă, mențiunea trebuie însoțită de o informare a consumatorului cu </w:t>
            </w:r>
            <w:r w:rsidRPr="00384D86">
              <w:rPr>
                <w:rFonts w:ascii="Times New Roman" w:eastAsia="Times New Roman" w:hAnsi="Times New Roman" w:cs="Times New Roman"/>
                <w:sz w:val="24"/>
                <w:szCs w:val="24"/>
                <w:lang w:val="ro-RO" w:eastAsia="ru-RU"/>
              </w:rPr>
              <w:lastRenderedPageBreak/>
              <w:t>privire la faptul că, pentru a se obține efectul menționat, ar trebui să se consume cel puțin 2 litri de apă pe zi, din toate sursele.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w:t>
            </w:r>
            <w:r w:rsidRPr="00384D86">
              <w:rPr>
                <w:rFonts w:ascii="Times New Roman" w:eastAsia="Times New Roman" w:hAnsi="Times New Roman" w:cs="Times New Roman"/>
                <w:sz w:val="24"/>
                <w:szCs w:val="24"/>
                <w:lang w:val="ro-RO" w:eastAsia="ru-RU"/>
              </w:rPr>
              <w:lastRenderedPageBreak/>
              <w:t>pentru apa care îndeplinește cerințele Directivelor 2009/54/CE și/sau 98/83/CE</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203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Apă</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Apa contribuie la menținerea reglării normale a temperaturii corpului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pentru a se obține efectul menționat, ar trebui să se consume cel puțin 2 litri de apă pe zi, din toate sursele.</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apa care îndeplinește cerințele Directivelor 2009/54/CE și/sau 98/83/CE</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tărâțele de grâu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tărâțele de grâu contribuie la accelerarea tranzitului intestinal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având un conținut bogat în astfel de fibre, astfel cum apare la mențiunea BOGAT ÎN FIBRE, prevăzută în anexa la Regulamentul (CE) nr. 1924/2006. Pentru a putea fi înscrisă, mențiunea trebuie însoțită de o informare a consumatorului cu privire la faptul că efectul menționat se obține în condițiile unui consum zilnic de cel puțin 10 g de fibre din tărâțe de grâu.</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tărâțele de grâu</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tărâțele de grâu contribuie la creșterea volumului bolului fecal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acido-bazic normal</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w:t>
            </w:r>
            <w:r w:rsidRPr="00384D86">
              <w:rPr>
                <w:rFonts w:ascii="Times New Roman" w:eastAsia="Times New Roman" w:hAnsi="Times New Roman" w:cs="Times New Roman"/>
                <w:sz w:val="24"/>
                <w:szCs w:val="24"/>
                <w:lang w:val="ro-RO" w:eastAsia="ru-RU"/>
              </w:rPr>
              <w:lastRenderedPageBreak/>
              <w:t>la metabolismul normal al carbohidraților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w:t>
            </w:r>
            <w:r w:rsidRPr="00384D86">
              <w:rPr>
                <w:rFonts w:ascii="Times New Roman" w:eastAsia="Times New Roman" w:hAnsi="Times New Roman" w:cs="Times New Roman"/>
                <w:sz w:val="24"/>
                <w:szCs w:val="24"/>
                <w:lang w:val="ro-RO" w:eastAsia="ru-RU"/>
              </w:rPr>
              <w:lastRenderedPageBreak/>
              <w:t xml:space="preserve">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208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funcția cognitivă normală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sinteza normală de ADN</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fertilității și reproducerii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la metabolismul </w:t>
            </w:r>
            <w:r w:rsidRPr="00384D86">
              <w:rPr>
                <w:rFonts w:ascii="Times New Roman" w:eastAsia="Times New Roman" w:hAnsi="Times New Roman" w:cs="Times New Roman"/>
                <w:sz w:val="24"/>
                <w:szCs w:val="24"/>
                <w:lang w:val="ro-RO" w:eastAsia="ru-RU"/>
              </w:rPr>
              <w:lastRenderedPageBreak/>
              <w:t>normal al macronutrienților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w:t>
            </w:r>
            <w:r w:rsidRPr="00384D86">
              <w:rPr>
                <w:rFonts w:ascii="Times New Roman" w:eastAsia="Times New Roman" w:hAnsi="Times New Roman" w:cs="Times New Roman"/>
                <w:sz w:val="24"/>
                <w:szCs w:val="24"/>
                <w:lang w:val="ro-RO" w:eastAsia="ru-RU"/>
              </w:rPr>
              <w:lastRenderedPageBreak/>
              <w:t xml:space="preserve">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212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normal al acizilor grași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normal al vitaminei A</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214</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sinteza normală a proteinelor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215</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la menținerea sănătății </w:t>
            </w:r>
            <w:r w:rsidRPr="00384D86">
              <w:rPr>
                <w:rFonts w:ascii="Times New Roman" w:eastAsia="Times New Roman" w:hAnsi="Times New Roman" w:cs="Times New Roman"/>
                <w:sz w:val="24"/>
                <w:szCs w:val="24"/>
                <w:lang w:val="ro-RO" w:eastAsia="ru-RU"/>
              </w:rPr>
              <w:lastRenderedPageBreak/>
              <w:t>sistemului osos</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zinc, astfel cum apare în mențiunea </w:t>
            </w:r>
            <w:r w:rsidRPr="00384D86">
              <w:rPr>
                <w:rFonts w:ascii="Times New Roman" w:eastAsia="Times New Roman" w:hAnsi="Times New Roman" w:cs="Times New Roman"/>
                <w:sz w:val="24"/>
                <w:szCs w:val="24"/>
                <w:lang w:val="ro-RO" w:eastAsia="ru-RU"/>
              </w:rPr>
              <w:lastRenderedPageBreak/>
              <w:t xml:space="preserve">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216</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părului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217</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unghiilor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218</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pielii</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219</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la menținerea concentrațiilor normale de </w:t>
            </w:r>
            <w:r w:rsidRPr="00384D86">
              <w:rPr>
                <w:rFonts w:ascii="Times New Roman" w:eastAsia="Times New Roman" w:hAnsi="Times New Roman" w:cs="Times New Roman"/>
                <w:sz w:val="24"/>
                <w:szCs w:val="24"/>
                <w:lang w:val="ro-RO" w:eastAsia="ru-RU"/>
              </w:rPr>
              <w:lastRenderedPageBreak/>
              <w:t>testosteron din sânge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zinc, astfel cum apare în mențiunea SURSĂ DE [DENUMIREA </w:t>
            </w:r>
            <w:r w:rsidRPr="00384D86">
              <w:rPr>
                <w:rFonts w:ascii="Times New Roman" w:eastAsia="Times New Roman" w:hAnsi="Times New Roman" w:cs="Times New Roman"/>
                <w:sz w:val="24"/>
                <w:szCs w:val="24"/>
                <w:lang w:val="ro-RO" w:eastAsia="ru-RU"/>
              </w:rPr>
              <w:lastRenderedPageBreak/>
              <w:t xml:space="preserve">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220</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vederii normale</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221</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funcționarea normală a sistemului imunitar</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222</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protejarea celulelor împotriva stresului oxidativ</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627A3C" w:rsidRPr="00384D86" w:rsidRDefault="000538DE"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223</w:t>
            </w:r>
          </w:p>
        </w:tc>
        <w:tc>
          <w:tcPr>
            <w:tcW w:w="63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15"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procesul de diviziune celulară</w:t>
            </w:r>
          </w:p>
        </w:tc>
        <w:tc>
          <w:tcPr>
            <w:tcW w:w="218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w:t>
            </w:r>
            <w:r w:rsidRPr="00384D86">
              <w:rPr>
                <w:rFonts w:ascii="Times New Roman" w:eastAsia="Times New Roman" w:hAnsi="Times New Roman" w:cs="Times New Roman"/>
                <w:sz w:val="24"/>
                <w:szCs w:val="24"/>
                <w:lang w:val="ro-RO" w:eastAsia="ru-RU"/>
              </w:rPr>
              <w:lastRenderedPageBreak/>
              <w:t xml:space="preserve">[DENUMIREA MINERALULUI/MINERALELOR], prevăzută în anexa la </w:t>
            </w:r>
            <w:r w:rsidR="00A964B9"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tcPr>
          <w:p w:rsidR="00627A3C" w:rsidRPr="00384D86" w:rsidRDefault="00627A3C" w:rsidP="00384D86">
            <w:pPr>
              <w:spacing w:before="120" w:after="0" w:line="276"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D909BA"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D909BA" w:rsidRPr="00384D86" w:rsidRDefault="00D909BA" w:rsidP="00384D86">
            <w:pPr>
              <w:spacing w:before="60" w:after="60" w:line="276"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224</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b/>
                <w:color w:val="444444"/>
                <w:lang w:val="ro-RO"/>
              </w:rPr>
            </w:pPr>
            <w:r w:rsidRPr="00384D86">
              <w:rPr>
                <w:b/>
                <w:color w:val="444444"/>
                <w:lang w:val="ro-RO"/>
              </w:rPr>
              <w:t>Glucide</w:t>
            </w:r>
          </w:p>
        </w:tc>
        <w:tc>
          <w:tcPr>
            <w:tcW w:w="915"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Glucidele contribuie la recuperarea funcționării normale a mușchilor (contracție) după un exercițiu fizic foarte intens și/sau de lungă durată, care conduce la oboseală musculară și la epuizarea depozitelor de glicogen din mușchiul scheletic.</w:t>
            </w:r>
          </w:p>
        </w:tc>
        <w:tc>
          <w:tcPr>
            <w:tcW w:w="218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Mențiunea poate fi utilizată doar pentru produsele alimentare care furnizează glucide care sunt metabolizate de oameni (cu excepția poliolilor).</w:t>
            </w:r>
          </w:p>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Trebuie însoțită de o informare a consumatorului cu privire la faptul că efectul benefic se obține în condițiile consumului de glucide, din toate sursele, la o doză totală de 4 g per kg de greutate corporală, în doze administrate în primele patru ore și nu mai târziu de șase ore, în urma unui exercițiu fizic foarte intens și/sau de lungă durată, care conduce la oboseală musculară și la epuizarea depozitelor de glicogen din mușchiul scheletic.</w:t>
            </w:r>
          </w:p>
        </w:tc>
        <w:tc>
          <w:tcPr>
            <w:tcW w:w="91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Mențiunea poate fi utilizată doar pentru produsele alimentare destinate adulților care au efectuat un exercițiu fizic foarte intens și/sau de lungă durată, care conduce la oboseală musculară și la epuizarea depozitelor de glicogen din mușchiul scheletic.</w:t>
            </w:r>
          </w:p>
        </w:tc>
      </w:tr>
      <w:tr w:rsidR="00D909BA"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D909BA" w:rsidRPr="00384D86" w:rsidRDefault="00D909BA" w:rsidP="00384D86">
            <w:pPr>
              <w:spacing w:before="60" w:after="60" w:line="276" w:lineRule="auto"/>
              <w:textAlignment w:val="baseline"/>
              <w:rPr>
                <w:rFonts w:ascii="Times New Roman" w:eastAsia="Times New Roman" w:hAnsi="Times New Roman" w:cs="Times New Roman"/>
                <w:color w:val="000000" w:themeColor="text1"/>
                <w:sz w:val="24"/>
                <w:szCs w:val="24"/>
                <w:lang w:val="ro-RO" w:eastAsia="ru-RU"/>
              </w:rPr>
            </w:pPr>
            <w:r w:rsidRPr="00384D86">
              <w:rPr>
                <w:rFonts w:ascii="Times New Roman" w:eastAsia="Times New Roman" w:hAnsi="Times New Roman" w:cs="Times New Roman"/>
                <w:color w:val="000000" w:themeColor="text1"/>
                <w:sz w:val="24"/>
                <w:szCs w:val="24"/>
                <w:lang w:val="ro-RO" w:eastAsia="ru-RU"/>
              </w:rPr>
              <w:t>225</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b/>
                <w:color w:val="000000" w:themeColor="text1"/>
                <w:lang w:val="ro-RO"/>
              </w:rPr>
            </w:pPr>
            <w:r w:rsidRPr="00384D86">
              <w:rPr>
                <w:b/>
                <w:color w:val="000000" w:themeColor="text1"/>
                <w:lang w:val="ro-RO"/>
              </w:rPr>
              <w:t>Băutură nealcoolică acidă reformulată care conține: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5"/>
              <w:gridCol w:w="1043"/>
            </w:tblGrid>
            <w:tr w:rsidR="00D909BA" w:rsidRPr="00384D86" w:rsidTr="00D909BA">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t>mai puțin de 1 g de carbohidrați fermentabili per 100 ml (zaharuri și alți carbohidrați, cu excepția poliolilor);</w:t>
                  </w:r>
                </w:p>
              </w:tc>
            </w:tr>
            <w:tr w:rsidR="00D909BA" w:rsidRPr="00384D86" w:rsidTr="00D909BA">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t xml:space="preserve">calciu în </w:t>
                  </w:r>
                  <w:r w:rsidRPr="00384D86">
                    <w:rPr>
                      <w:b/>
                      <w:color w:val="000000" w:themeColor="text1"/>
                      <w:lang w:val="ro-RO"/>
                    </w:rPr>
                    <w:lastRenderedPageBreak/>
                    <w:t>intervalul 0,3-0,8 mol per mol de acidifiant;</w:t>
                  </w:r>
                </w:p>
              </w:tc>
            </w:tr>
            <w:tr w:rsidR="00D909BA" w:rsidRPr="00384D86" w:rsidTr="00D909BA">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lastRenderedPageBreak/>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909BA" w:rsidRPr="00384D86" w:rsidRDefault="00D909BA" w:rsidP="00384D86">
                  <w:pPr>
                    <w:pStyle w:val="2"/>
                    <w:spacing w:before="120" w:beforeAutospacing="0" w:after="0" w:afterAutospacing="0" w:line="276" w:lineRule="auto"/>
                    <w:jc w:val="both"/>
                    <w:textAlignment w:val="baseline"/>
                    <w:rPr>
                      <w:b/>
                      <w:color w:val="000000" w:themeColor="text1"/>
                      <w:lang w:val="ro-RO"/>
                    </w:rPr>
                  </w:pPr>
                  <w:r w:rsidRPr="00384D86">
                    <w:rPr>
                      <w:b/>
                      <w:color w:val="000000" w:themeColor="text1"/>
                      <w:lang w:val="ro-RO"/>
                    </w:rPr>
                    <w:t>pH în intervalul 3,7-4,0.</w:t>
                  </w:r>
                </w:p>
              </w:tc>
            </w:tr>
          </w:tbl>
          <w:p w:rsidR="00D909BA" w:rsidRPr="00384D86" w:rsidRDefault="00D909BA" w:rsidP="00384D86">
            <w:pPr>
              <w:spacing w:line="276" w:lineRule="auto"/>
              <w:rPr>
                <w:rFonts w:ascii="Times New Roman" w:hAnsi="Times New Roman" w:cs="Times New Roman"/>
                <w:b/>
                <w:color w:val="000000" w:themeColor="text1"/>
                <w:sz w:val="24"/>
                <w:szCs w:val="24"/>
                <w:lang w:val="ro-RO"/>
              </w:rPr>
            </w:pPr>
          </w:p>
        </w:tc>
        <w:tc>
          <w:tcPr>
            <w:tcW w:w="915"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0" w:beforeAutospacing="0" w:after="0" w:afterAutospacing="0" w:line="276" w:lineRule="auto"/>
              <w:textAlignment w:val="baseline"/>
              <w:rPr>
                <w:color w:val="000000" w:themeColor="text1"/>
                <w:lang w:val="ro-RO"/>
              </w:rPr>
            </w:pPr>
            <w:r w:rsidRPr="00384D86">
              <w:rPr>
                <w:color w:val="000000" w:themeColor="text1"/>
                <w:lang w:val="ro-RO"/>
              </w:rPr>
              <w:lastRenderedPageBreak/>
              <w:t>Înlocuirea băuturilor acide cu conținut de zahăr precum băuturile răcoritoare (de obicei 8-12 g zaharuri/100 ml) cu băuturi reformulate contribuie la menținerea mineralizării dinților</w:t>
            </w:r>
          </w:p>
        </w:tc>
        <w:tc>
          <w:tcPr>
            <w:tcW w:w="218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r w:rsidRPr="00384D86">
              <w:rPr>
                <w:color w:val="000000" w:themeColor="text1"/>
                <w:lang w:val="ro-RO"/>
              </w:rPr>
              <w:t>Pentru ca mențiunea să poată fi utilizată, băuturile acide reformulate trebuie să fie conforme cu descrierea produsului alimentar care face obiectul mențiunii.</w:t>
            </w:r>
          </w:p>
        </w:tc>
        <w:tc>
          <w:tcPr>
            <w:tcW w:w="91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p>
        </w:tc>
      </w:tr>
      <w:tr w:rsidR="00D909BA"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D909BA" w:rsidRPr="00384D86" w:rsidRDefault="00D909BA" w:rsidP="00384D86">
            <w:pPr>
              <w:spacing w:before="60" w:after="60" w:line="276" w:lineRule="auto"/>
              <w:textAlignment w:val="baseline"/>
              <w:rPr>
                <w:rFonts w:ascii="Times New Roman" w:eastAsia="Times New Roman" w:hAnsi="Times New Roman" w:cs="Times New Roman"/>
                <w:color w:val="000000" w:themeColor="text1"/>
                <w:sz w:val="24"/>
                <w:szCs w:val="24"/>
                <w:lang w:val="ro-RO" w:eastAsia="ru-RU"/>
              </w:rPr>
            </w:pPr>
            <w:r w:rsidRPr="00384D86">
              <w:rPr>
                <w:rFonts w:ascii="Times New Roman" w:eastAsia="Times New Roman" w:hAnsi="Times New Roman" w:cs="Times New Roman"/>
                <w:color w:val="000000" w:themeColor="text1"/>
                <w:sz w:val="24"/>
                <w:szCs w:val="24"/>
                <w:lang w:val="ro-RO" w:eastAsia="ru-RU"/>
              </w:rPr>
              <w:lastRenderedPageBreak/>
              <w:t>226</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b/>
                <w:color w:val="000000" w:themeColor="text1"/>
                <w:lang w:val="ro-RO"/>
              </w:rPr>
            </w:pPr>
            <w:r w:rsidRPr="00384D86">
              <w:rPr>
                <w:b/>
                <w:color w:val="000000" w:themeColor="text1"/>
                <w:lang w:val="ro-RO"/>
              </w:rPr>
              <w:t>Amidon lent digerabil</w:t>
            </w:r>
          </w:p>
        </w:tc>
        <w:tc>
          <w:tcPr>
            <w:tcW w:w="915"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0" w:beforeAutospacing="0" w:after="0" w:afterAutospacing="0" w:line="276" w:lineRule="auto"/>
              <w:textAlignment w:val="baseline"/>
              <w:rPr>
                <w:color w:val="000000" w:themeColor="text1"/>
                <w:lang w:val="ro-RO"/>
              </w:rPr>
            </w:pPr>
            <w:r w:rsidRPr="00384D86">
              <w:rPr>
                <w:color w:val="000000" w:themeColor="text1"/>
                <w:lang w:val="ro-RO"/>
              </w:rPr>
              <w:t>Consumul de produse bogate în amidon lent digerabil (SDS) determină o creștere mai redusă a concentrației de glucoză din sânge după mese decât consumul de produse cu conținut redus de SDS</w:t>
            </w:r>
          </w:p>
        </w:tc>
        <w:tc>
          <w:tcPr>
            <w:tcW w:w="218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r w:rsidRPr="00384D86">
              <w:rPr>
                <w:color w:val="000000" w:themeColor="text1"/>
                <w:lang w:val="ro-RO"/>
              </w:rPr>
              <w:t>Mențiunea poate fi utilizată doar pentru alimentele în cazul cărora carbohidrații digerabili asigură cel puțin 60 % din aportul energetic total, iar cel puțin 55 % din acești carbohidrați reprezintă amidon digerabil, din care cel puțin 40 % reprezintă SDS.</w:t>
            </w:r>
          </w:p>
        </w:tc>
        <w:tc>
          <w:tcPr>
            <w:tcW w:w="91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p>
        </w:tc>
      </w:tr>
      <w:tr w:rsidR="00D909BA"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D909BA" w:rsidRPr="00384D86" w:rsidRDefault="00D909BA" w:rsidP="00384D86">
            <w:pPr>
              <w:spacing w:before="60" w:after="60" w:line="276" w:lineRule="auto"/>
              <w:textAlignment w:val="baseline"/>
              <w:rPr>
                <w:rFonts w:ascii="Times New Roman" w:eastAsia="Times New Roman" w:hAnsi="Times New Roman" w:cs="Times New Roman"/>
                <w:color w:val="000000" w:themeColor="text1"/>
                <w:sz w:val="24"/>
                <w:szCs w:val="24"/>
                <w:lang w:val="ro-RO" w:eastAsia="ru-RU"/>
              </w:rPr>
            </w:pPr>
            <w:r w:rsidRPr="00384D86">
              <w:rPr>
                <w:rFonts w:ascii="Times New Roman" w:eastAsia="Times New Roman" w:hAnsi="Times New Roman" w:cs="Times New Roman"/>
                <w:color w:val="000000" w:themeColor="text1"/>
                <w:sz w:val="24"/>
                <w:szCs w:val="24"/>
                <w:lang w:val="ro-RO" w:eastAsia="ru-RU"/>
              </w:rPr>
              <w:t>227</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b/>
                <w:color w:val="000000" w:themeColor="text1"/>
                <w:lang w:val="ro-RO"/>
              </w:rPr>
            </w:pPr>
            <w:r w:rsidRPr="00384D86">
              <w:rPr>
                <w:b/>
                <w:color w:val="000000" w:themeColor="text1"/>
                <w:lang w:val="ro-RO"/>
              </w:rPr>
              <w:t>Flavanoli din cacao</w:t>
            </w:r>
          </w:p>
        </w:tc>
        <w:tc>
          <w:tcPr>
            <w:tcW w:w="915"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0" w:beforeAutospacing="0" w:after="0" w:afterAutospacing="0" w:line="276" w:lineRule="auto"/>
              <w:textAlignment w:val="baseline"/>
              <w:rPr>
                <w:color w:val="000000" w:themeColor="text1"/>
                <w:lang w:val="ro-RO"/>
              </w:rPr>
            </w:pPr>
            <w:r w:rsidRPr="00384D86">
              <w:rPr>
                <w:color w:val="000000" w:themeColor="text1"/>
                <w:lang w:val="ro-RO"/>
              </w:rPr>
              <w:t>Flavanolii din cacao ajută la menținerea elasticității vaselor de sânge, contribuind la menținerea unui flux sanguin normal</w:t>
            </w:r>
            <w:r w:rsidRPr="00384D86">
              <w:rPr>
                <w:color w:val="000000" w:themeColor="text1"/>
                <w:bdr w:val="none" w:sz="0" w:space="0" w:color="auto" w:frame="1"/>
                <w:lang w:val="ro-RO"/>
              </w:rPr>
              <w:t> </w:t>
            </w:r>
          </w:p>
        </w:tc>
        <w:tc>
          <w:tcPr>
            <w:tcW w:w="218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r w:rsidRPr="00384D86">
              <w:rPr>
                <w:color w:val="000000" w:themeColor="text1"/>
                <w:lang w:val="ro-RO"/>
              </w:rPr>
              <w:t>Consumatorul este informat cu privire la faptul că efectul benefic se obține în condițiile unui consum zilnic de 200 mg de flavanoli din cacao.</w:t>
            </w:r>
          </w:p>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r w:rsidRPr="00384D86">
              <w:rPr>
                <w:color w:val="000000" w:themeColor="text1"/>
                <w:lang w:val="ro-RO"/>
              </w:rPr>
              <w:t>Mențiunea poate fi utilizată numai pentru băuturile care conțin cacao (pudră de cacao) sau pentru ciocolata neagră care presupun un aport zilnic de minimum 200 mg de flavanoli din cacao cu un grad de polimerizare în intervalul 1-10.</w:t>
            </w:r>
          </w:p>
        </w:tc>
        <w:tc>
          <w:tcPr>
            <w:tcW w:w="91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p>
        </w:tc>
      </w:tr>
      <w:tr w:rsidR="00D909BA" w:rsidRPr="00384D86" w:rsidTr="00D909BA">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rsidR="00D909BA" w:rsidRPr="00384D86" w:rsidRDefault="00D909BA" w:rsidP="00384D86">
            <w:pPr>
              <w:spacing w:before="60" w:after="60" w:line="276" w:lineRule="auto"/>
              <w:textAlignment w:val="baseline"/>
              <w:rPr>
                <w:rFonts w:ascii="Times New Roman" w:eastAsia="Times New Roman" w:hAnsi="Times New Roman" w:cs="Times New Roman"/>
                <w:color w:val="000000" w:themeColor="text1"/>
                <w:sz w:val="24"/>
                <w:szCs w:val="24"/>
                <w:lang w:val="ro-RO" w:eastAsia="ru-RU"/>
              </w:rPr>
            </w:pPr>
            <w:r w:rsidRPr="00384D86">
              <w:rPr>
                <w:rFonts w:ascii="Times New Roman" w:eastAsia="Times New Roman" w:hAnsi="Times New Roman" w:cs="Times New Roman"/>
                <w:color w:val="000000" w:themeColor="text1"/>
                <w:sz w:val="24"/>
                <w:szCs w:val="24"/>
                <w:lang w:val="ro-RO" w:eastAsia="ru-RU"/>
              </w:rPr>
              <w:t>228</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b/>
                <w:color w:val="444444"/>
                <w:lang w:val="ro-RO"/>
              </w:rPr>
            </w:pPr>
            <w:r w:rsidRPr="00384D86">
              <w:rPr>
                <w:b/>
                <w:color w:val="444444"/>
                <w:lang w:val="ro-RO"/>
              </w:rPr>
              <w:t>Fibrele din sfecla de zahăr</w:t>
            </w:r>
          </w:p>
        </w:tc>
        <w:tc>
          <w:tcPr>
            <w:tcW w:w="915"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Fibrele din sfecla de zahăr contribuie la creșterea volumului bolului fecal</w:t>
            </w:r>
          </w:p>
        </w:tc>
        <w:tc>
          <w:tcPr>
            <w:tcW w:w="218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444444"/>
                <w:lang w:val="ro-RO"/>
              </w:rPr>
            </w:pPr>
            <w:r w:rsidRPr="00384D86">
              <w:rPr>
                <w:color w:val="444444"/>
                <w:lang w:val="ro-RO"/>
              </w:rPr>
              <w:t xml:space="preserve">Mențiunea poate fi utilizată doar pentru produsele alimentare având un conținut bogat în astfel de fibre, astfel cum apare la mențiunea BOGAT ÎN FIBRE, prevăzută în anexa la </w:t>
            </w:r>
            <w:r w:rsidRPr="00384D86">
              <w:rPr>
                <w:lang w:val="ro-RO"/>
              </w:rPr>
              <w:t>Regulamentul sanitar privind mențiunile nutriționale și de sănătate înscrise pe produsele alimentare, aprobat prin Hotărîrea Guvernului nr. 196 din 25.03.2011.</w:t>
            </w:r>
          </w:p>
        </w:tc>
        <w:tc>
          <w:tcPr>
            <w:tcW w:w="914" w:type="pct"/>
            <w:tcBorders>
              <w:top w:val="single" w:sz="6" w:space="0" w:color="000000"/>
              <w:left w:val="single" w:sz="6" w:space="0" w:color="000000"/>
              <w:bottom w:val="single" w:sz="6" w:space="0" w:color="000000"/>
              <w:right w:val="single" w:sz="6" w:space="0" w:color="000000"/>
            </w:tcBorders>
            <w:shd w:val="clear" w:color="auto" w:fill="FFFFFF"/>
          </w:tcPr>
          <w:p w:rsidR="00D909BA" w:rsidRPr="00384D86" w:rsidRDefault="00D909BA" w:rsidP="00384D86">
            <w:pPr>
              <w:pStyle w:val="tbl-txt"/>
              <w:spacing w:before="60" w:beforeAutospacing="0" w:after="60" w:afterAutospacing="0" w:line="276" w:lineRule="auto"/>
              <w:textAlignment w:val="baseline"/>
              <w:rPr>
                <w:color w:val="000000" w:themeColor="text1"/>
                <w:lang w:val="ro-RO"/>
              </w:rPr>
            </w:pPr>
          </w:p>
        </w:tc>
      </w:tr>
    </w:tbl>
    <w:p w:rsidR="00C95F91" w:rsidRPr="00384D86" w:rsidRDefault="00C95F91" w:rsidP="00384D86">
      <w:pPr>
        <w:shd w:val="clear" w:color="auto" w:fill="FFFFFF"/>
        <w:spacing w:before="240" w:after="60" w:line="276" w:lineRule="auto"/>
        <w:textAlignment w:val="baseline"/>
        <w:rPr>
          <w:rFonts w:ascii="Times New Roman" w:eastAsia="Times New Roman" w:hAnsi="Times New Roman" w:cs="Times New Roman"/>
          <w:color w:val="000000" w:themeColor="text1"/>
          <w:sz w:val="24"/>
          <w:szCs w:val="24"/>
          <w:lang w:val="ro-RO" w:eastAsia="ru-RU"/>
        </w:rPr>
      </w:pPr>
    </w:p>
    <w:sectPr w:rsidR="00C95F91" w:rsidRPr="00384D86" w:rsidSect="008A7EE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06B6"/>
    <w:multiLevelType w:val="hybridMultilevel"/>
    <w:tmpl w:val="254405EE"/>
    <w:lvl w:ilvl="0" w:tplc="5680D7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75159"/>
    <w:multiLevelType w:val="hybridMultilevel"/>
    <w:tmpl w:val="EAB82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B160FC"/>
    <w:multiLevelType w:val="hybridMultilevel"/>
    <w:tmpl w:val="2C644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F255DF"/>
    <w:multiLevelType w:val="hybridMultilevel"/>
    <w:tmpl w:val="7F74051E"/>
    <w:lvl w:ilvl="0" w:tplc="07B40970">
      <w:start w:val="1"/>
      <w:numFmt w:val="decimal"/>
      <w:lvlText w:val="%1."/>
      <w:lvlJc w:val="left"/>
      <w:pPr>
        <w:ind w:left="720" w:hanging="360"/>
      </w:pPr>
      <w:rPr>
        <w:rFonts w:eastAsia="Calibr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13"/>
    <w:rsid w:val="00017D21"/>
    <w:rsid w:val="000267B7"/>
    <w:rsid w:val="000538DE"/>
    <w:rsid w:val="000D6713"/>
    <w:rsid w:val="00137288"/>
    <w:rsid w:val="001A0FF6"/>
    <w:rsid w:val="001D1405"/>
    <w:rsid w:val="002C6F40"/>
    <w:rsid w:val="00313751"/>
    <w:rsid w:val="00384D86"/>
    <w:rsid w:val="003D6EA6"/>
    <w:rsid w:val="00565E2F"/>
    <w:rsid w:val="00627A3C"/>
    <w:rsid w:val="00712D21"/>
    <w:rsid w:val="00842999"/>
    <w:rsid w:val="0086669D"/>
    <w:rsid w:val="008970D5"/>
    <w:rsid w:val="008A7EEF"/>
    <w:rsid w:val="008E4909"/>
    <w:rsid w:val="00A964B9"/>
    <w:rsid w:val="00AE342D"/>
    <w:rsid w:val="00AF7934"/>
    <w:rsid w:val="00C95F91"/>
    <w:rsid w:val="00CB7451"/>
    <w:rsid w:val="00D05277"/>
    <w:rsid w:val="00D27372"/>
    <w:rsid w:val="00D909BA"/>
    <w:rsid w:val="00E76694"/>
    <w:rsid w:val="00EF64A4"/>
    <w:rsid w:val="00F004E6"/>
    <w:rsid w:val="00F21517"/>
    <w:rsid w:val="00F27EE7"/>
    <w:rsid w:val="00F36335"/>
    <w:rsid w:val="00FF4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6713"/>
  </w:style>
  <w:style w:type="paragraph" w:customStyle="1" w:styleId="doc-ti">
    <w:name w:val="doc-ti"/>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713"/>
    <w:rPr>
      <w:color w:val="0000FF"/>
      <w:u w:val="single"/>
    </w:rPr>
  </w:style>
  <w:style w:type="character" w:styleId="a4">
    <w:name w:val="FollowedHyperlink"/>
    <w:basedOn w:val="a0"/>
    <w:uiPriority w:val="99"/>
    <w:semiHidden/>
    <w:unhideWhenUsed/>
    <w:rsid w:val="000D6713"/>
    <w:rPr>
      <w:color w:val="800080"/>
      <w:u w:val="single"/>
    </w:rPr>
  </w:style>
  <w:style w:type="character" w:customStyle="1" w:styleId="super">
    <w:name w:val="super"/>
    <w:basedOn w:val="a0"/>
    <w:rsid w:val="000D6713"/>
  </w:style>
  <w:style w:type="paragraph" w:customStyle="1" w:styleId="ti-art">
    <w:name w:val="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art">
    <w:name w:val="s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0D6713"/>
  </w:style>
  <w:style w:type="paragraph" w:customStyle="1" w:styleId="signatory">
    <w:name w:val="signatory"/>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0D6713"/>
  </w:style>
  <w:style w:type="paragraph" w:customStyle="1" w:styleId="tbl-hdr">
    <w:name w:val="tbl-hdr"/>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um">
    <w:name w:val="tbl-num"/>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27A3C"/>
    <w:pPr>
      <w:ind w:left="720"/>
      <w:contextualSpacing/>
    </w:pPr>
  </w:style>
  <w:style w:type="paragraph" w:styleId="a6">
    <w:name w:val="Balloon Text"/>
    <w:basedOn w:val="a"/>
    <w:link w:val="a7"/>
    <w:uiPriority w:val="99"/>
    <w:semiHidden/>
    <w:unhideWhenUsed/>
    <w:rsid w:val="000538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38DE"/>
    <w:rPr>
      <w:rFonts w:ascii="Segoe UI" w:hAnsi="Segoe UI" w:cs="Segoe UI"/>
      <w:sz w:val="18"/>
      <w:szCs w:val="18"/>
    </w:rPr>
  </w:style>
  <w:style w:type="character" w:styleId="a8">
    <w:name w:val="Strong"/>
    <w:basedOn w:val="a0"/>
    <w:uiPriority w:val="22"/>
    <w:qFormat/>
    <w:rsid w:val="0086669D"/>
    <w:rPr>
      <w:b/>
      <w:bCs/>
    </w:rPr>
  </w:style>
  <w:style w:type="paragraph" w:customStyle="1" w:styleId="2">
    <w:name w:val="Обычный2"/>
    <w:basedOn w:val="a"/>
    <w:rsid w:val="00D909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6713"/>
  </w:style>
  <w:style w:type="paragraph" w:customStyle="1" w:styleId="doc-ti">
    <w:name w:val="doc-ti"/>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713"/>
    <w:rPr>
      <w:color w:val="0000FF"/>
      <w:u w:val="single"/>
    </w:rPr>
  </w:style>
  <w:style w:type="character" w:styleId="a4">
    <w:name w:val="FollowedHyperlink"/>
    <w:basedOn w:val="a0"/>
    <w:uiPriority w:val="99"/>
    <w:semiHidden/>
    <w:unhideWhenUsed/>
    <w:rsid w:val="000D6713"/>
    <w:rPr>
      <w:color w:val="800080"/>
      <w:u w:val="single"/>
    </w:rPr>
  </w:style>
  <w:style w:type="character" w:customStyle="1" w:styleId="super">
    <w:name w:val="super"/>
    <w:basedOn w:val="a0"/>
    <w:rsid w:val="000D6713"/>
  </w:style>
  <w:style w:type="paragraph" w:customStyle="1" w:styleId="ti-art">
    <w:name w:val="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art">
    <w:name w:val="s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0D6713"/>
  </w:style>
  <w:style w:type="paragraph" w:customStyle="1" w:styleId="signatory">
    <w:name w:val="signatory"/>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0D6713"/>
  </w:style>
  <w:style w:type="paragraph" w:customStyle="1" w:styleId="tbl-hdr">
    <w:name w:val="tbl-hdr"/>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um">
    <w:name w:val="tbl-num"/>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27A3C"/>
    <w:pPr>
      <w:ind w:left="720"/>
      <w:contextualSpacing/>
    </w:pPr>
  </w:style>
  <w:style w:type="paragraph" w:styleId="a6">
    <w:name w:val="Balloon Text"/>
    <w:basedOn w:val="a"/>
    <w:link w:val="a7"/>
    <w:uiPriority w:val="99"/>
    <w:semiHidden/>
    <w:unhideWhenUsed/>
    <w:rsid w:val="000538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38DE"/>
    <w:rPr>
      <w:rFonts w:ascii="Segoe UI" w:hAnsi="Segoe UI" w:cs="Segoe UI"/>
      <w:sz w:val="18"/>
      <w:szCs w:val="18"/>
    </w:rPr>
  </w:style>
  <w:style w:type="character" w:styleId="a8">
    <w:name w:val="Strong"/>
    <w:basedOn w:val="a0"/>
    <w:uiPriority w:val="22"/>
    <w:qFormat/>
    <w:rsid w:val="0086669D"/>
    <w:rPr>
      <w:b/>
      <w:bCs/>
    </w:rPr>
  </w:style>
  <w:style w:type="paragraph" w:customStyle="1" w:styleId="2">
    <w:name w:val="Обычный2"/>
    <w:basedOn w:val="a"/>
    <w:rsid w:val="00D909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722">
      <w:bodyDiv w:val="1"/>
      <w:marLeft w:val="0"/>
      <w:marRight w:val="0"/>
      <w:marTop w:val="0"/>
      <w:marBottom w:val="0"/>
      <w:divBdr>
        <w:top w:val="none" w:sz="0" w:space="0" w:color="auto"/>
        <w:left w:val="none" w:sz="0" w:space="0" w:color="auto"/>
        <w:bottom w:val="none" w:sz="0" w:space="0" w:color="auto"/>
        <w:right w:val="none" w:sz="0" w:space="0" w:color="auto"/>
      </w:divBdr>
    </w:div>
    <w:div w:id="1100368170">
      <w:bodyDiv w:val="1"/>
      <w:marLeft w:val="0"/>
      <w:marRight w:val="0"/>
      <w:marTop w:val="0"/>
      <w:marBottom w:val="0"/>
      <w:divBdr>
        <w:top w:val="none" w:sz="0" w:space="0" w:color="auto"/>
        <w:left w:val="none" w:sz="0" w:space="0" w:color="auto"/>
        <w:bottom w:val="none" w:sz="0" w:space="0" w:color="auto"/>
        <w:right w:val="none" w:sz="0" w:space="0" w:color="auto"/>
      </w:divBdr>
      <w:divsChild>
        <w:div w:id="1828085421">
          <w:marLeft w:val="810"/>
          <w:marRight w:val="810"/>
          <w:marTop w:val="360"/>
          <w:marBottom w:val="0"/>
          <w:divBdr>
            <w:top w:val="none" w:sz="0" w:space="0" w:color="auto"/>
            <w:left w:val="none" w:sz="0" w:space="0" w:color="auto"/>
            <w:bottom w:val="none" w:sz="0" w:space="0" w:color="auto"/>
            <w:right w:val="none" w:sz="0" w:space="0" w:color="auto"/>
          </w:divBdr>
          <w:divsChild>
            <w:div w:id="1396245464">
              <w:marLeft w:val="4005"/>
              <w:marRight w:val="810"/>
              <w:marTop w:val="0"/>
              <w:marBottom w:val="0"/>
              <w:divBdr>
                <w:top w:val="none" w:sz="0" w:space="0" w:color="auto"/>
                <w:left w:val="none" w:sz="0" w:space="0" w:color="auto"/>
                <w:bottom w:val="none" w:sz="0" w:space="0" w:color="auto"/>
                <w:right w:val="none" w:sz="0" w:space="0" w:color="auto"/>
              </w:divBdr>
            </w:div>
          </w:divsChild>
        </w:div>
        <w:div w:id="1390805814">
          <w:marLeft w:val="0"/>
          <w:marRight w:val="0"/>
          <w:marTop w:val="0"/>
          <w:marBottom w:val="0"/>
          <w:divBdr>
            <w:top w:val="none" w:sz="0" w:space="0" w:color="auto"/>
            <w:left w:val="none" w:sz="0" w:space="0" w:color="auto"/>
            <w:bottom w:val="none" w:sz="0" w:space="0" w:color="auto"/>
            <w:right w:val="none" w:sz="0" w:space="0" w:color="auto"/>
          </w:divBdr>
        </w:div>
      </w:divsChild>
    </w:div>
    <w:div w:id="1776367957">
      <w:bodyDiv w:val="1"/>
      <w:marLeft w:val="0"/>
      <w:marRight w:val="0"/>
      <w:marTop w:val="0"/>
      <w:marBottom w:val="0"/>
      <w:divBdr>
        <w:top w:val="none" w:sz="0" w:space="0" w:color="auto"/>
        <w:left w:val="none" w:sz="0" w:space="0" w:color="auto"/>
        <w:bottom w:val="none" w:sz="0" w:space="0" w:color="auto"/>
        <w:right w:val="none" w:sz="0" w:space="0" w:color="auto"/>
      </w:divBdr>
    </w:div>
    <w:div w:id="20791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RO/TXT/?uri=CELEX:32012R04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729A7-43B4-4B1C-A8F9-74DA8D44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17324</Words>
  <Characters>98749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2017-07-07T09:40:00Z</dcterms:created>
  <dcterms:modified xsi:type="dcterms:W3CDTF">2017-07-07T09:40:00Z</dcterms:modified>
</cp:coreProperties>
</file>