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A6F" w:rsidRPr="00CB13B9" w:rsidRDefault="00757A6F" w:rsidP="00757A6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CB13B9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Proiect</w:t>
      </w:r>
    </w:p>
    <w:p w:rsidR="00757A6F" w:rsidRPr="000D1B68" w:rsidRDefault="00757A6F" w:rsidP="00757A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757A6F" w:rsidRPr="000D1B68" w:rsidRDefault="00757A6F" w:rsidP="00757A6F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r w:rsidRPr="000D1B6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087A0177" wp14:editId="4B96EF26">
            <wp:simplePos x="0" y="0"/>
            <wp:positionH relativeFrom="column">
              <wp:posOffset>2662555</wp:posOffset>
            </wp:positionH>
            <wp:positionV relativeFrom="paragraph">
              <wp:posOffset>-212725</wp:posOffset>
            </wp:positionV>
            <wp:extent cx="619125" cy="720725"/>
            <wp:effectExtent l="0" t="0" r="9525" b="3175"/>
            <wp:wrapNone/>
            <wp:docPr id="1" name="Рисунок 1" descr="Новый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Новый рисунок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7A6F" w:rsidRPr="00CB13B9" w:rsidRDefault="00757A6F" w:rsidP="00757A6F">
      <w:pPr>
        <w:tabs>
          <w:tab w:val="left" w:pos="650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B13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GUVERNUL </w:t>
      </w:r>
      <w:r w:rsidRPr="00CB13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ab/>
        <w:t>ПРАВИТЕЛЬСТВО</w:t>
      </w:r>
    </w:p>
    <w:p w:rsidR="00757A6F" w:rsidRPr="00CB13B9" w:rsidRDefault="00757A6F" w:rsidP="00757A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B13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REPUBLICII MOLDOVA  </w:t>
      </w:r>
      <w:r w:rsidR="00900D25" w:rsidRPr="00CB13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            </w:t>
      </w:r>
      <w:r w:rsidR="000D1B68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="00900D25" w:rsidRPr="00CB13B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РЕСПУБЛИКИ МОЛДОВА</w:t>
      </w:r>
    </w:p>
    <w:p w:rsidR="00757A6F" w:rsidRPr="000D1B68" w:rsidRDefault="00757A6F" w:rsidP="00757A6F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</w:pPr>
    </w:p>
    <w:p w:rsidR="00757A6F" w:rsidRPr="000D1B68" w:rsidRDefault="00757A6F" w:rsidP="00757A6F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</w:pPr>
    </w:p>
    <w:p w:rsidR="00757A6F" w:rsidRPr="00CB13B9" w:rsidRDefault="00757A6F" w:rsidP="00757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CB13B9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H O T Ă R Î R E</w:t>
      </w:r>
    </w:p>
    <w:p w:rsidR="004A3338" w:rsidRPr="00CB13B9" w:rsidRDefault="00163A90" w:rsidP="00757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</w:pPr>
      <w:r w:rsidRPr="00CB1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 xml:space="preserve">cu privire la </w:t>
      </w:r>
      <w:r w:rsidR="000D1B6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>completarea anexei nr. 1</w:t>
      </w:r>
    </w:p>
    <w:p w:rsidR="00757A6F" w:rsidRPr="00CB13B9" w:rsidRDefault="000D1B68" w:rsidP="00757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>la Hotărâ</w:t>
      </w:r>
      <w:r w:rsidR="00B47634" w:rsidRPr="00CB1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 xml:space="preserve">rea </w:t>
      </w:r>
      <w:r w:rsidR="007E7E58" w:rsidRPr="00CB1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 xml:space="preserve">Guvernului </w:t>
      </w:r>
      <w:r w:rsidR="000A44BC" w:rsidRPr="00CB1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>nr.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 xml:space="preserve"> </w:t>
      </w:r>
      <w:r w:rsidR="000A44BC" w:rsidRPr="00CB13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ro-RO" w:eastAsia="ru-RU"/>
        </w:rPr>
        <w:t>474 din 19 iunie 2014</w:t>
      </w:r>
    </w:p>
    <w:p w:rsidR="00757A6F" w:rsidRPr="000D1B68" w:rsidRDefault="00757A6F" w:rsidP="000D1B6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757A6F" w:rsidRPr="000D1B68" w:rsidRDefault="00757A6F" w:rsidP="00DF54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</w:pPr>
    </w:p>
    <w:p w:rsidR="00757A6F" w:rsidRPr="00CB13B9" w:rsidRDefault="007E7E58" w:rsidP="004A33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</w:pPr>
      <w:r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Guvernul</w:t>
      </w:r>
      <w:r w:rsidRPr="00CB13B9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 xml:space="preserve"> </w:t>
      </w:r>
      <w:r w:rsidR="00757A6F" w:rsidRPr="00CB13B9">
        <w:rPr>
          <w:rFonts w:ascii="Times New Roman" w:eastAsia="Times New Roman" w:hAnsi="Times New Roman" w:cs="Times New Roman"/>
          <w:b/>
          <w:bCs/>
          <w:sz w:val="27"/>
          <w:szCs w:val="27"/>
          <w:lang w:val="ro-RO" w:eastAsia="ru-RU"/>
        </w:rPr>
        <w:t>HOTĂRĂŞTE:</w:t>
      </w:r>
    </w:p>
    <w:p w:rsidR="007E7E58" w:rsidRPr="00CB13B9" w:rsidRDefault="007E7E58" w:rsidP="00CA028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</w:pPr>
    </w:p>
    <w:p w:rsidR="003A5971" w:rsidRPr="00CB13B9" w:rsidRDefault="008B2109" w:rsidP="000D1B6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</w:pPr>
      <w:r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Nomenclatorul</w:t>
      </w:r>
      <w:r w:rsidR="004A3338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 mijloacelor speciale, al tipurilor de arme de foc </w:t>
      </w:r>
      <w:r w:rsidR="000E4AEF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și</w:t>
      </w:r>
      <w:r w:rsidR="004A3338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 al munițiilor aferente aprobat prin Hotăr</w:t>
      </w:r>
      <w:r w:rsidR="000D1B68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â</w:t>
      </w:r>
      <w:r w:rsidR="004A3338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rea</w:t>
      </w:r>
      <w:r w:rsidR="00CA0288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 Guvernului nr.474 din 19 iunie 2014</w:t>
      </w:r>
      <w:r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 „Cu privire la aprobarea Nomenclatorului mijloacelor speciale, al tipurilor de arme de foc </w:t>
      </w:r>
      <w:r w:rsidR="000E4AEF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și</w:t>
      </w:r>
      <w:r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 al munițiilor aferente, precum </w:t>
      </w:r>
      <w:r w:rsidR="000E4AEF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și</w:t>
      </w:r>
      <w:r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 a regulilor de aplicare a acestora” (</w:t>
      </w:r>
      <w:r w:rsidRPr="00CB13B9">
        <w:rPr>
          <w:rFonts w:ascii="Times New Roman" w:hAnsi="Times New Roman" w:cs="Times New Roman"/>
          <w:color w:val="000000"/>
          <w:sz w:val="27"/>
          <w:szCs w:val="27"/>
          <w:lang w:val="ro-RO"/>
        </w:rPr>
        <w:t>Monitorul Oficial al Republicii Moldova,</w:t>
      </w:r>
      <w:r w:rsidR="00CB68C3" w:rsidRPr="00CB13B9">
        <w:rPr>
          <w:rFonts w:ascii="Times New Roman" w:hAnsi="Times New Roman" w:cs="Times New Roman"/>
          <w:color w:val="000000"/>
          <w:sz w:val="27"/>
          <w:szCs w:val="27"/>
          <w:lang w:val="ro-RO"/>
        </w:rPr>
        <w:t xml:space="preserve"> </w:t>
      </w:r>
      <w:r w:rsidRPr="00CB13B9">
        <w:rPr>
          <w:rFonts w:ascii="Times New Roman" w:hAnsi="Times New Roman" w:cs="Times New Roman"/>
          <w:color w:val="000000"/>
          <w:sz w:val="27"/>
          <w:szCs w:val="27"/>
          <w:lang w:val="ro-RO"/>
        </w:rPr>
        <w:t>2014, nr. 167-168, art.517)</w:t>
      </w:r>
      <w:r w:rsidR="004A3338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 la </w:t>
      </w:r>
      <w:r w:rsidR="000E4AEF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autoritatea „Ministerul Afacerilor Interne”, </w:t>
      </w:r>
      <w:r w:rsidR="004A3338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compartimentul „Mijloace speciale auxiliare”, </w:t>
      </w:r>
      <w:r w:rsidR="00CA0288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 xml:space="preserve">se completează cu </w:t>
      </w:r>
      <w:r w:rsidR="003A5971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o poziție nouă „37” după cum urmează</w:t>
      </w:r>
      <w:r w:rsidR="00CA0288" w:rsidRPr="00CB13B9"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  <w:t>:</w:t>
      </w:r>
    </w:p>
    <w:p w:rsidR="00467966" w:rsidRPr="00CB13B9" w:rsidRDefault="00467966" w:rsidP="004679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val="ro-RO" w:eastAsia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259"/>
        <w:gridCol w:w="17"/>
        <w:gridCol w:w="1134"/>
        <w:gridCol w:w="2977"/>
        <w:gridCol w:w="1276"/>
        <w:gridCol w:w="1134"/>
      </w:tblGrid>
      <w:tr w:rsidR="003A5971" w:rsidRPr="00CB13B9" w:rsidTr="007D3C5B">
        <w:trPr>
          <w:trHeight w:val="38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Autoritatea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Mijloace speciale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 xml:space="preserve">Tipuri de arme </w:t>
            </w:r>
          </w:p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de foc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B13B9" w:rsidRDefault="004A33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Muniții</w:t>
            </w:r>
          </w:p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</w:p>
        </w:tc>
      </w:tr>
      <w:tr w:rsidR="003A5971" w:rsidRPr="00CB13B9" w:rsidTr="00467966">
        <w:trPr>
          <w:trHeight w:val="592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88" w:rsidRPr="00CB13B9" w:rsidRDefault="00CA0288">
            <w:pPr>
              <w:spacing w:after="0"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ind w:left="-136" w:right="-169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apărare pasivă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ind w:left="-136" w:right="-169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apărare activă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ind w:left="-136" w:right="-169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auxiliare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88" w:rsidRPr="00CB13B9" w:rsidRDefault="00CA0288">
            <w:pPr>
              <w:spacing w:after="0"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288" w:rsidRPr="00CB13B9" w:rsidRDefault="00CA0288">
            <w:pPr>
              <w:spacing w:after="0" w:line="240" w:lineRule="auto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</w:p>
        </w:tc>
      </w:tr>
      <w:tr w:rsidR="003A5971" w:rsidRPr="00CB13B9" w:rsidTr="00467966">
        <w:trPr>
          <w:trHeight w:val="252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2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6</w:t>
            </w:r>
          </w:p>
        </w:tc>
      </w:tr>
      <w:tr w:rsidR="003A5971" w:rsidRPr="00180908" w:rsidTr="00761EA7">
        <w:trPr>
          <w:trHeight w:val="37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b/>
                <w:sz w:val="27"/>
                <w:szCs w:val="27"/>
                <w:lang w:val="ro-RO" w:eastAsia="ro-RO"/>
              </w:rPr>
              <w:t>Ministerul Afacerilor Interne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B13B9" w:rsidRDefault="00CA02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val="ro-RO" w:eastAsia="ro-RO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B13B9" w:rsidRDefault="00CA0288">
            <w:pPr>
              <w:spacing w:after="0" w:line="240" w:lineRule="auto"/>
              <w:ind w:right="-52"/>
              <w:rPr>
                <w:rFonts w:ascii="Times New Roman" w:eastAsia="Times New Roman" w:hAnsi="Times New Roman"/>
                <w:sz w:val="27"/>
                <w:szCs w:val="27"/>
                <w:lang w:val="ro-RO" w:eastAsia="ro-R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A7" w:rsidRPr="00CB13B9" w:rsidRDefault="003A5971" w:rsidP="000D1B68">
            <w:pPr>
              <w:spacing w:after="0" w:line="276" w:lineRule="auto"/>
              <w:rPr>
                <w:rFonts w:ascii="Times New Roman" w:eastAsia="Times New Roman" w:hAnsi="Times New Roman"/>
                <w:sz w:val="27"/>
                <w:szCs w:val="27"/>
                <w:lang w:val="ro-RO" w:eastAsia="ro-RO"/>
              </w:rPr>
            </w:pPr>
            <w:r w:rsidRPr="00CB13B9">
              <w:rPr>
                <w:rFonts w:ascii="Times New Roman" w:eastAsia="Times New Roman" w:hAnsi="Times New Roman"/>
                <w:sz w:val="27"/>
                <w:szCs w:val="27"/>
                <w:lang w:val="ro-RO" w:eastAsia="ro-RO"/>
              </w:rPr>
              <w:t xml:space="preserve">37. </w:t>
            </w:r>
            <w:r w:rsidR="00761EA7" w:rsidRPr="00CB13B9">
              <w:rPr>
                <w:rFonts w:ascii="Times New Roman" w:eastAsia="Times New Roman" w:hAnsi="Times New Roman"/>
                <w:sz w:val="27"/>
                <w:szCs w:val="27"/>
                <w:lang w:val="ro-RO" w:eastAsia="ro-RO"/>
              </w:rPr>
              <w:t xml:space="preserve">Autospeciale, portal-monitoare staționare destinate pentru detectarea materialelor nucleare și radioactive; </w:t>
            </w:r>
          </w:p>
          <w:p w:rsidR="00CA0288" w:rsidRPr="00CB13B9" w:rsidRDefault="00761EA7" w:rsidP="000D1B68">
            <w:pPr>
              <w:spacing w:after="0" w:line="276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o-RO" w:eastAsia="ru-RU"/>
              </w:rPr>
            </w:pPr>
            <w:r w:rsidRPr="00CB13B9">
              <w:rPr>
                <w:rFonts w:ascii="Times New Roman" w:eastAsia="Times New Roman" w:hAnsi="Times New Roman"/>
                <w:sz w:val="27"/>
                <w:szCs w:val="27"/>
                <w:lang w:val="ro-RO" w:eastAsia="ro-RO"/>
              </w:rPr>
              <w:t>dispozitive speciale destinate pentru detectarea, localizarea, identificarea materialelor nucleare și radi</w:t>
            </w:r>
            <w:r w:rsidR="00CB13B9">
              <w:rPr>
                <w:rFonts w:ascii="Times New Roman" w:eastAsia="Times New Roman" w:hAnsi="Times New Roman"/>
                <w:sz w:val="27"/>
                <w:szCs w:val="27"/>
                <w:lang w:val="ro-RO" w:eastAsia="ro-RO"/>
              </w:rPr>
              <w:t>oactive, substanțelor chimice</w:t>
            </w:r>
            <w:r w:rsidRPr="00CB13B9">
              <w:rPr>
                <w:rFonts w:ascii="Times New Roman" w:eastAsia="Times New Roman" w:hAnsi="Times New Roman"/>
                <w:sz w:val="27"/>
                <w:szCs w:val="27"/>
                <w:lang w:val="ro-RO" w:eastAsia="ro-RO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B13B9" w:rsidRDefault="00CA028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ro-RO" w:eastAsia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88" w:rsidRPr="00CB13B9" w:rsidRDefault="00CA0288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val="ro-RO" w:eastAsia="ro-RO"/>
              </w:rPr>
            </w:pPr>
          </w:p>
        </w:tc>
      </w:tr>
    </w:tbl>
    <w:p w:rsidR="00467966" w:rsidRPr="00CB13B9" w:rsidRDefault="00467966" w:rsidP="000D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467966" w:rsidRPr="00CB13B9" w:rsidRDefault="00467966" w:rsidP="000D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CE1BD5" w:rsidRPr="00CB13B9" w:rsidRDefault="00CE1BD5" w:rsidP="000D1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PRIM-MINISTRU     </w:t>
      </w:r>
      <w:r w:rsidR="000D1B68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</w:t>
      </w:r>
      <w:r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               </w:t>
      </w:r>
      <w:r w:rsidR="00A950B4"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                </w:t>
      </w:r>
      <w:r w:rsidR="004A3338"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   </w:t>
      </w:r>
      <w:r w:rsidR="000D1B68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          </w:t>
      </w:r>
      <w:r w:rsidR="004A3338"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</w:t>
      </w:r>
      <w:r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Pavel FILIP</w:t>
      </w:r>
    </w:p>
    <w:p w:rsidR="00CE1BD5" w:rsidRPr="000D1B68" w:rsidRDefault="00CE1BD5" w:rsidP="000D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0D1B68" w:rsidRPr="000D1B68" w:rsidRDefault="000D1B68" w:rsidP="000D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CE1BD5" w:rsidRPr="00CB13B9" w:rsidRDefault="00CE1BD5" w:rsidP="000D1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Contrasemnează:</w:t>
      </w:r>
    </w:p>
    <w:p w:rsidR="003D4C0B" w:rsidRPr="00CB13B9" w:rsidRDefault="005E68F1" w:rsidP="000D1B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</w:pPr>
      <w:r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M</w:t>
      </w:r>
      <w:r w:rsidR="00A950B4"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>inistrul afacerilor interne</w:t>
      </w:r>
      <w:r w:rsidR="00CE1BD5"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</w:t>
      </w:r>
      <w:r w:rsidR="000D1B68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</w:t>
      </w:r>
      <w:r w:rsidR="00CE1BD5"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      </w:t>
      </w:r>
      <w:r w:rsidR="00A950B4"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               </w:t>
      </w:r>
      <w:r w:rsidR="000D1B68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</w:t>
      </w:r>
      <w:r w:rsidR="00A950B4" w:rsidRPr="00CB13B9">
        <w:rPr>
          <w:rFonts w:ascii="Times New Roman" w:eastAsia="Times New Roman" w:hAnsi="Times New Roman" w:cs="Times New Roman"/>
          <w:b/>
          <w:sz w:val="27"/>
          <w:szCs w:val="27"/>
          <w:lang w:val="ro-RO" w:eastAsia="ru-RU"/>
        </w:rPr>
        <w:t xml:space="preserve">        Alexandru JIZDAN</w:t>
      </w:r>
    </w:p>
    <w:p w:rsidR="000D1B68" w:rsidRPr="000D1B68" w:rsidRDefault="000D1B68" w:rsidP="000D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</w:p>
    <w:p w:rsidR="000D1B68" w:rsidRPr="000D1B68" w:rsidRDefault="000D1B68" w:rsidP="000D1B6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ro-RO" w:eastAsia="ru-RU"/>
        </w:rPr>
      </w:pPr>
      <w:bookmarkStart w:id="0" w:name="_GoBack"/>
      <w:bookmarkEnd w:id="0"/>
    </w:p>
    <w:sectPr w:rsidR="000D1B68" w:rsidRPr="000D1B68" w:rsidSect="000D1B68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A6F"/>
    <w:rsid w:val="00061130"/>
    <w:rsid w:val="0007603C"/>
    <w:rsid w:val="000A44BC"/>
    <w:rsid w:val="000A7751"/>
    <w:rsid w:val="000D1B68"/>
    <w:rsid w:val="000D3C1B"/>
    <w:rsid w:val="000E4AEF"/>
    <w:rsid w:val="001041C0"/>
    <w:rsid w:val="00163A90"/>
    <w:rsid w:val="00180908"/>
    <w:rsid w:val="001C799E"/>
    <w:rsid w:val="00302E0C"/>
    <w:rsid w:val="00332805"/>
    <w:rsid w:val="003A5971"/>
    <w:rsid w:val="003D4C0B"/>
    <w:rsid w:val="00440C09"/>
    <w:rsid w:val="00467966"/>
    <w:rsid w:val="004A3338"/>
    <w:rsid w:val="0052280F"/>
    <w:rsid w:val="005A0F8C"/>
    <w:rsid w:val="005C309F"/>
    <w:rsid w:val="005E68F1"/>
    <w:rsid w:val="00757A6F"/>
    <w:rsid w:val="00761EA7"/>
    <w:rsid w:val="007D3C5B"/>
    <w:rsid w:val="007E7E58"/>
    <w:rsid w:val="008A3082"/>
    <w:rsid w:val="008B2109"/>
    <w:rsid w:val="008E174E"/>
    <w:rsid w:val="00900D25"/>
    <w:rsid w:val="00960BAB"/>
    <w:rsid w:val="009A5F5C"/>
    <w:rsid w:val="009F74D0"/>
    <w:rsid w:val="00A45D9D"/>
    <w:rsid w:val="00A64006"/>
    <w:rsid w:val="00A950B4"/>
    <w:rsid w:val="00B47634"/>
    <w:rsid w:val="00C80DCE"/>
    <w:rsid w:val="00C82BC8"/>
    <w:rsid w:val="00CA0288"/>
    <w:rsid w:val="00CB13B9"/>
    <w:rsid w:val="00CB68C3"/>
    <w:rsid w:val="00CE1BD5"/>
    <w:rsid w:val="00D67984"/>
    <w:rsid w:val="00DF4A3F"/>
    <w:rsid w:val="00DF5441"/>
    <w:rsid w:val="00E2058F"/>
    <w:rsid w:val="00E41A2F"/>
    <w:rsid w:val="00F2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44766-B609-4DA0-B5B9-47D5B988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">
    <w:name w:val="doc_header"/>
    <w:basedOn w:val="a0"/>
    <w:rsid w:val="00163A90"/>
  </w:style>
  <w:style w:type="paragraph" w:styleId="a3">
    <w:name w:val="Balloon Text"/>
    <w:basedOn w:val="a"/>
    <w:link w:val="a4"/>
    <w:uiPriority w:val="99"/>
    <w:semiHidden/>
    <w:unhideWhenUsed/>
    <w:rsid w:val="00302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2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 Morari</dc:creator>
  <cp:lastModifiedBy>Пользователь</cp:lastModifiedBy>
  <cp:revision>6</cp:revision>
  <cp:lastPrinted>2017-07-13T12:18:00Z</cp:lastPrinted>
  <dcterms:created xsi:type="dcterms:W3CDTF">2017-07-13T11:42:00Z</dcterms:created>
  <dcterms:modified xsi:type="dcterms:W3CDTF">2017-07-17T06:38:00Z</dcterms:modified>
</cp:coreProperties>
</file>