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FE125" w14:textId="77777777" w:rsidR="001149E8" w:rsidRPr="000A7BC2" w:rsidRDefault="001149E8" w:rsidP="001149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0A7BC2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Proiect</w:t>
      </w:r>
    </w:p>
    <w:p w14:paraId="302D2C19" w14:textId="77777777" w:rsidR="001149E8" w:rsidRPr="000A7BC2" w:rsidRDefault="001149E8" w:rsidP="00114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500184E3" w14:textId="77777777" w:rsidR="001149E8" w:rsidRPr="000A7BC2" w:rsidRDefault="001149E8" w:rsidP="00114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H O T Ă R Î R E </w:t>
      </w:r>
    </w:p>
    <w:p w14:paraId="6553CF14" w14:textId="77777777" w:rsidR="00EA33FC" w:rsidRPr="000A7BC2" w:rsidRDefault="00302EBC" w:rsidP="00212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cu privire la</w:t>
      </w:r>
      <w:r w:rsidR="001149E8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aprobarea </w:t>
      </w:r>
      <w:r w:rsidR="00212897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Regulamentului</w:t>
      </w:r>
      <w:r w:rsidR="00123C7F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</w:t>
      </w:r>
      <w:r w:rsidR="00212897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privind </w:t>
      </w:r>
      <w:r w:rsidR="00DF47F9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evaluarea activității parcului</w:t>
      </w:r>
      <w:r w:rsidR="00212897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pentru tehnologia informației</w:t>
      </w:r>
      <w:r w:rsidR="001149E8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</w:t>
      </w:r>
    </w:p>
    <w:p w14:paraId="5B3C3191" w14:textId="77777777" w:rsidR="001149E8" w:rsidRPr="000A7BC2" w:rsidRDefault="001149E8" w:rsidP="00114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2F4678D2" w14:textId="77777777" w:rsidR="001149E8" w:rsidRPr="000A7BC2" w:rsidRDefault="001149E8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</w:t>
      </w:r>
    </w:p>
    <w:p w14:paraId="3D95CE68" w14:textId="77777777" w:rsidR="001149E8" w:rsidRPr="000A7BC2" w:rsidRDefault="00DB7C77" w:rsidP="00114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nr.  </w:t>
      </w:r>
      <w:r w:rsidR="001149E8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  din  </w:t>
      </w:r>
      <w:r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</w:t>
      </w:r>
    </w:p>
    <w:p w14:paraId="371C3583" w14:textId="77777777" w:rsidR="001149E8" w:rsidRPr="000A7BC2" w:rsidRDefault="001149E8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</w:t>
      </w:r>
    </w:p>
    <w:p w14:paraId="503DB23D" w14:textId="77777777" w:rsidR="001149E8" w:rsidRPr="000A7BC2" w:rsidRDefault="001149E8" w:rsidP="00DB7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  </w:t>
      </w:r>
    </w:p>
    <w:p w14:paraId="69EBAB38" w14:textId="77777777" w:rsidR="001149E8" w:rsidRPr="000A7BC2" w:rsidRDefault="00386BD3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În scopul </w:t>
      </w:r>
      <w:r w:rsidR="00EA33FC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realizării</w:t>
      </w:r>
      <w:r w:rsidR="00ED35DB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4B367D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prevederilor </w:t>
      </w:r>
      <w:r w:rsidR="001C242A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articolului 17 din Legea</w:t>
      </w:r>
      <w:r w:rsidR="00ED35DB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nr.77 din 21.04.2016 </w:t>
      </w:r>
      <w:r w:rsidR="00ED35DB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cu privire la parcurile pentru tehnologia informaţiei</w:t>
      </w:r>
      <w:r w:rsidR="00C647C6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 (</w:t>
      </w:r>
      <w:r w:rsidR="00C647C6" w:rsidRPr="000A7BC2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u-RU"/>
        </w:rPr>
        <w:t>Monitorul Oficial al Republicii Moldova, 2016, nr.157-162, art.318)</w:t>
      </w:r>
      <w:r w:rsidR="001149E8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, Guvernul Republicii Moldova</w:t>
      </w:r>
    </w:p>
    <w:p w14:paraId="1114741D" w14:textId="77777777" w:rsidR="006C3FA5" w:rsidRPr="000A7BC2" w:rsidRDefault="006C3FA5" w:rsidP="00114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58B73E2C" w14:textId="77777777" w:rsidR="001149E8" w:rsidRPr="000A7BC2" w:rsidRDefault="001149E8" w:rsidP="00114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HOTĂRĂŞTE: </w:t>
      </w:r>
    </w:p>
    <w:p w14:paraId="08D8FC53" w14:textId="77777777" w:rsidR="006C3FA5" w:rsidRPr="000A7BC2" w:rsidRDefault="006C3FA5" w:rsidP="00114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0754A392" w14:textId="77777777" w:rsidR="00386BD3" w:rsidRPr="000A7BC2" w:rsidRDefault="00C27DD5" w:rsidP="00846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1. </w:t>
      </w:r>
      <w:r w:rsidR="00846A71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Se aprobă Regulamentul </w:t>
      </w:r>
      <w:r w:rsidR="00493083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privind </w:t>
      </w:r>
      <w:r w:rsidR="00DF47F9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evaluarea activității parcului</w:t>
      </w:r>
      <w:r w:rsidR="00493083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pentru tehnologia informației</w:t>
      </w:r>
      <w:r w:rsidR="004E6BBA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, conform anexei</w:t>
      </w:r>
      <w:r w:rsidR="002A0B2E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; </w:t>
      </w:r>
    </w:p>
    <w:p w14:paraId="5513B9FB" w14:textId="32AF7F10" w:rsidR="001149E8" w:rsidRPr="000A7BC2" w:rsidRDefault="00C27DD5" w:rsidP="00C27D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2. Controlul asupra executării prezentei </w:t>
      </w:r>
      <w:proofErr w:type="spellStart"/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hotărîri</w:t>
      </w:r>
      <w:proofErr w:type="spellEnd"/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se pune în sarcina Ministerului </w:t>
      </w:r>
      <w:r w:rsidR="00F57D8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Economiei și Infrastructurii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. </w:t>
      </w:r>
      <w:r w:rsidR="001149E8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  </w:t>
      </w:r>
    </w:p>
    <w:p w14:paraId="70D2B6E2" w14:textId="77777777" w:rsidR="006F00EC" w:rsidRPr="000A7BC2" w:rsidRDefault="001149E8" w:rsidP="00607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</w:t>
      </w:r>
    </w:p>
    <w:p w14:paraId="5EBF0119" w14:textId="77777777" w:rsidR="006F00EC" w:rsidRPr="000A7BC2" w:rsidRDefault="006F00EC" w:rsidP="006F00E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609A05CE" w14:textId="77777777" w:rsidR="00607ED1" w:rsidRPr="000A7BC2" w:rsidRDefault="00607ED1" w:rsidP="006F00E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PRIM-MINISTRU</w:t>
      </w:r>
      <w:r w:rsidR="006F00EC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ab/>
      </w:r>
      <w:r w:rsidR="006F00EC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ab/>
      </w:r>
      <w:r w:rsidR="006F00EC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ab/>
      </w:r>
      <w:r w:rsidR="006F00EC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ab/>
      </w:r>
      <w:r w:rsidR="006F00EC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ab/>
      </w:r>
      <w:r w:rsidR="006F00EC"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ab/>
        <w:t>Pavel FILIP</w:t>
      </w:r>
    </w:p>
    <w:p w14:paraId="0FDD94FE" w14:textId="77777777" w:rsidR="006F00EC" w:rsidRPr="000A7BC2" w:rsidRDefault="006F00EC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14:paraId="42A98FFE" w14:textId="77777777" w:rsidR="001149E8" w:rsidRPr="000A7BC2" w:rsidRDefault="00607ED1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Contrasemnează:</w:t>
      </w:r>
    </w:p>
    <w:p w14:paraId="7E05D431" w14:textId="77777777" w:rsidR="006F00EC" w:rsidRPr="000A7BC2" w:rsidRDefault="006F00EC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14:paraId="1EAC55AC" w14:textId="77777777" w:rsidR="004517E1" w:rsidRDefault="004517E1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Viceprim-ministru,</w:t>
      </w:r>
    </w:p>
    <w:p w14:paraId="30AACEE9" w14:textId="42054062" w:rsidR="008013AB" w:rsidRDefault="004517E1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M</w:t>
      </w:r>
      <w:r w:rsidR="008013AB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inistrul </w:t>
      </w:r>
      <w:r w:rsidR="008013AB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Economiei și Infrastructurii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  <w:t xml:space="preserve">Octavian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Calmîc</w:t>
      </w:r>
      <w:proofErr w:type="spellEnd"/>
    </w:p>
    <w:p w14:paraId="1ED2673C" w14:textId="77777777" w:rsidR="008013AB" w:rsidRDefault="008013AB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14:paraId="63943C30" w14:textId="77777777" w:rsidR="004517E1" w:rsidRDefault="004517E1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14:paraId="40AA6299" w14:textId="2DE92098" w:rsidR="006F00EC" w:rsidRPr="000A7BC2" w:rsidRDefault="006F00EC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Ministrul Finanțelor</w:t>
      </w:r>
      <w:r w:rsidR="004517E1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</w:r>
      <w:r w:rsidR="004517E1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</w:r>
      <w:r w:rsidR="004517E1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</w:r>
      <w:r w:rsidR="004517E1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</w:r>
      <w:r w:rsidR="004517E1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</w:r>
      <w:r w:rsidR="004517E1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</w:r>
      <w:r w:rsidR="004517E1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ab/>
        <w:t xml:space="preserve">Octavian </w:t>
      </w:r>
      <w:proofErr w:type="spellStart"/>
      <w:r w:rsidR="004517E1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Armașu</w:t>
      </w:r>
      <w:proofErr w:type="spellEnd"/>
    </w:p>
    <w:p w14:paraId="639558BA" w14:textId="77777777" w:rsidR="006F00EC" w:rsidRPr="000A7BC2" w:rsidRDefault="006F00EC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14:paraId="7379CCE8" w14:textId="0AE8870F" w:rsidR="006F00EC" w:rsidRPr="000A7BC2" w:rsidRDefault="006F00EC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14:paraId="22B6CB5B" w14:textId="77777777" w:rsidR="006F00EC" w:rsidRPr="000A7BC2" w:rsidRDefault="006F00EC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59A42B43" w14:textId="77777777" w:rsidR="004E6BBA" w:rsidRPr="000A7BC2" w:rsidRDefault="004E6BBA" w:rsidP="00114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0A1C94F1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058A8EBD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2F928A14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23C7FB8E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4A0A4BB4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08071F6C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144D1C59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6D4538F4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13A6D271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01E3FED0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22B32929" w14:textId="77777777" w:rsidR="006F00EC" w:rsidRPr="000A7BC2" w:rsidRDefault="006F00EC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14:paraId="45B1255E" w14:textId="77777777" w:rsidR="001149E8" w:rsidRPr="000A7BC2" w:rsidRDefault="001149E8" w:rsidP="00017B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lastRenderedPageBreak/>
        <w:t> </w:t>
      </w:r>
      <w:r w:rsidR="00017B59"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Anexă</w:t>
      </w:r>
      <w:r w:rsidR="004E6BBA"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</w:t>
      </w:r>
    </w:p>
    <w:p w14:paraId="37F35500" w14:textId="77777777" w:rsidR="001149E8" w:rsidRPr="000A7BC2" w:rsidRDefault="001149E8" w:rsidP="00114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la </w:t>
      </w:r>
      <w:proofErr w:type="spellStart"/>
      <w:r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Hotărîrea</w:t>
      </w:r>
      <w:proofErr w:type="spellEnd"/>
      <w:r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Guvernului </w:t>
      </w:r>
    </w:p>
    <w:p w14:paraId="0D10B047" w14:textId="77777777" w:rsidR="001149E8" w:rsidRPr="000A7BC2" w:rsidRDefault="00E85A23" w:rsidP="00114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nr.</w:t>
      </w:r>
      <w:r w:rsidR="001149E8"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</w:t>
      </w:r>
      <w:r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         </w:t>
      </w:r>
      <w:r w:rsidR="001149E8"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din </w:t>
      </w:r>
    </w:p>
    <w:p w14:paraId="54474E03" w14:textId="77777777" w:rsidR="001374E4" w:rsidRPr="000A7BC2" w:rsidRDefault="001149E8" w:rsidP="0013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 </w:t>
      </w:r>
    </w:p>
    <w:p w14:paraId="4E88A819" w14:textId="77777777" w:rsidR="001374E4" w:rsidRPr="000A7BC2" w:rsidRDefault="00017B59" w:rsidP="0013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0A7BC2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REGULAMENTUL</w:t>
      </w:r>
      <w:r w:rsidR="001374E4" w:rsidRPr="000A7BC2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</w:t>
      </w:r>
    </w:p>
    <w:p w14:paraId="6BA5AD35" w14:textId="77777777" w:rsidR="001374E4" w:rsidRPr="000A7BC2" w:rsidRDefault="001374E4" w:rsidP="0013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0A7BC2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privind </w:t>
      </w:r>
      <w:r w:rsidR="009B4640" w:rsidRPr="000A7BC2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evaluarea activită</w:t>
      </w:r>
      <w:r w:rsidR="00DF47F9" w:rsidRPr="000A7BC2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ții parcului</w:t>
      </w:r>
      <w:r w:rsidRPr="000A7BC2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pentru tehnologia informației </w:t>
      </w:r>
    </w:p>
    <w:p w14:paraId="4DF2BA32" w14:textId="77777777" w:rsidR="001374E4" w:rsidRPr="000A7BC2" w:rsidRDefault="001374E4" w:rsidP="0013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14:paraId="73DDF863" w14:textId="77777777" w:rsidR="001374E4" w:rsidRPr="000A7BC2" w:rsidRDefault="001374E4" w:rsidP="001374E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0A7BC2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DISPOZIȚII GENERALE</w:t>
      </w:r>
    </w:p>
    <w:p w14:paraId="258EE135" w14:textId="77777777" w:rsidR="001374E4" w:rsidRPr="000A7BC2" w:rsidRDefault="001374E4" w:rsidP="0013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14:paraId="75626FD0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0A7BC2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Prezentul Regulament este elaborat în conformitate cu </w:t>
      </w:r>
      <w:r w:rsidR="006C6388" w:rsidRPr="000A7BC2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articolul 17 din </w:t>
      </w:r>
      <w:r w:rsidRPr="000A7BC2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Legea cu privire la parcurile pentru tehnologia informației 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nr. 77 din 21.04.2016 </w:t>
      </w:r>
      <w:r w:rsidRPr="000A7BC2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și stabilește modul de formare și atribuțiile </w:t>
      </w:r>
      <w:r w:rsidR="00A07830" w:rsidRPr="000A7BC2">
        <w:rPr>
          <w:rFonts w:ascii="Times New Roman" w:eastAsia="Calibri" w:hAnsi="Times New Roman" w:cs="Times New Roman"/>
          <w:sz w:val="28"/>
          <w:szCs w:val="28"/>
          <w:lang w:val="ro-MO"/>
        </w:rPr>
        <w:t>C</w:t>
      </w:r>
      <w:r w:rsidRPr="000A7BC2">
        <w:rPr>
          <w:rFonts w:ascii="Times New Roman" w:eastAsia="Calibri" w:hAnsi="Times New Roman" w:cs="Times New Roman"/>
          <w:sz w:val="28"/>
          <w:szCs w:val="28"/>
          <w:lang w:val="ro-MO"/>
        </w:rPr>
        <w:t>omisiei de evaluare a activității parcurilor pentru tehnologia informației (în continuare – Parcul), precum și procedura, criteriile și cerințele privind evaluarea activității parcurilor.</w:t>
      </w:r>
    </w:p>
    <w:p w14:paraId="5C687C4A" w14:textId="129E36FA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Evaluarea rezultatelor activității </w:t>
      </w:r>
      <w:r w:rsidRPr="000A7BC2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Parcului 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s</w:t>
      </w:r>
      <w:r w:rsidR="00487585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e efectuează anual, de către o C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omisie constituită prin </w:t>
      </w:r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 xml:space="preserve">ordinul Ministerului </w:t>
      </w:r>
      <w:r w:rsidR="00F57D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>Economiei și Infrastructurii</w:t>
      </w:r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 xml:space="preserve"> (în continuare – ”Comisia de evaluare”). </w:t>
      </w:r>
      <w:r w:rsidRPr="000A7BC2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u-RU"/>
        </w:rPr>
        <w:t>În componența Comisiei</w:t>
      </w:r>
      <w:r w:rsidR="00A90A22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de evaluare intră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reprezentanții </w:t>
      </w:r>
      <w:r w:rsidRPr="000A7BC2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u-RU"/>
        </w:rPr>
        <w:t xml:space="preserve">Ministerului </w:t>
      </w:r>
      <w:r w:rsidR="00F57D8A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u-RU"/>
        </w:rPr>
        <w:t>Economiei și Infrastructurii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  <w:r w:rsidR="0014180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La necesitate, Comisia de evaluare atrage în activitatea sa reprezentanții altor autorități ale administrației publice centrale de specialitate. 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</w:t>
      </w:r>
    </w:p>
    <w:p w14:paraId="2F751B4B" w14:textId="2F3E8EB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P</w:t>
      </w:r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 xml:space="preserve">reședintele și secretarul Comisiei de evaluare </w:t>
      </w:r>
      <w:proofErr w:type="spellStart"/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>sînt</w:t>
      </w:r>
      <w:proofErr w:type="spellEnd"/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 xml:space="preserve"> numiți 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prin </w:t>
      </w:r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 xml:space="preserve">ordinul Ministerului </w:t>
      </w:r>
      <w:r w:rsidR="00F57D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>Economiei și Infrastructurii</w:t>
      </w:r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 xml:space="preserve"> din </w:t>
      </w:r>
      <w:proofErr w:type="spellStart"/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>rîndul</w:t>
      </w:r>
      <w:proofErr w:type="spellEnd"/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 xml:space="preserve"> membrilor comisiei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.</w:t>
      </w:r>
    </w:p>
    <w:p w14:paraId="3AA4E21D" w14:textId="2A5FFAFE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 xml:space="preserve">Ministerul </w:t>
      </w:r>
      <w:r w:rsidR="00F57D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>Economiei și Infrastructurii</w:t>
      </w:r>
      <w:r w:rsidRPr="000A7B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o-MO" w:eastAsia="ru-RU"/>
        </w:rPr>
        <w:t xml:space="preserve"> va aproba ordinul cu privire la </w:t>
      </w:r>
      <w:r w:rsidRPr="000A7BC2">
        <w:rPr>
          <w:rFonts w:ascii="Times New Roman" w:eastAsia="Calibri" w:hAnsi="Times New Roman" w:cs="Times New Roman"/>
          <w:sz w:val="28"/>
          <w:szCs w:val="28"/>
          <w:lang w:val="ro-MO"/>
        </w:rPr>
        <w:t>constituirea Comisiei de evaluare în termen de 3 luni de la intrarea în vigoare a prezentului Regulament.</w:t>
      </w:r>
    </w:p>
    <w:p w14:paraId="62835284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0A7BC2">
        <w:rPr>
          <w:rFonts w:ascii="Times New Roman" w:eastAsia="Calibri" w:hAnsi="Times New Roman" w:cs="Times New Roman"/>
          <w:sz w:val="28"/>
          <w:szCs w:val="28"/>
          <w:lang w:val="ro-MO"/>
        </w:rPr>
        <w:t>La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solicitarea Comisiei de evaluare, Administrația Parcului participă la procedura de evaluare, oferă asistență și asigură accesul la informația solicitată.</w:t>
      </w:r>
    </w:p>
    <w:p w14:paraId="630185F1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Evaluarea rezultatelor activității Parcului, se efectuează în conformitate cu următoarele principii:</w:t>
      </w:r>
    </w:p>
    <w:p w14:paraId="5AB274F5" w14:textId="48DC6B9E" w:rsidR="00122A85" w:rsidRDefault="001374E4" w:rsidP="00B23F45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a) </w:t>
      </w:r>
      <w:r w:rsidR="00122A8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buna administrare și eficiență;</w:t>
      </w:r>
    </w:p>
    <w:p w14:paraId="4C7C4F48" w14:textId="64451250" w:rsidR="001374E4" w:rsidRPr="000A7BC2" w:rsidRDefault="00122A85" w:rsidP="00B23F45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b) </w:t>
      </w:r>
      <w:r w:rsidR="001374E4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imparțialitatea și obiectivitatea în procesul evaluării;</w:t>
      </w:r>
    </w:p>
    <w:p w14:paraId="57FA6A1A" w14:textId="30313F02" w:rsidR="001374E4" w:rsidRPr="000A7BC2" w:rsidRDefault="00122A85" w:rsidP="00B23F45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</w:t>
      </w:r>
      <w:r w:rsidR="001374E4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) transparența în procesul evaluării;</w:t>
      </w:r>
    </w:p>
    <w:p w14:paraId="3CC54555" w14:textId="1630AC0C" w:rsidR="001374E4" w:rsidRPr="000A7BC2" w:rsidRDefault="00122A85" w:rsidP="00B23F45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</w:t>
      </w:r>
      <w:r w:rsidR="001374E4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) integritate și profesionalism.</w:t>
      </w:r>
    </w:p>
    <w:p w14:paraId="77019834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Rezultatele evaluării activității Parcului </w:t>
      </w:r>
      <w:proofErr w:type="spellStart"/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sînt</w:t>
      </w:r>
      <w:proofErr w:type="spellEnd"/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utilizate </w:t>
      </w:r>
      <w:r w:rsidR="0072485D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de către Administrația Parcului 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pentru:</w:t>
      </w:r>
    </w:p>
    <w:p w14:paraId="13390A4A" w14:textId="77777777" w:rsidR="001374E4" w:rsidRPr="000A7BC2" w:rsidRDefault="001374E4" w:rsidP="00B23F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a) organizarea funcționării adecvate a Parcului;</w:t>
      </w:r>
    </w:p>
    <w:p w14:paraId="0E4C750E" w14:textId="77777777" w:rsidR="001374E4" w:rsidRPr="000A7BC2" w:rsidRDefault="001374E4" w:rsidP="00B23F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b) formularea de 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propuneri privind dezvoltarea activității Parcului;</w:t>
      </w:r>
    </w:p>
    <w:p w14:paraId="26334818" w14:textId="77777777" w:rsidR="001374E4" w:rsidRPr="000A7BC2" w:rsidRDefault="001374E4" w:rsidP="00B23F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c) perfecționarea administrării Parcului.</w:t>
      </w:r>
    </w:p>
    <w:p w14:paraId="1861886E" w14:textId="77777777" w:rsidR="001374E4" w:rsidRPr="000A7BC2" w:rsidRDefault="001374E4" w:rsidP="00137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val="ro-MO" w:eastAsia="en-GB"/>
        </w:rPr>
      </w:pPr>
    </w:p>
    <w:p w14:paraId="70BB90EA" w14:textId="77777777" w:rsidR="001374E4" w:rsidRPr="000A7BC2" w:rsidRDefault="001374E4" w:rsidP="001374E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0A7BC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COMISIA DE EVALUARE</w:t>
      </w:r>
    </w:p>
    <w:p w14:paraId="66B3609C" w14:textId="77777777" w:rsidR="001374E4" w:rsidRPr="000A7BC2" w:rsidRDefault="001374E4" w:rsidP="0013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</w:p>
    <w:p w14:paraId="0A8E2767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Comisia de evaluare își desfășoară activitatea în ședințe de lucru</w:t>
      </w:r>
      <w:r w:rsidR="00407A82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, care se convoacă</w:t>
      </w:r>
      <w:r w:rsidR="00591DA8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la necesitate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 Data și lo</w:t>
      </w:r>
      <w:r w:rsidR="00B13E1F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cul desfășurării primei ședințe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a Comisiei de evaluare se stabilesc de pr</w:t>
      </w:r>
      <w:r w:rsidR="00781790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eședinte în comun</w:t>
      </w:r>
      <w:r w:rsidR="00407A82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cu secretarul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.  </w:t>
      </w:r>
    </w:p>
    <w:p w14:paraId="0A8A4F05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Comisia</w:t>
      </w:r>
      <w:r w:rsidR="00781790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de evaluare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decide asupra numărului ședințelor de lucru în funcție de complexitatea procedurii de evaluare. </w:t>
      </w:r>
    </w:p>
    <w:p w14:paraId="770639EC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lastRenderedPageBreak/>
        <w:t xml:space="preserve">Președintele Comisiei de evaluare coordonează procesul desfășurării procedurii de evaluare și prezidează ședințele Comisiei. </w:t>
      </w:r>
    </w:p>
    <w:p w14:paraId="44E8FB09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Secretarul Comisiei de evaluare este responsabil de organizarea și desfășurarea procedurii de evaluare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, </w:t>
      </w:r>
      <w:proofErr w:type="spellStart"/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avînd</w:t>
      </w:r>
      <w:proofErr w:type="spellEnd"/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următoarele responsabilități de bază: </w:t>
      </w:r>
    </w:p>
    <w:p w14:paraId="38F35C1D" w14:textId="77777777" w:rsidR="001374E4" w:rsidRPr="000A7BC2" w:rsidRDefault="001374E4" w:rsidP="00B23F45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planificarea și organizarea ședințelor Comisiei de evaluare; </w:t>
      </w:r>
    </w:p>
    <w:p w14:paraId="6B21A830" w14:textId="77777777" w:rsidR="001374E4" w:rsidRPr="000A7BC2" w:rsidRDefault="001374E4" w:rsidP="00B23F45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colectarea rapoartelor anuale referitoare la activitatea Parcului, precum și a altor materiale relevante disponibile;</w:t>
      </w:r>
    </w:p>
    <w:p w14:paraId="053E299C" w14:textId="77777777" w:rsidR="001374E4" w:rsidRPr="000A7BC2" w:rsidRDefault="001374E4" w:rsidP="00B23F45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prezentarea materialelor colectate membrilor Comisiei de evaluare cu cel puțin 5 zile înainte de ședința Comisiei; </w:t>
      </w:r>
    </w:p>
    <w:p w14:paraId="3CCEF600" w14:textId="3F9F7B39" w:rsidR="001374E4" w:rsidRPr="000A7BC2" w:rsidRDefault="001374E4" w:rsidP="00B23F45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întocmirea raportului final cu privire la </w:t>
      </w:r>
      <w:r w:rsidR="007672B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evaluare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a activității Parcului și </w:t>
      </w:r>
      <w:r w:rsidR="00591DA8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prezentarea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 acestuia 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Ministerului </w:t>
      </w:r>
      <w:r w:rsidR="00F57D8A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Economiei și Infrastructurii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în termenul prevăzut de prezentul Regulament.</w:t>
      </w:r>
    </w:p>
    <w:p w14:paraId="6AC03DE8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Principalele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sarcini ale Comisiei de evaluare în cadrul procedurii de evaluare a activității Parcului </w:t>
      </w:r>
      <w:proofErr w:type="spellStart"/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sînt</w:t>
      </w:r>
      <w:proofErr w:type="spellEnd"/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: </w:t>
      </w:r>
    </w:p>
    <w:p w14:paraId="6C13DA4D" w14:textId="77777777" w:rsidR="001374E4" w:rsidRPr="000A7BC2" w:rsidRDefault="001374E4" w:rsidP="00B23F45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analiza și evaluarea gradului de realizare a obiectivelor Parcului; </w:t>
      </w:r>
    </w:p>
    <w:p w14:paraId="50AAA0D3" w14:textId="77777777" w:rsidR="001374E4" w:rsidRPr="000A7BC2" w:rsidRDefault="001374E4" w:rsidP="00B23F45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identificarea și analiza problem</w:t>
      </w:r>
      <w:r w:rsidR="00EC628A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elor și obstacolelor care împiedică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realizarea obiectivelor stabilite; </w:t>
      </w:r>
    </w:p>
    <w:p w14:paraId="3CE8AB60" w14:textId="6447017D" w:rsidR="001374E4" w:rsidRPr="000A7BC2" w:rsidRDefault="001374E4" w:rsidP="00B23F45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elaborarea și </w:t>
      </w:r>
      <w:r w:rsidR="004F284F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prezentarea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Ministerul</w:t>
      </w:r>
      <w:r w:rsidR="004F284F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ui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 </w:t>
      </w:r>
      <w:r w:rsidR="00F57D8A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Economiei și Infrastructurii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a raportului de evaluare, </w:t>
      </w:r>
      <w:proofErr w:type="spellStart"/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conținînd</w:t>
      </w:r>
      <w:proofErr w:type="spellEnd"/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concluziile sale cu privire la rezultatele evaluării. </w:t>
      </w:r>
    </w:p>
    <w:p w14:paraId="45034ADB" w14:textId="62DC6E9D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Ministerul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</w:t>
      </w:r>
      <w:r w:rsidR="00F57D8A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Economiei și Infrastructurii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sau, după caz, Administrația Parcului va oferi spațiu pentru întrunirea în ședințe de lucru a membrilor Comisiei de evaluare.   </w:t>
      </w:r>
    </w:p>
    <w:p w14:paraId="2A5B8A41" w14:textId="77777777" w:rsidR="001374E4" w:rsidRPr="000A7BC2" w:rsidRDefault="001374E4" w:rsidP="001374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</w:p>
    <w:p w14:paraId="14D39929" w14:textId="77777777" w:rsidR="001374E4" w:rsidRPr="000A7BC2" w:rsidRDefault="001374E4" w:rsidP="001374E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0A7BC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PROCEDURA DE EVALUARE</w:t>
      </w:r>
    </w:p>
    <w:p w14:paraId="14A7808E" w14:textId="77777777" w:rsidR="001374E4" w:rsidRPr="000A7BC2" w:rsidRDefault="001374E4" w:rsidP="001374E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</w:p>
    <w:p w14:paraId="78FB8613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Activitatea Parcului este evaluată o dată pe an, </w:t>
      </w:r>
      <w:proofErr w:type="spellStart"/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începînd</w:t>
      </w:r>
      <w:proofErr w:type="spellEnd"/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cu anul următor celui în care a fost creat Parcul.</w:t>
      </w:r>
    </w:p>
    <w:p w14:paraId="64537379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Procedura de evaluare constă în examinarea de către Comisia de evaluare a următoarelor documente:</w:t>
      </w:r>
    </w:p>
    <w:p w14:paraId="7081CA70" w14:textId="77777777" w:rsidR="001374E4" w:rsidRPr="000A7BC2" w:rsidRDefault="00396DD3" w:rsidP="00B23F45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rapoarte de activitate anuale</w:t>
      </w:r>
      <w:r w:rsidR="001374E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refer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itoare la activitatea Parcului</w:t>
      </w:r>
      <w:r w:rsidR="001374E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;</w:t>
      </w:r>
    </w:p>
    <w:p w14:paraId="3E401097" w14:textId="77777777" w:rsidR="001374E4" w:rsidRPr="000A7BC2" w:rsidRDefault="00396DD3" w:rsidP="00B23F45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proiecte</w:t>
      </w:r>
      <w:r w:rsidR="001374E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de dezvoltare a Parcului elaborate de către Administrația Parcului și gradul de implementarea ale acestora;</w:t>
      </w:r>
    </w:p>
    <w:p w14:paraId="3AC94BE5" w14:textId="4DA85898" w:rsidR="001374E4" w:rsidRPr="000A7BC2" w:rsidRDefault="001374E4" w:rsidP="00B23F45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propunerile privind dezvoltarea activității Parcului înaintate de Administrație către Ministerul </w:t>
      </w:r>
      <w:r w:rsidR="00F57D8A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Economiei și Infrastructurii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.</w:t>
      </w:r>
    </w:p>
    <w:p w14:paraId="57715E44" w14:textId="0FD8CBB2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În scopul exercitării atribuțiilor sale, Comisia de evaluare are dreptul să solicite de la Administrația Parcului</w:t>
      </w:r>
      <w:r w:rsidR="0061314D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și, după caz, de la rezidenți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documentele și informațiile necesare.</w:t>
      </w:r>
    </w:p>
    <w:p w14:paraId="333A3AE2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Activitatea Parcului este evaluată din perspectiva îndeplinirii următoarelor obiective: </w:t>
      </w:r>
    </w:p>
    <w:p w14:paraId="5BF1C452" w14:textId="035E6801" w:rsidR="00FA6FC3" w:rsidRPr="000A7BC2" w:rsidRDefault="00FA6FC3" w:rsidP="004618C3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crește</w:t>
      </w:r>
      <w:r w:rsidR="005B43E0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rea numărului </w:t>
      </w:r>
      <w:r w:rsidR="005B43E0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rezidenților</w:t>
      </w:r>
      <w:r w:rsidR="002748C7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, </w:t>
      </w:r>
      <w:r w:rsidR="005B43E0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venitului din </w:t>
      </w:r>
      <w:proofErr w:type="spellStart"/>
      <w:r w:rsidR="005B43E0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vînzări</w:t>
      </w:r>
      <w:proofErr w:type="spellEnd"/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 a</w:t>
      </w:r>
      <w:r w:rsidR="005B43E0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l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 acestora</w:t>
      </w:r>
      <w:r w:rsidR="005B43E0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, precum și </w:t>
      </w:r>
      <w:r w:rsidR="00670600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sumelor </w:t>
      </w:r>
      <w:r w:rsidR="00647F23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achitate de rezidenți </w:t>
      </w:r>
      <w:r w:rsidR="00F17DEB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cu titlu de impozit unic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;</w:t>
      </w:r>
    </w:p>
    <w:p w14:paraId="65055DEC" w14:textId="45BD7D20" w:rsidR="00383BF7" w:rsidRPr="000A7BC2" w:rsidRDefault="00383BF7" w:rsidP="004618C3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ponderea produselor și</w:t>
      </w:r>
      <w:r w:rsidR="00853D20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/sau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 serviciilor în domeniul IT în venitul din </w:t>
      </w:r>
      <w:proofErr w:type="spellStart"/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vînzări</w:t>
      </w:r>
      <w:proofErr w:type="spellEnd"/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 al rezidenților mai mare de 70%;</w:t>
      </w:r>
    </w:p>
    <w:p w14:paraId="19F1024D" w14:textId="0D8B358D" w:rsidR="004618C3" w:rsidRPr="000A7BC2" w:rsidRDefault="001374E4" w:rsidP="004618C3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creșterea </w:t>
      </w:r>
      <w:r w:rsidR="009C5008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volumului exportului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</w:t>
      </w:r>
      <w:r w:rsidR="004618C3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produselor și</w:t>
      </w:r>
      <w:r w:rsidR="00C35C98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/sau</w:t>
      </w:r>
      <w:r w:rsidR="004618C3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serviciilor </w:t>
      </w:r>
      <w:r w:rsidR="00840250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 xml:space="preserve">în domeniul IT </w:t>
      </w:r>
      <w:r w:rsidR="00853D20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de</w:t>
      </w:r>
      <w:r w:rsidR="00840250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</w:t>
      </w:r>
      <w:r w:rsidR="00853D20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către companiile</w:t>
      </w:r>
      <w:r w:rsidR="009C5008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</w:t>
      </w:r>
      <w:r w:rsidR="004618C3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rezidente ale</w:t>
      </w:r>
      <w:r w:rsidR="009C5008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parcului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;</w:t>
      </w:r>
    </w:p>
    <w:p w14:paraId="4DF1F619" w14:textId="30921254" w:rsidR="001374E4" w:rsidRPr="000A7BC2" w:rsidRDefault="00FE037D" w:rsidP="00B23F4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asigurarea mecanismelor de </w:t>
      </w:r>
      <w:r w:rsidR="00853D20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atragere, 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consiliere și susținere a companiilor IT noi</w:t>
      </w:r>
      <w:r w:rsidR="001374E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; </w:t>
      </w:r>
    </w:p>
    <w:p w14:paraId="567B0AC7" w14:textId="1539BCEF" w:rsidR="001374E4" w:rsidRPr="000A7BC2" w:rsidRDefault="00EF2A33" w:rsidP="00B23F4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lastRenderedPageBreak/>
        <w:t>creșterea volumului investițiilor în activitatea companiilor IT rezidente ale parcului</w:t>
      </w:r>
      <w:r w:rsidR="001374E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; </w:t>
      </w:r>
      <w:bookmarkStart w:id="0" w:name="_GoBack"/>
      <w:bookmarkEnd w:id="0"/>
    </w:p>
    <w:p w14:paraId="49594B22" w14:textId="6311CFC6" w:rsidR="001374E4" w:rsidRPr="000A7BC2" w:rsidRDefault="005F5302" w:rsidP="00B23F4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creșterea numărului</w:t>
      </w:r>
      <w:r w:rsidR="001374E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produse</w:t>
      </w:r>
      <w:r w:rsidR="00D958D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lor</w:t>
      </w:r>
      <w:r w:rsidR="001374E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</w:t>
      </w:r>
      <w:r w:rsidR="00D958D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IT inovative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create de către rezidenții parcului</w:t>
      </w:r>
      <w:r w:rsidR="001374E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;</w:t>
      </w:r>
    </w:p>
    <w:p w14:paraId="01A44533" w14:textId="77777777" w:rsidR="001374E4" w:rsidRPr="000A7BC2" w:rsidRDefault="001374E4" w:rsidP="00B23F4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stabilirea parteneriatelor </w:t>
      </w:r>
      <w:r w:rsidR="00AD06C0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internaționale pentru transferul de cunoștințe și tehnologii IT</w:t>
      </w:r>
      <w:r w:rsidR="003814C3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, </w:t>
      </w:r>
      <w:r w:rsidR="003814C3" w:rsidRPr="000A7BC2">
        <w:rPr>
          <w:rFonts w:ascii="Times New Roman" w:eastAsia="Times New Roman" w:hAnsi="Times New Roman" w:cs="Times New Roman"/>
          <w:sz w:val="28"/>
          <w:szCs w:val="28"/>
          <w:lang w:val="ro-MO" w:eastAsia="en-GB"/>
        </w:rPr>
        <w:t>inclusiv atragerea specialiștilor IT străini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; </w:t>
      </w:r>
    </w:p>
    <w:p w14:paraId="15FF73F2" w14:textId="77777777" w:rsidR="001374E4" w:rsidRPr="000A7BC2" w:rsidRDefault="00FA6FC3" w:rsidP="00B23F4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creșterea numărului </w:t>
      </w:r>
      <w:r w:rsidR="001374E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locurilor de muncă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 calificate în domeniul IT</w:t>
      </w:r>
      <w:r w:rsidR="001374E4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.</w:t>
      </w:r>
    </w:p>
    <w:p w14:paraId="040FCA29" w14:textId="505C83F2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Procedura de evaluare a activității Parcului </w:t>
      </w:r>
      <w:r w:rsidR="00ED1709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de către Comisia de evaluare 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are </w:t>
      </w:r>
      <w:r w:rsidR="00ED1709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loc după efectuarea auditului anual a</w:t>
      </w:r>
      <w:r w:rsidR="00293CCB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l</w:t>
      </w:r>
      <w:r w:rsidR="00ED1709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activității economico-financiare a rezidenților parcului</w:t>
      </w:r>
      <w:r w:rsidR="00A26667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,</w:t>
      </w:r>
      <w:r w:rsidR="00ED1709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</w:t>
      </w:r>
      <w:r w:rsidR="00293CCB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prevăzut în articolul 18 din Legea nr.77 din 21.04.2016 cu privire la parcurile pentru tehnologia informaţiei</w:t>
      </w:r>
      <w:r w:rsidR="00ED1709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.</w:t>
      </w:r>
      <w:r w:rsidR="00E46957" w:rsidRPr="000A7BC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ro-MO" w:eastAsia="en-GB"/>
        </w:rPr>
        <w:t xml:space="preserve"> </w:t>
      </w:r>
    </w:p>
    <w:p w14:paraId="6CCB2B32" w14:textId="77777777" w:rsidR="001374E4" w:rsidRPr="000A7BC2" w:rsidRDefault="001374E4" w:rsidP="001374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49450A5F" w14:textId="77777777" w:rsidR="001374E4" w:rsidRPr="000A7BC2" w:rsidRDefault="001374E4" w:rsidP="001374E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0A7BC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</w:t>
      </w:r>
      <w:r w:rsidRPr="000A7BC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REZULTATELE EVALUĂRII ȘI RAPORTUL FINAL</w:t>
      </w:r>
    </w:p>
    <w:p w14:paraId="78ABC1A4" w14:textId="77777777" w:rsidR="001374E4" w:rsidRPr="000A7BC2" w:rsidRDefault="001374E4" w:rsidP="001374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29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70309654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Efectuarea evaluării se finalizează cu întocmirea în mod obligatoriu a raportului final de evaluare.</w:t>
      </w:r>
    </w:p>
    <w:p w14:paraId="13040822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Raportul de evaluare va conține opinia clară a Comisiei de evaluare privind rezultatele evaluării.</w:t>
      </w:r>
    </w:p>
    <w:p w14:paraId="1CB8BE52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În raportul de evaluare se includ următoarele informații:</w:t>
      </w:r>
    </w:p>
    <w:p w14:paraId="766A0B94" w14:textId="77777777" w:rsidR="001374E4" w:rsidRPr="000A7BC2" w:rsidRDefault="001374E4" w:rsidP="00B23F45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data întocmirii raportului;</w:t>
      </w:r>
    </w:p>
    <w:p w14:paraId="5D4B2B05" w14:textId="77777777" w:rsidR="001374E4" w:rsidRPr="000A7BC2" w:rsidRDefault="001374E4" w:rsidP="00B23F45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denumirea Parcului;</w:t>
      </w:r>
    </w:p>
    <w:p w14:paraId="27BE3B34" w14:textId="77777777" w:rsidR="001374E4" w:rsidRPr="000A7BC2" w:rsidRDefault="001374E4" w:rsidP="00B23F45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perioada evaluată;</w:t>
      </w:r>
    </w:p>
    <w:p w14:paraId="47F2124E" w14:textId="77777777" w:rsidR="001374E4" w:rsidRPr="000A7BC2" w:rsidRDefault="001374E4" w:rsidP="00B23F45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componența membrilor Comisiei de evaluare;</w:t>
      </w:r>
    </w:p>
    <w:p w14:paraId="2CB52110" w14:textId="77777777" w:rsidR="001374E4" w:rsidRPr="000A7BC2" w:rsidRDefault="001374E4" w:rsidP="00B23F45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modul de lucru al Comisiei de evaluare şi de desfășurare a procedurii de evaluare; </w:t>
      </w:r>
    </w:p>
    <w:p w14:paraId="3BC23DC7" w14:textId="77777777" w:rsidR="001374E4" w:rsidRPr="000A7BC2" w:rsidRDefault="001374E4" w:rsidP="00B23F45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descrierea rezultatelor evaluării, cu indicarea gradului de realizare a obiectivelor Parcului;</w:t>
      </w:r>
    </w:p>
    <w:p w14:paraId="25C8C267" w14:textId="77777777" w:rsidR="001374E4" w:rsidRPr="000A7BC2" w:rsidRDefault="001374E4" w:rsidP="00B23F45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problemele sau obstacolele care previn realizarea obiectivelor Parcului;</w:t>
      </w:r>
    </w:p>
    <w:p w14:paraId="21D6AB5B" w14:textId="77777777" w:rsidR="001374E4" w:rsidRPr="000A7BC2" w:rsidRDefault="001374E4" w:rsidP="00B23F45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 xml:space="preserve">altă informație pe care Comisia de evaluare o consideră necesară; </w:t>
      </w:r>
    </w:p>
    <w:p w14:paraId="437895E7" w14:textId="083EAEB0" w:rsidR="001374E4" w:rsidRPr="000A7BC2" w:rsidRDefault="001374E4" w:rsidP="00B23F45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en-GB"/>
        </w:rPr>
        <w:t>la raport se vor anexa copiile de pe actele utilizate de Comisia de evaluare, în baza cărora au fost formulate concluziile sale.</w:t>
      </w:r>
    </w:p>
    <w:p w14:paraId="041BA294" w14:textId="3C82A616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Administrația Parcului are dreptul să participe la procedura de evaluare </w:t>
      </w:r>
      <w:r w:rsidR="00A26667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cu statut de observator 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și să </w:t>
      </w:r>
      <w:r w:rsidR="00FB7FF8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facă cunoștință cu proiectul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raportului </w:t>
      </w:r>
      <w:r w:rsidR="00FB7FF8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de evaluare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. Administrația Parcului </w:t>
      </w:r>
      <w:r w:rsidR="0030597C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are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dreptul să prezinte </w:t>
      </w:r>
      <w:r w:rsidR="00D82460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Comisiei 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observații</w:t>
      </w:r>
      <w:r w:rsidR="00FB7FF8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le sale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asupra acestuia sau i</w:t>
      </w:r>
      <w:r w:rsidR="00D82460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nformații adiționale</w:t>
      </w:r>
      <w:r w:rsidR="004A7BF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, după caz,</w:t>
      </w:r>
      <w:r w:rsidR="009233C1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în termen de 10 zile calendaristice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. </w:t>
      </w:r>
    </w:p>
    <w:p w14:paraId="3338AB35" w14:textId="77777777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Raportul final </w:t>
      </w:r>
      <w:r w:rsidR="009233C1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este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semnat de </w:t>
      </w:r>
      <w:r w:rsidR="009233C1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către 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toți membri</w:t>
      </w:r>
      <w:r w:rsidR="009233C1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a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i Comisiei de evaluare.</w:t>
      </w:r>
    </w:p>
    <w:p w14:paraId="200CE6E0" w14:textId="7B2A624B" w:rsidR="001374E4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Secretarul Comisiei de evaluare va prezenta Ministerului </w:t>
      </w:r>
      <w:r w:rsidR="00F57D8A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Economiei și Infrastructurii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raportul final cu privire la evaluarea activității Parcului în termen de 30 de zile de la finalizarea procedurii de evaluare. </w:t>
      </w:r>
    </w:p>
    <w:p w14:paraId="2A01D1F4" w14:textId="10B2B640" w:rsidR="00003F49" w:rsidRPr="000A7BC2" w:rsidRDefault="001374E4" w:rsidP="00B23F45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În baza raportului de evaluare, Ministerul </w:t>
      </w:r>
      <w:r w:rsidR="00F57D8A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Economiei și Infrastructurii</w:t>
      </w:r>
      <w:r w:rsidR="000C4EAB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constată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</w:t>
      </w:r>
      <w:r w:rsidR="000C4EAB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realizarea sau nerealizarea obiectivelor</w:t>
      </w:r>
      <w:r w:rsidR="00067C66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Parcului</w:t>
      </w: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>.</w:t>
      </w:r>
    </w:p>
    <w:p w14:paraId="22E0486C" w14:textId="3FD2B14A" w:rsidR="001149E8" w:rsidRPr="000A7BC2" w:rsidRDefault="001374E4" w:rsidP="008C62D0">
      <w:pPr>
        <w:widowControl w:val="0"/>
        <w:numPr>
          <w:ilvl w:val="0"/>
          <w:numId w:val="1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</w:pPr>
      <w:r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În cazul în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care</w:t>
      </w:r>
      <w:r w:rsidR="009B0A11"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,</w:t>
      </w:r>
      <w:r w:rsidR="009B0A11" w:rsidRPr="000A7BC2">
        <w:rPr>
          <w:rFonts w:ascii="Times New Roman" w:eastAsia="Times New Roman" w:hAnsi="Times New Roman" w:cs="Times New Roman"/>
          <w:bCs/>
          <w:sz w:val="28"/>
          <w:szCs w:val="28"/>
          <w:lang w:val="ro-MO" w:eastAsia="en-GB"/>
        </w:rPr>
        <w:t xml:space="preserve"> </w:t>
      </w:r>
      <w:r w:rsidR="009B0A11" w:rsidRPr="000A7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în baza raportului de evaluare,</w:t>
      </w:r>
      <w:r w:rsidRPr="000A7BC2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</w:t>
      </w:r>
      <w:r w:rsidR="007F7740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se</w:t>
      </w:r>
      <w:r w:rsidR="009B0A11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constata că Parcul nu</w:t>
      </w:r>
      <w:r w:rsidR="004A7BF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-și</w:t>
      </w:r>
      <w:r w:rsidR="009B0A11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realizează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4A7BF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obiectivele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354CB2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sale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, Ministerul </w:t>
      </w:r>
      <w:r w:rsidR="00F57D8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Economiei și Infrastructurii</w:t>
      </w:r>
      <w:r w:rsidR="00354CB2"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înaintează</w:t>
      </w:r>
      <w:r w:rsidRPr="000A7BC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Guvernului propunerea de desființare a Parcului în conformitate cu prevederile legislației aplicabile.</w:t>
      </w:r>
    </w:p>
    <w:sectPr w:rsidR="001149E8" w:rsidRPr="000A7BC2" w:rsidSect="004A7BF2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6A2"/>
    <w:multiLevelType w:val="hybridMultilevel"/>
    <w:tmpl w:val="5F883A68"/>
    <w:lvl w:ilvl="0" w:tplc="08090017">
      <w:start w:val="1"/>
      <w:numFmt w:val="lowerLetter"/>
      <w:lvlText w:val="%1)"/>
      <w:lvlJc w:val="left"/>
      <w:pPr>
        <w:ind w:left="1002" w:hanging="360"/>
      </w:p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0573B14"/>
    <w:multiLevelType w:val="hybridMultilevel"/>
    <w:tmpl w:val="3634D1C6"/>
    <w:lvl w:ilvl="0" w:tplc="0E542B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B4FB5"/>
    <w:multiLevelType w:val="hybridMultilevel"/>
    <w:tmpl w:val="0B704CC0"/>
    <w:lvl w:ilvl="0" w:tplc="02D29C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730945"/>
    <w:multiLevelType w:val="hybridMultilevel"/>
    <w:tmpl w:val="76CC15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02543"/>
    <w:multiLevelType w:val="hybridMultilevel"/>
    <w:tmpl w:val="6AFE213C"/>
    <w:lvl w:ilvl="0" w:tplc="B0261C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C3A84"/>
    <w:multiLevelType w:val="hybridMultilevel"/>
    <w:tmpl w:val="40427F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C00E8"/>
    <w:multiLevelType w:val="hybridMultilevel"/>
    <w:tmpl w:val="FE8875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53705"/>
    <w:multiLevelType w:val="hybridMultilevel"/>
    <w:tmpl w:val="EDC8A8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E4609"/>
    <w:multiLevelType w:val="hybridMultilevel"/>
    <w:tmpl w:val="05E46C82"/>
    <w:lvl w:ilvl="0" w:tplc="3BF69B1C">
      <w:start w:val="1"/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30C95846"/>
    <w:multiLevelType w:val="hybridMultilevel"/>
    <w:tmpl w:val="92C88D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864F2"/>
    <w:multiLevelType w:val="hybridMultilevel"/>
    <w:tmpl w:val="999ECE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0648F"/>
    <w:multiLevelType w:val="multilevel"/>
    <w:tmpl w:val="7E8098EE"/>
    <w:lvl w:ilvl="0">
      <w:start w:val="1"/>
      <w:numFmt w:val="decimal"/>
      <w:lvlText w:val="%1."/>
      <w:legacy w:legacy="1" w:legacySpace="0" w:legacyIndent="394"/>
      <w:lvlJc w:val="left"/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ind w:left="2989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hint="default"/>
        <w:b/>
        <w:sz w:val="20"/>
      </w:rPr>
    </w:lvl>
  </w:abstractNum>
  <w:abstractNum w:abstractNumId="12">
    <w:nsid w:val="367E3837"/>
    <w:multiLevelType w:val="hybridMultilevel"/>
    <w:tmpl w:val="3058EE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E4F45"/>
    <w:multiLevelType w:val="hybridMultilevel"/>
    <w:tmpl w:val="89F289AC"/>
    <w:lvl w:ilvl="0" w:tplc="ADBC9B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E12AA"/>
    <w:multiLevelType w:val="hybridMultilevel"/>
    <w:tmpl w:val="6DDC1F04"/>
    <w:lvl w:ilvl="0" w:tplc="475E6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5E4287"/>
    <w:multiLevelType w:val="hybridMultilevel"/>
    <w:tmpl w:val="5F883A68"/>
    <w:lvl w:ilvl="0" w:tplc="08090017">
      <w:start w:val="1"/>
      <w:numFmt w:val="lowerLetter"/>
      <w:lvlText w:val="%1)"/>
      <w:lvlJc w:val="left"/>
      <w:pPr>
        <w:ind w:left="1002" w:hanging="360"/>
      </w:p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>
    <w:nsid w:val="4CC85ACA"/>
    <w:multiLevelType w:val="hybridMultilevel"/>
    <w:tmpl w:val="5F883A68"/>
    <w:lvl w:ilvl="0" w:tplc="08090017">
      <w:start w:val="1"/>
      <w:numFmt w:val="lowerLetter"/>
      <w:lvlText w:val="%1)"/>
      <w:lvlJc w:val="left"/>
      <w:pPr>
        <w:ind w:left="1002" w:hanging="360"/>
      </w:p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>
    <w:nsid w:val="4CCA2E34"/>
    <w:multiLevelType w:val="hybridMultilevel"/>
    <w:tmpl w:val="5C84C0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A0B7E"/>
    <w:multiLevelType w:val="hybridMultilevel"/>
    <w:tmpl w:val="04663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C395C"/>
    <w:multiLevelType w:val="multilevel"/>
    <w:tmpl w:val="80A00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2C21603"/>
    <w:multiLevelType w:val="hybridMultilevel"/>
    <w:tmpl w:val="5F883A68"/>
    <w:lvl w:ilvl="0" w:tplc="08090017">
      <w:start w:val="1"/>
      <w:numFmt w:val="lowerLetter"/>
      <w:lvlText w:val="%1)"/>
      <w:lvlJc w:val="left"/>
      <w:pPr>
        <w:ind w:left="1002" w:hanging="360"/>
      </w:p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1">
    <w:nsid w:val="543953E4"/>
    <w:multiLevelType w:val="hybridMultilevel"/>
    <w:tmpl w:val="FE34C1C2"/>
    <w:lvl w:ilvl="0" w:tplc="A6884D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E7813"/>
    <w:multiLevelType w:val="hybridMultilevel"/>
    <w:tmpl w:val="985CA9E2"/>
    <w:lvl w:ilvl="0" w:tplc="52B8DA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55B51"/>
    <w:multiLevelType w:val="hybridMultilevel"/>
    <w:tmpl w:val="3FF60C2A"/>
    <w:lvl w:ilvl="0" w:tplc="EA766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135CE"/>
    <w:multiLevelType w:val="hybridMultilevel"/>
    <w:tmpl w:val="7DC0A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C7009"/>
    <w:multiLevelType w:val="hybridMultilevel"/>
    <w:tmpl w:val="5F883A68"/>
    <w:lvl w:ilvl="0" w:tplc="08090017">
      <w:start w:val="1"/>
      <w:numFmt w:val="lowerLetter"/>
      <w:lvlText w:val="%1)"/>
      <w:lvlJc w:val="left"/>
      <w:pPr>
        <w:ind w:left="1002" w:hanging="360"/>
      </w:p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6">
    <w:nsid w:val="5EA23323"/>
    <w:multiLevelType w:val="hybridMultilevel"/>
    <w:tmpl w:val="25AED108"/>
    <w:lvl w:ilvl="0" w:tplc="D2D86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A0363"/>
    <w:multiLevelType w:val="hybridMultilevel"/>
    <w:tmpl w:val="3058EE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345D1"/>
    <w:multiLevelType w:val="hybridMultilevel"/>
    <w:tmpl w:val="3058EE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B0260"/>
    <w:multiLevelType w:val="hybridMultilevel"/>
    <w:tmpl w:val="A17A4A44"/>
    <w:lvl w:ilvl="0" w:tplc="9B48A6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E3FA2"/>
    <w:multiLevelType w:val="hybridMultilevel"/>
    <w:tmpl w:val="B4387F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134F2"/>
    <w:multiLevelType w:val="hybridMultilevel"/>
    <w:tmpl w:val="E3DE5980"/>
    <w:lvl w:ilvl="0" w:tplc="02D29C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F1C5BB4"/>
    <w:multiLevelType w:val="hybridMultilevel"/>
    <w:tmpl w:val="17BE54C0"/>
    <w:lvl w:ilvl="0" w:tplc="8A9AD8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4EA7E5C"/>
    <w:multiLevelType w:val="hybridMultilevel"/>
    <w:tmpl w:val="D4429CCE"/>
    <w:lvl w:ilvl="0" w:tplc="02D29CFA">
      <w:start w:val="1"/>
      <w:numFmt w:val="lowerLetter"/>
      <w:lvlText w:val="%1)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7B7C250C"/>
    <w:multiLevelType w:val="hybridMultilevel"/>
    <w:tmpl w:val="3058EE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8"/>
  </w:num>
  <w:num w:numId="4">
    <w:abstractNumId w:val="12"/>
  </w:num>
  <w:num w:numId="5">
    <w:abstractNumId w:val="34"/>
  </w:num>
  <w:num w:numId="6">
    <w:abstractNumId w:val="5"/>
  </w:num>
  <w:num w:numId="7">
    <w:abstractNumId w:val="17"/>
  </w:num>
  <w:num w:numId="8">
    <w:abstractNumId w:val="11"/>
  </w:num>
  <w:num w:numId="9">
    <w:abstractNumId w:val="23"/>
  </w:num>
  <w:num w:numId="10">
    <w:abstractNumId w:val="31"/>
  </w:num>
  <w:num w:numId="11">
    <w:abstractNumId w:val="2"/>
  </w:num>
  <w:num w:numId="12">
    <w:abstractNumId w:val="32"/>
  </w:num>
  <w:num w:numId="13">
    <w:abstractNumId w:val="10"/>
  </w:num>
  <w:num w:numId="14">
    <w:abstractNumId w:val="19"/>
  </w:num>
  <w:num w:numId="15">
    <w:abstractNumId w:val="8"/>
  </w:num>
  <w:num w:numId="16">
    <w:abstractNumId w:val="33"/>
  </w:num>
  <w:num w:numId="17">
    <w:abstractNumId w:val="24"/>
  </w:num>
  <w:num w:numId="18">
    <w:abstractNumId w:val="16"/>
  </w:num>
  <w:num w:numId="19">
    <w:abstractNumId w:val="20"/>
  </w:num>
  <w:num w:numId="20">
    <w:abstractNumId w:val="0"/>
  </w:num>
  <w:num w:numId="21">
    <w:abstractNumId w:val="26"/>
  </w:num>
  <w:num w:numId="22">
    <w:abstractNumId w:val="25"/>
  </w:num>
  <w:num w:numId="23">
    <w:abstractNumId w:val="15"/>
  </w:num>
  <w:num w:numId="24">
    <w:abstractNumId w:val="3"/>
  </w:num>
  <w:num w:numId="25">
    <w:abstractNumId w:val="6"/>
  </w:num>
  <w:num w:numId="26">
    <w:abstractNumId w:val="7"/>
  </w:num>
  <w:num w:numId="27">
    <w:abstractNumId w:val="30"/>
  </w:num>
  <w:num w:numId="28">
    <w:abstractNumId w:val="9"/>
  </w:num>
  <w:num w:numId="29">
    <w:abstractNumId w:val="18"/>
  </w:num>
  <w:num w:numId="30">
    <w:abstractNumId w:val="1"/>
  </w:num>
  <w:num w:numId="31">
    <w:abstractNumId w:val="13"/>
  </w:num>
  <w:num w:numId="32">
    <w:abstractNumId w:val="29"/>
  </w:num>
  <w:num w:numId="33">
    <w:abstractNumId w:val="4"/>
  </w:num>
  <w:num w:numId="34">
    <w:abstractNumId w:val="22"/>
  </w:num>
  <w:num w:numId="35">
    <w:abstractNumId w:val="14"/>
  </w:num>
  <w:numIdMacAtCleanup w:val="3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i servan">
    <w15:presenceInfo w15:providerId="Windows Live" w15:userId="0d5ca5939df321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80"/>
    <w:rsid w:val="00003F49"/>
    <w:rsid w:val="00017B59"/>
    <w:rsid w:val="00053B84"/>
    <w:rsid w:val="00067C66"/>
    <w:rsid w:val="00085ACE"/>
    <w:rsid w:val="00091788"/>
    <w:rsid w:val="000A7BC2"/>
    <w:rsid w:val="000C4EAB"/>
    <w:rsid w:val="000D571F"/>
    <w:rsid w:val="000D74F3"/>
    <w:rsid w:val="001149E8"/>
    <w:rsid w:val="00122A85"/>
    <w:rsid w:val="00123C7F"/>
    <w:rsid w:val="001278EA"/>
    <w:rsid w:val="001374E4"/>
    <w:rsid w:val="00141804"/>
    <w:rsid w:val="001A3BEC"/>
    <w:rsid w:val="001A7488"/>
    <w:rsid w:val="001C242A"/>
    <w:rsid w:val="001C2ACA"/>
    <w:rsid w:val="001C5C44"/>
    <w:rsid w:val="001D21E5"/>
    <w:rsid w:val="001F1D38"/>
    <w:rsid w:val="00206710"/>
    <w:rsid w:val="00212897"/>
    <w:rsid w:val="00222772"/>
    <w:rsid w:val="00227C0D"/>
    <w:rsid w:val="00234283"/>
    <w:rsid w:val="00270ECB"/>
    <w:rsid w:val="002748C7"/>
    <w:rsid w:val="00293CCB"/>
    <w:rsid w:val="0029408D"/>
    <w:rsid w:val="002A0B2E"/>
    <w:rsid w:val="002B1988"/>
    <w:rsid w:val="002E1C8B"/>
    <w:rsid w:val="00302EBC"/>
    <w:rsid w:val="0030597C"/>
    <w:rsid w:val="00326EA2"/>
    <w:rsid w:val="00354CB2"/>
    <w:rsid w:val="0035699D"/>
    <w:rsid w:val="003814C3"/>
    <w:rsid w:val="00383BF7"/>
    <w:rsid w:val="00386BD3"/>
    <w:rsid w:val="00396DD3"/>
    <w:rsid w:val="0039771F"/>
    <w:rsid w:val="003B5456"/>
    <w:rsid w:val="00407A82"/>
    <w:rsid w:val="0043650B"/>
    <w:rsid w:val="004517E1"/>
    <w:rsid w:val="004618C3"/>
    <w:rsid w:val="00473FFB"/>
    <w:rsid w:val="00487585"/>
    <w:rsid w:val="0049067C"/>
    <w:rsid w:val="00493083"/>
    <w:rsid w:val="004A7ABF"/>
    <w:rsid w:val="004A7BF2"/>
    <w:rsid w:val="004B0D75"/>
    <w:rsid w:val="004B367D"/>
    <w:rsid w:val="004C5737"/>
    <w:rsid w:val="004D5483"/>
    <w:rsid w:val="004E6BBA"/>
    <w:rsid w:val="004E7B90"/>
    <w:rsid w:val="004F284F"/>
    <w:rsid w:val="00510C28"/>
    <w:rsid w:val="005133E5"/>
    <w:rsid w:val="00541A1D"/>
    <w:rsid w:val="00591DA8"/>
    <w:rsid w:val="005A0AD4"/>
    <w:rsid w:val="005B43E0"/>
    <w:rsid w:val="005C2B3C"/>
    <w:rsid w:val="005F1446"/>
    <w:rsid w:val="005F5302"/>
    <w:rsid w:val="005F78C4"/>
    <w:rsid w:val="00607ED1"/>
    <w:rsid w:val="0061314D"/>
    <w:rsid w:val="00617C40"/>
    <w:rsid w:val="00617E60"/>
    <w:rsid w:val="00647F23"/>
    <w:rsid w:val="00670600"/>
    <w:rsid w:val="00681714"/>
    <w:rsid w:val="00685219"/>
    <w:rsid w:val="00691AF0"/>
    <w:rsid w:val="006C3FA5"/>
    <w:rsid w:val="006C6388"/>
    <w:rsid w:val="006C7E4C"/>
    <w:rsid w:val="006F00EC"/>
    <w:rsid w:val="0072485D"/>
    <w:rsid w:val="00734E2E"/>
    <w:rsid w:val="007672BC"/>
    <w:rsid w:val="00781790"/>
    <w:rsid w:val="007876EF"/>
    <w:rsid w:val="007C0B36"/>
    <w:rsid w:val="007C6522"/>
    <w:rsid w:val="007D6F73"/>
    <w:rsid w:val="007E1951"/>
    <w:rsid w:val="007F7740"/>
    <w:rsid w:val="008013AB"/>
    <w:rsid w:val="008102C7"/>
    <w:rsid w:val="00824009"/>
    <w:rsid w:val="00833F5F"/>
    <w:rsid w:val="00840250"/>
    <w:rsid w:val="00843569"/>
    <w:rsid w:val="00846A71"/>
    <w:rsid w:val="00853D20"/>
    <w:rsid w:val="00863880"/>
    <w:rsid w:val="0086604D"/>
    <w:rsid w:val="0086724E"/>
    <w:rsid w:val="008704CD"/>
    <w:rsid w:val="008841DF"/>
    <w:rsid w:val="00892D09"/>
    <w:rsid w:val="00895AB6"/>
    <w:rsid w:val="00895E83"/>
    <w:rsid w:val="008961F8"/>
    <w:rsid w:val="008C62D0"/>
    <w:rsid w:val="008D3724"/>
    <w:rsid w:val="008F7273"/>
    <w:rsid w:val="00917773"/>
    <w:rsid w:val="00920188"/>
    <w:rsid w:val="009233C1"/>
    <w:rsid w:val="00961D12"/>
    <w:rsid w:val="009935F2"/>
    <w:rsid w:val="009B0A11"/>
    <w:rsid w:val="009B4640"/>
    <w:rsid w:val="009B4EFC"/>
    <w:rsid w:val="009C5008"/>
    <w:rsid w:val="009D03EF"/>
    <w:rsid w:val="009E047D"/>
    <w:rsid w:val="009E4061"/>
    <w:rsid w:val="00A008A1"/>
    <w:rsid w:val="00A07830"/>
    <w:rsid w:val="00A26667"/>
    <w:rsid w:val="00A319CE"/>
    <w:rsid w:val="00A42A37"/>
    <w:rsid w:val="00A66679"/>
    <w:rsid w:val="00A90A22"/>
    <w:rsid w:val="00A9509E"/>
    <w:rsid w:val="00AC7A1B"/>
    <w:rsid w:val="00AD06C0"/>
    <w:rsid w:val="00AD6209"/>
    <w:rsid w:val="00B109CA"/>
    <w:rsid w:val="00B13E1F"/>
    <w:rsid w:val="00B23F45"/>
    <w:rsid w:val="00B431BB"/>
    <w:rsid w:val="00BB4361"/>
    <w:rsid w:val="00BC5568"/>
    <w:rsid w:val="00BC6CC6"/>
    <w:rsid w:val="00BD1DB5"/>
    <w:rsid w:val="00BE440D"/>
    <w:rsid w:val="00C27DD5"/>
    <w:rsid w:val="00C35C98"/>
    <w:rsid w:val="00C647C6"/>
    <w:rsid w:val="00CD32D7"/>
    <w:rsid w:val="00CD6AA9"/>
    <w:rsid w:val="00CF2542"/>
    <w:rsid w:val="00D328B4"/>
    <w:rsid w:val="00D53EC2"/>
    <w:rsid w:val="00D603C1"/>
    <w:rsid w:val="00D736C9"/>
    <w:rsid w:val="00D744CA"/>
    <w:rsid w:val="00D82460"/>
    <w:rsid w:val="00D87BBF"/>
    <w:rsid w:val="00D958D4"/>
    <w:rsid w:val="00DB7C77"/>
    <w:rsid w:val="00DD1546"/>
    <w:rsid w:val="00DD1C6F"/>
    <w:rsid w:val="00DE4296"/>
    <w:rsid w:val="00DF47F9"/>
    <w:rsid w:val="00E25441"/>
    <w:rsid w:val="00E257C2"/>
    <w:rsid w:val="00E25A32"/>
    <w:rsid w:val="00E27512"/>
    <w:rsid w:val="00E3367E"/>
    <w:rsid w:val="00E46957"/>
    <w:rsid w:val="00E5479F"/>
    <w:rsid w:val="00E85A23"/>
    <w:rsid w:val="00EA33FC"/>
    <w:rsid w:val="00EC628A"/>
    <w:rsid w:val="00ED1709"/>
    <w:rsid w:val="00ED35DB"/>
    <w:rsid w:val="00EE51FB"/>
    <w:rsid w:val="00EF2A33"/>
    <w:rsid w:val="00F02C2B"/>
    <w:rsid w:val="00F17DEB"/>
    <w:rsid w:val="00F3250A"/>
    <w:rsid w:val="00F4604D"/>
    <w:rsid w:val="00F57D8A"/>
    <w:rsid w:val="00F63F9D"/>
    <w:rsid w:val="00FA3F19"/>
    <w:rsid w:val="00FA6FC3"/>
    <w:rsid w:val="00FB7FF8"/>
    <w:rsid w:val="00FC4B1A"/>
    <w:rsid w:val="00FD6BF3"/>
    <w:rsid w:val="00FE037D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9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149E8"/>
  </w:style>
  <w:style w:type="paragraph" w:styleId="a3">
    <w:name w:val="Normal (Web)"/>
    <w:basedOn w:val="a"/>
    <w:uiPriority w:val="99"/>
    <w:semiHidden/>
    <w:unhideWhenUsed/>
    <w:rsid w:val="001149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1149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1149E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u">
    <w:name w:val="cu"/>
    <w:basedOn w:val="a"/>
    <w:rsid w:val="001149E8"/>
    <w:pPr>
      <w:spacing w:before="45" w:after="0" w:line="240" w:lineRule="auto"/>
      <w:ind w:left="1134" w:right="567" w:hanging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ut">
    <w:name w:val="cut"/>
    <w:basedOn w:val="a"/>
    <w:rsid w:val="001149E8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p">
    <w:name w:val="cp"/>
    <w:basedOn w:val="a"/>
    <w:rsid w:val="001149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t">
    <w:name w:val="nt"/>
    <w:basedOn w:val="a"/>
    <w:rsid w:val="001149E8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md">
    <w:name w:val="md"/>
    <w:basedOn w:val="a"/>
    <w:rsid w:val="001149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sm">
    <w:name w:val="sm"/>
    <w:basedOn w:val="a"/>
    <w:rsid w:val="001149E8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n">
    <w:name w:val="cn"/>
    <w:basedOn w:val="a"/>
    <w:rsid w:val="001149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1149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1149E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">
    <w:name w:val="js"/>
    <w:basedOn w:val="a"/>
    <w:rsid w:val="001149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11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9E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149E8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9E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278EA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03F49"/>
  </w:style>
  <w:style w:type="paragraph" w:styleId="HTML">
    <w:name w:val="HTML Preformatted"/>
    <w:basedOn w:val="a"/>
    <w:link w:val="HTML0"/>
    <w:uiPriority w:val="99"/>
    <w:semiHidden/>
    <w:unhideWhenUsed/>
    <w:rsid w:val="00003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3F4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10">
    <w:name w:val="Верхний колонтитул1"/>
    <w:basedOn w:val="a"/>
    <w:next w:val="a9"/>
    <w:link w:val="aa"/>
    <w:uiPriority w:val="99"/>
    <w:unhideWhenUsed/>
    <w:rsid w:val="00003F49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</w:rPr>
  </w:style>
  <w:style w:type="character" w:customStyle="1" w:styleId="aa">
    <w:name w:val="Верхний колонтитул Знак"/>
    <w:basedOn w:val="a0"/>
    <w:link w:val="10"/>
    <w:uiPriority w:val="99"/>
    <w:rsid w:val="00003F49"/>
    <w:rPr>
      <w:rFonts w:ascii="Arial" w:hAnsi="Arial" w:cs="Arial"/>
    </w:rPr>
  </w:style>
  <w:style w:type="paragraph" w:customStyle="1" w:styleId="11">
    <w:name w:val="Нижний колонтитул1"/>
    <w:basedOn w:val="a"/>
    <w:next w:val="ab"/>
    <w:link w:val="ac"/>
    <w:uiPriority w:val="99"/>
    <w:unhideWhenUsed/>
    <w:rsid w:val="00003F49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</w:rPr>
  </w:style>
  <w:style w:type="character" w:customStyle="1" w:styleId="ac">
    <w:name w:val="Нижний колонтитул Знак"/>
    <w:basedOn w:val="a0"/>
    <w:link w:val="11"/>
    <w:uiPriority w:val="99"/>
    <w:rsid w:val="00003F49"/>
    <w:rPr>
      <w:rFonts w:ascii="Arial" w:hAnsi="Arial" w:cs="Arial"/>
    </w:rPr>
  </w:style>
  <w:style w:type="character" w:styleId="ad">
    <w:name w:val="page number"/>
    <w:basedOn w:val="a0"/>
    <w:rsid w:val="00003F49"/>
  </w:style>
  <w:style w:type="character" w:styleId="ae">
    <w:name w:val="annotation reference"/>
    <w:rsid w:val="00003F49"/>
    <w:rPr>
      <w:sz w:val="16"/>
      <w:szCs w:val="16"/>
    </w:rPr>
  </w:style>
  <w:style w:type="paragraph" w:styleId="a9">
    <w:name w:val="header"/>
    <w:basedOn w:val="a"/>
    <w:link w:val="12"/>
    <w:uiPriority w:val="99"/>
    <w:semiHidden/>
    <w:unhideWhenUsed/>
    <w:rsid w:val="0000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9"/>
    <w:uiPriority w:val="99"/>
    <w:semiHidden/>
    <w:rsid w:val="00003F49"/>
  </w:style>
  <w:style w:type="paragraph" w:styleId="ab">
    <w:name w:val="footer"/>
    <w:basedOn w:val="a"/>
    <w:link w:val="13"/>
    <w:uiPriority w:val="99"/>
    <w:semiHidden/>
    <w:unhideWhenUsed/>
    <w:rsid w:val="0000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b"/>
    <w:uiPriority w:val="99"/>
    <w:semiHidden/>
    <w:rsid w:val="00003F49"/>
  </w:style>
  <w:style w:type="paragraph" w:styleId="af">
    <w:name w:val="annotation text"/>
    <w:basedOn w:val="a"/>
    <w:link w:val="af0"/>
    <w:uiPriority w:val="99"/>
    <w:semiHidden/>
    <w:unhideWhenUsed/>
    <w:rsid w:val="003B545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B545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545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B54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149E8"/>
  </w:style>
  <w:style w:type="paragraph" w:styleId="a3">
    <w:name w:val="Normal (Web)"/>
    <w:basedOn w:val="a"/>
    <w:uiPriority w:val="99"/>
    <w:semiHidden/>
    <w:unhideWhenUsed/>
    <w:rsid w:val="001149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1149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1149E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u">
    <w:name w:val="cu"/>
    <w:basedOn w:val="a"/>
    <w:rsid w:val="001149E8"/>
    <w:pPr>
      <w:spacing w:before="45" w:after="0" w:line="240" w:lineRule="auto"/>
      <w:ind w:left="1134" w:right="567" w:hanging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ut">
    <w:name w:val="cut"/>
    <w:basedOn w:val="a"/>
    <w:rsid w:val="001149E8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p">
    <w:name w:val="cp"/>
    <w:basedOn w:val="a"/>
    <w:rsid w:val="001149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t">
    <w:name w:val="nt"/>
    <w:basedOn w:val="a"/>
    <w:rsid w:val="001149E8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md">
    <w:name w:val="md"/>
    <w:basedOn w:val="a"/>
    <w:rsid w:val="001149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sm">
    <w:name w:val="sm"/>
    <w:basedOn w:val="a"/>
    <w:rsid w:val="001149E8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n">
    <w:name w:val="cn"/>
    <w:basedOn w:val="a"/>
    <w:rsid w:val="001149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1149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1149E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">
    <w:name w:val="js"/>
    <w:basedOn w:val="a"/>
    <w:rsid w:val="001149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11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9E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149E8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9E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278EA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03F49"/>
  </w:style>
  <w:style w:type="paragraph" w:styleId="HTML">
    <w:name w:val="HTML Preformatted"/>
    <w:basedOn w:val="a"/>
    <w:link w:val="HTML0"/>
    <w:uiPriority w:val="99"/>
    <w:semiHidden/>
    <w:unhideWhenUsed/>
    <w:rsid w:val="00003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3F4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10">
    <w:name w:val="Верхний колонтитул1"/>
    <w:basedOn w:val="a"/>
    <w:next w:val="a9"/>
    <w:link w:val="aa"/>
    <w:uiPriority w:val="99"/>
    <w:unhideWhenUsed/>
    <w:rsid w:val="00003F49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</w:rPr>
  </w:style>
  <w:style w:type="character" w:customStyle="1" w:styleId="aa">
    <w:name w:val="Верхний колонтитул Знак"/>
    <w:basedOn w:val="a0"/>
    <w:link w:val="10"/>
    <w:uiPriority w:val="99"/>
    <w:rsid w:val="00003F49"/>
    <w:rPr>
      <w:rFonts w:ascii="Arial" w:hAnsi="Arial" w:cs="Arial"/>
    </w:rPr>
  </w:style>
  <w:style w:type="paragraph" w:customStyle="1" w:styleId="11">
    <w:name w:val="Нижний колонтитул1"/>
    <w:basedOn w:val="a"/>
    <w:next w:val="ab"/>
    <w:link w:val="ac"/>
    <w:uiPriority w:val="99"/>
    <w:unhideWhenUsed/>
    <w:rsid w:val="00003F49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</w:rPr>
  </w:style>
  <w:style w:type="character" w:customStyle="1" w:styleId="ac">
    <w:name w:val="Нижний колонтитул Знак"/>
    <w:basedOn w:val="a0"/>
    <w:link w:val="11"/>
    <w:uiPriority w:val="99"/>
    <w:rsid w:val="00003F49"/>
    <w:rPr>
      <w:rFonts w:ascii="Arial" w:hAnsi="Arial" w:cs="Arial"/>
    </w:rPr>
  </w:style>
  <w:style w:type="character" w:styleId="ad">
    <w:name w:val="page number"/>
    <w:basedOn w:val="a0"/>
    <w:rsid w:val="00003F49"/>
  </w:style>
  <w:style w:type="character" w:styleId="ae">
    <w:name w:val="annotation reference"/>
    <w:rsid w:val="00003F49"/>
    <w:rPr>
      <w:sz w:val="16"/>
      <w:szCs w:val="16"/>
    </w:rPr>
  </w:style>
  <w:style w:type="paragraph" w:styleId="a9">
    <w:name w:val="header"/>
    <w:basedOn w:val="a"/>
    <w:link w:val="12"/>
    <w:uiPriority w:val="99"/>
    <w:semiHidden/>
    <w:unhideWhenUsed/>
    <w:rsid w:val="0000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9"/>
    <w:uiPriority w:val="99"/>
    <w:semiHidden/>
    <w:rsid w:val="00003F49"/>
  </w:style>
  <w:style w:type="paragraph" w:styleId="ab">
    <w:name w:val="footer"/>
    <w:basedOn w:val="a"/>
    <w:link w:val="13"/>
    <w:uiPriority w:val="99"/>
    <w:semiHidden/>
    <w:unhideWhenUsed/>
    <w:rsid w:val="0000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b"/>
    <w:uiPriority w:val="99"/>
    <w:semiHidden/>
    <w:rsid w:val="00003F49"/>
  </w:style>
  <w:style w:type="paragraph" w:styleId="af">
    <w:name w:val="annotation text"/>
    <w:basedOn w:val="a"/>
    <w:link w:val="af0"/>
    <w:uiPriority w:val="99"/>
    <w:semiHidden/>
    <w:unhideWhenUsed/>
    <w:rsid w:val="003B545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B545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545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B5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Cusca Andrei</dc:creator>
  <cp:lastModifiedBy>Cusca Andrei</cp:lastModifiedBy>
  <cp:revision>5</cp:revision>
  <cp:lastPrinted>2017-06-08T08:48:00Z</cp:lastPrinted>
  <dcterms:created xsi:type="dcterms:W3CDTF">2017-07-25T05:05:00Z</dcterms:created>
  <dcterms:modified xsi:type="dcterms:W3CDTF">2017-08-09T13:52:00Z</dcterms:modified>
</cp:coreProperties>
</file>