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150" w:rsidRDefault="009B6150" w:rsidP="00C01AE2">
      <w:pPr>
        <w:rPr>
          <w:szCs w:val="28"/>
          <w:lang w:val="en-US"/>
        </w:rPr>
      </w:pPr>
    </w:p>
    <w:p w:rsidR="00C01AE2" w:rsidRDefault="00C01AE2" w:rsidP="00C01AE2">
      <w:pPr>
        <w:rPr>
          <w:szCs w:val="28"/>
          <w:lang w:val="en-US"/>
        </w:rPr>
      </w:pPr>
    </w:p>
    <w:p w:rsidR="00C01AE2" w:rsidRDefault="00C01AE2" w:rsidP="00C01AE2">
      <w:pPr>
        <w:rPr>
          <w:szCs w:val="28"/>
          <w:lang w:val="en-US"/>
        </w:rPr>
      </w:pPr>
    </w:p>
    <w:p w:rsidR="00C01AE2" w:rsidRDefault="00C01AE2" w:rsidP="00C01AE2">
      <w:pPr>
        <w:rPr>
          <w:szCs w:val="28"/>
          <w:lang w:val="en-US"/>
        </w:rPr>
      </w:pPr>
    </w:p>
    <w:p w:rsidR="00C01AE2" w:rsidRDefault="00C01AE2" w:rsidP="00C01AE2">
      <w:pPr>
        <w:rPr>
          <w:szCs w:val="28"/>
          <w:lang w:val="en-US"/>
        </w:rPr>
      </w:pPr>
    </w:p>
    <w:p w:rsidR="00C01AE2" w:rsidRPr="000F7054" w:rsidRDefault="00C01AE2" w:rsidP="00C01AE2">
      <w:pPr>
        <w:pStyle w:val="NoSpacing"/>
        <w:spacing w:line="276" w:lineRule="auto"/>
        <w:jc w:val="center"/>
        <w:rPr>
          <w:rFonts w:ascii="Times New Roman" w:hAnsi="Times New Roman"/>
          <w:b/>
          <w:sz w:val="32"/>
          <w:szCs w:val="32"/>
          <w:lang w:val="ro-RO"/>
        </w:rPr>
      </w:pPr>
      <w:r w:rsidRPr="000F7054">
        <w:rPr>
          <w:rFonts w:ascii="Times New Roman" w:hAnsi="Times New Roman"/>
          <w:b/>
          <w:sz w:val="32"/>
          <w:szCs w:val="32"/>
          <w:lang w:val="ro-RO"/>
        </w:rPr>
        <w:t>NOTĂ INFORMATIVĂ</w:t>
      </w:r>
    </w:p>
    <w:p w:rsidR="00C01AE2" w:rsidRPr="000F7054" w:rsidRDefault="00C01AE2" w:rsidP="00C01AE2">
      <w:pPr>
        <w:pStyle w:val="NoSpacing"/>
        <w:spacing w:line="276" w:lineRule="auto"/>
        <w:jc w:val="center"/>
        <w:rPr>
          <w:rFonts w:ascii="Times New Roman" w:hAnsi="Times New Roman"/>
          <w:b/>
          <w:sz w:val="32"/>
          <w:szCs w:val="32"/>
          <w:lang w:val="ro-RO"/>
        </w:rPr>
      </w:pPr>
    </w:p>
    <w:p w:rsidR="00C01AE2" w:rsidRPr="00066867" w:rsidRDefault="00C01AE2" w:rsidP="00C01AE2">
      <w:pPr>
        <w:pStyle w:val="NormalWeb"/>
        <w:jc w:val="center"/>
        <w:rPr>
          <w:sz w:val="28"/>
          <w:szCs w:val="28"/>
          <w:lang w:val="ro-RO"/>
        </w:rPr>
      </w:pPr>
      <w:r w:rsidRPr="00066867">
        <w:rPr>
          <w:b/>
          <w:sz w:val="28"/>
          <w:szCs w:val="28"/>
          <w:lang w:val="ro-RO"/>
        </w:rPr>
        <w:t xml:space="preserve">la proiectul </w:t>
      </w:r>
      <w:r w:rsidR="004E3193" w:rsidRPr="00066867">
        <w:rPr>
          <w:b/>
          <w:sz w:val="28"/>
          <w:szCs w:val="28"/>
          <w:lang w:val="ro-RO"/>
        </w:rPr>
        <w:t>hotărârii</w:t>
      </w:r>
      <w:r w:rsidRPr="00066867">
        <w:rPr>
          <w:b/>
          <w:sz w:val="28"/>
          <w:szCs w:val="28"/>
          <w:lang w:val="ro-RO"/>
        </w:rPr>
        <w:t xml:space="preserve"> Guvernului ,,Cu privire la modificarea şi completarea unor </w:t>
      </w:r>
      <w:r w:rsidR="004E3193" w:rsidRPr="00066867">
        <w:rPr>
          <w:b/>
          <w:sz w:val="28"/>
          <w:szCs w:val="28"/>
          <w:lang w:val="ro-RO"/>
        </w:rPr>
        <w:t>hotărâri</w:t>
      </w:r>
      <w:r w:rsidRPr="00066867">
        <w:rPr>
          <w:b/>
          <w:sz w:val="28"/>
          <w:szCs w:val="28"/>
          <w:lang w:val="ro-RO"/>
        </w:rPr>
        <w:t xml:space="preserve"> ale Guvernului”</w:t>
      </w:r>
    </w:p>
    <w:p w:rsidR="00C01AE2" w:rsidRDefault="00C01AE2" w:rsidP="00C01AE2">
      <w:pPr>
        <w:pStyle w:val="NoSpacing"/>
        <w:spacing w:line="276" w:lineRule="auto"/>
        <w:jc w:val="center"/>
        <w:rPr>
          <w:rFonts w:ascii="Times New Roman" w:hAnsi="Times New Roman"/>
          <w:sz w:val="28"/>
          <w:szCs w:val="28"/>
          <w:lang w:val="ro-RO"/>
        </w:rPr>
      </w:pPr>
    </w:p>
    <w:p w:rsidR="00C01AE2" w:rsidRDefault="00C01AE2" w:rsidP="00C01AE2">
      <w:pPr>
        <w:spacing w:line="276" w:lineRule="auto"/>
        <w:ind w:firstLine="708"/>
        <w:jc w:val="both"/>
        <w:rPr>
          <w:sz w:val="28"/>
          <w:szCs w:val="28"/>
        </w:rPr>
      </w:pPr>
      <w:r w:rsidRPr="00066867">
        <w:rPr>
          <w:sz w:val="28"/>
          <w:szCs w:val="28"/>
        </w:rPr>
        <w:t xml:space="preserve">Prezentul proiect de </w:t>
      </w:r>
      <w:r w:rsidR="004E3193" w:rsidRPr="00066867">
        <w:rPr>
          <w:sz w:val="28"/>
          <w:szCs w:val="28"/>
        </w:rPr>
        <w:t>hotărâre</w:t>
      </w:r>
      <w:r>
        <w:rPr>
          <w:sz w:val="28"/>
          <w:szCs w:val="28"/>
        </w:rPr>
        <w:t xml:space="preserve"> a Guvernului a fost elaborat de către Ministerul Finanţelor în vederea asigurării realizării prevederilor </w:t>
      </w:r>
      <w:r w:rsidRPr="00D407D5">
        <w:rPr>
          <w:sz w:val="28"/>
          <w:szCs w:val="28"/>
        </w:rPr>
        <w:t>art. V alin. (2) din Legea nr.104 din 09 iunie 2017 pentru modificarea şi completarea unor acte legislative</w:t>
      </w:r>
      <w:r>
        <w:rPr>
          <w:sz w:val="28"/>
          <w:szCs w:val="28"/>
        </w:rPr>
        <w:t>.</w:t>
      </w:r>
    </w:p>
    <w:p w:rsidR="00C01AE2" w:rsidRDefault="00C01AE2" w:rsidP="00C01AE2">
      <w:pPr>
        <w:spacing w:line="276" w:lineRule="auto"/>
        <w:ind w:firstLine="708"/>
        <w:jc w:val="both"/>
        <w:rPr>
          <w:sz w:val="28"/>
          <w:szCs w:val="28"/>
        </w:rPr>
      </w:pPr>
      <w:r>
        <w:rPr>
          <w:sz w:val="28"/>
          <w:szCs w:val="28"/>
        </w:rPr>
        <w:t xml:space="preserve">Scopul proiectului nominalizat vizează </w:t>
      </w:r>
      <w:r w:rsidRPr="00066867">
        <w:rPr>
          <w:sz w:val="28"/>
          <w:szCs w:val="28"/>
        </w:rPr>
        <w:t xml:space="preserve">aducerea în concordanță a </w:t>
      </w:r>
      <w:r w:rsidR="004E3193" w:rsidRPr="00066867">
        <w:rPr>
          <w:sz w:val="28"/>
          <w:szCs w:val="28"/>
        </w:rPr>
        <w:t>Hotărârii</w:t>
      </w:r>
      <w:r w:rsidRPr="00066867">
        <w:rPr>
          <w:sz w:val="28"/>
          <w:szCs w:val="28"/>
        </w:rPr>
        <w:t xml:space="preserve"> Guvernului nr.331 din 28 mai 2012 cu privire la salarizarea funcționarilor publici, cu prevederile Legii nr. 48 din  22 martie 2012 privind sistemul de salarizare a funcţionarilor </w:t>
      </w:r>
      <w:proofErr w:type="spellStart"/>
      <w:r w:rsidRPr="00066867">
        <w:rPr>
          <w:sz w:val="28"/>
          <w:szCs w:val="28"/>
        </w:rPr>
        <w:t>publicicu</w:t>
      </w:r>
      <w:proofErr w:type="spellEnd"/>
      <w:r w:rsidRPr="00066867">
        <w:rPr>
          <w:sz w:val="28"/>
          <w:szCs w:val="28"/>
        </w:rPr>
        <w:t xml:space="preserve"> </w:t>
      </w:r>
      <w:proofErr w:type="spellStart"/>
      <w:r w:rsidRPr="00066867">
        <w:rPr>
          <w:sz w:val="28"/>
          <w:szCs w:val="28"/>
        </w:rPr>
        <w:t>modificările</w:t>
      </w:r>
      <w:r>
        <w:rPr>
          <w:sz w:val="28"/>
          <w:szCs w:val="28"/>
        </w:rPr>
        <w:t>şi</w:t>
      </w:r>
      <w:proofErr w:type="spellEnd"/>
      <w:r>
        <w:rPr>
          <w:sz w:val="28"/>
          <w:szCs w:val="28"/>
        </w:rPr>
        <w:t xml:space="preserve"> completările</w:t>
      </w:r>
      <w:r w:rsidRPr="00066867">
        <w:rPr>
          <w:sz w:val="28"/>
          <w:szCs w:val="28"/>
        </w:rPr>
        <w:t xml:space="preserve"> introdu</w:t>
      </w:r>
      <w:r>
        <w:rPr>
          <w:sz w:val="28"/>
          <w:szCs w:val="28"/>
        </w:rPr>
        <w:t>s</w:t>
      </w:r>
      <w:r w:rsidRPr="00066867">
        <w:rPr>
          <w:sz w:val="28"/>
          <w:szCs w:val="28"/>
        </w:rPr>
        <w:t>e prin Legea</w:t>
      </w:r>
      <w:r>
        <w:rPr>
          <w:sz w:val="28"/>
          <w:szCs w:val="28"/>
        </w:rPr>
        <w:t xml:space="preserve"> sus menţionată, precum şi aducerea în </w:t>
      </w:r>
      <w:r w:rsidR="00C0204F">
        <w:rPr>
          <w:sz w:val="28"/>
          <w:szCs w:val="28"/>
        </w:rPr>
        <w:t>concordanță</w:t>
      </w:r>
      <w:r>
        <w:rPr>
          <w:sz w:val="28"/>
          <w:szCs w:val="28"/>
        </w:rPr>
        <w:t xml:space="preserve"> a </w:t>
      </w:r>
      <w:r w:rsidR="00C0204F" w:rsidRPr="00D407D5">
        <w:rPr>
          <w:sz w:val="28"/>
          <w:szCs w:val="28"/>
        </w:rPr>
        <w:t>Hotărâr</w:t>
      </w:r>
      <w:r w:rsidR="00C0204F">
        <w:rPr>
          <w:sz w:val="28"/>
          <w:szCs w:val="28"/>
        </w:rPr>
        <w:t>ii</w:t>
      </w:r>
      <w:r w:rsidRPr="00D407D5">
        <w:rPr>
          <w:sz w:val="28"/>
          <w:szCs w:val="28"/>
        </w:rPr>
        <w:t xml:space="preserve"> Guvernului nr.266 din 09 martie 2016 ,,Cu privire la lista serviciilor publice desconcentrate administrate în mod direct/din subordinea ministerelor şi altor autorităţi administrative centrale” </w:t>
      </w:r>
      <w:r>
        <w:rPr>
          <w:sz w:val="28"/>
          <w:szCs w:val="28"/>
        </w:rPr>
        <w:t>cu</w:t>
      </w:r>
      <w:r w:rsidRPr="00066867">
        <w:rPr>
          <w:sz w:val="28"/>
          <w:szCs w:val="28"/>
        </w:rPr>
        <w:t>Legea nr.281 din 16</w:t>
      </w:r>
      <w:r>
        <w:rPr>
          <w:sz w:val="28"/>
          <w:szCs w:val="28"/>
        </w:rPr>
        <w:t xml:space="preserve"> decembrie </w:t>
      </w:r>
      <w:r w:rsidRPr="00066867">
        <w:rPr>
          <w:sz w:val="28"/>
          <w:szCs w:val="28"/>
        </w:rPr>
        <w:t>2016</w:t>
      </w:r>
      <w:r>
        <w:rPr>
          <w:sz w:val="28"/>
          <w:szCs w:val="28"/>
        </w:rPr>
        <w:t xml:space="preserve"> cu privire la modificarea şi completarea unor acte legislative.</w:t>
      </w:r>
    </w:p>
    <w:p w:rsidR="00C01AE2" w:rsidRDefault="00C01AE2" w:rsidP="00C01AE2">
      <w:pPr>
        <w:spacing w:line="276" w:lineRule="auto"/>
        <w:ind w:firstLine="708"/>
        <w:jc w:val="both"/>
        <w:rPr>
          <w:sz w:val="28"/>
          <w:szCs w:val="28"/>
        </w:rPr>
      </w:pPr>
      <w:r w:rsidRPr="00066867">
        <w:rPr>
          <w:sz w:val="28"/>
          <w:szCs w:val="28"/>
        </w:rPr>
        <w:t>Serviciul Fiscal de Stat</w:t>
      </w:r>
      <w:bookmarkStart w:id="0" w:name="_GoBack"/>
      <w:bookmarkEnd w:id="0"/>
      <w:r w:rsidR="004E3193">
        <w:rPr>
          <w:sz w:val="28"/>
          <w:szCs w:val="28"/>
        </w:rPr>
        <w:t xml:space="preserve"> a fost supus reorganizării</w:t>
      </w:r>
      <w:r w:rsidRPr="00066867">
        <w:rPr>
          <w:sz w:val="28"/>
          <w:szCs w:val="28"/>
        </w:rPr>
        <w:t xml:space="preserve"> prin unificarea celor 35 Inspectorate Fiscale de Stat teritoriale și Inspectoratul Fiscal Principal de Stat, </w:t>
      </w:r>
      <w:r w:rsidR="004E3193">
        <w:rPr>
          <w:sz w:val="28"/>
          <w:szCs w:val="28"/>
        </w:rPr>
        <w:t xml:space="preserve">din </w:t>
      </w:r>
      <w:r w:rsidR="004E3193" w:rsidRPr="00066867">
        <w:rPr>
          <w:sz w:val="28"/>
          <w:szCs w:val="28"/>
        </w:rPr>
        <w:t xml:space="preserve">1 aprilie 2017 </w:t>
      </w:r>
      <w:r w:rsidRPr="00066867">
        <w:rPr>
          <w:sz w:val="28"/>
          <w:szCs w:val="28"/>
        </w:rPr>
        <w:t>fiind creat un organ unitar de administrare fiscală – Serviciul Fiscal de Stat cu statut de persoană juridică.</w:t>
      </w:r>
    </w:p>
    <w:p w:rsidR="00C01AE2" w:rsidRPr="00066867" w:rsidRDefault="00C01AE2" w:rsidP="00C01AE2">
      <w:pPr>
        <w:spacing w:line="276" w:lineRule="auto"/>
        <w:ind w:firstLine="708"/>
        <w:jc w:val="both"/>
        <w:rPr>
          <w:sz w:val="28"/>
          <w:szCs w:val="28"/>
        </w:rPr>
      </w:pPr>
      <w:r w:rsidRPr="00066867">
        <w:rPr>
          <w:sz w:val="28"/>
          <w:szCs w:val="28"/>
        </w:rPr>
        <w:t>Prin Legea nr.281 din 16</w:t>
      </w:r>
      <w:r>
        <w:rPr>
          <w:sz w:val="28"/>
          <w:szCs w:val="28"/>
        </w:rPr>
        <w:t xml:space="preserve"> decembrie </w:t>
      </w:r>
      <w:r w:rsidRPr="00066867">
        <w:rPr>
          <w:sz w:val="28"/>
          <w:szCs w:val="28"/>
        </w:rPr>
        <w:t>2016</w:t>
      </w:r>
      <w:r>
        <w:rPr>
          <w:sz w:val="28"/>
          <w:szCs w:val="28"/>
        </w:rPr>
        <w:t xml:space="preserve"> cu privire la modificarea şi completarea unor acte legislative</w:t>
      </w:r>
      <w:r w:rsidRPr="00066867">
        <w:rPr>
          <w:sz w:val="28"/>
          <w:szCs w:val="28"/>
        </w:rPr>
        <w:t>, s-a modificat Codul fiscal la capitolulAdministrarea fiscală, fiind stabilit statutul Serviciului Fiscal de Stat ca structură organizațională separată,care își exercită atribuțiile funcționale pe întreg teritoriul Republicii Moldova.</w:t>
      </w:r>
    </w:p>
    <w:p w:rsidR="00C01AE2" w:rsidRPr="00066867" w:rsidRDefault="004E3193" w:rsidP="00C01AE2">
      <w:pPr>
        <w:spacing w:line="276" w:lineRule="auto"/>
        <w:ind w:firstLine="708"/>
        <w:jc w:val="both"/>
        <w:rPr>
          <w:sz w:val="28"/>
          <w:szCs w:val="28"/>
        </w:rPr>
      </w:pPr>
      <w:r>
        <w:rPr>
          <w:sz w:val="28"/>
          <w:szCs w:val="28"/>
        </w:rPr>
        <w:t>Astfel,</w:t>
      </w:r>
      <w:r w:rsidR="00C01AE2" w:rsidRPr="00066867">
        <w:rPr>
          <w:sz w:val="28"/>
          <w:szCs w:val="28"/>
        </w:rPr>
        <w:t xml:space="preserve"> în contextul în care Serviciul Fiscal de Stat este un organ unitar și nu există subdiviziuni teritoriale, în Legea nr.48 din 22</w:t>
      </w:r>
      <w:r w:rsidR="00C01AE2">
        <w:rPr>
          <w:sz w:val="28"/>
          <w:szCs w:val="28"/>
        </w:rPr>
        <w:t xml:space="preserve"> martie </w:t>
      </w:r>
      <w:r w:rsidR="00C01AE2" w:rsidRPr="00066867">
        <w:rPr>
          <w:sz w:val="28"/>
          <w:szCs w:val="28"/>
        </w:rPr>
        <w:t>2012 privind sistemul de salarizare a funcţionarilor publici,</w:t>
      </w:r>
      <w:r w:rsidR="00C05203">
        <w:rPr>
          <w:sz w:val="28"/>
          <w:szCs w:val="28"/>
        </w:rPr>
        <w:t xml:space="preserve"> a fost omisă diferențierea </w:t>
      </w:r>
      <w:r w:rsidR="00C01AE2" w:rsidRPr="00066867">
        <w:rPr>
          <w:sz w:val="28"/>
          <w:szCs w:val="28"/>
        </w:rPr>
        <w:t xml:space="preserve">gradului de salarizare între aparatul central și subdiviziunile teritoriale. </w:t>
      </w:r>
      <w:r w:rsidR="00C0204F">
        <w:rPr>
          <w:sz w:val="28"/>
          <w:szCs w:val="28"/>
        </w:rPr>
        <w:t xml:space="preserve">De asemenea, </w:t>
      </w:r>
      <w:r w:rsidR="00C01AE2" w:rsidRPr="00066867">
        <w:rPr>
          <w:sz w:val="28"/>
          <w:szCs w:val="28"/>
        </w:rPr>
        <w:t xml:space="preserve">la acest compartiment, </w:t>
      </w:r>
      <w:r>
        <w:rPr>
          <w:sz w:val="28"/>
          <w:szCs w:val="28"/>
        </w:rPr>
        <w:t xml:space="preserve">se </w:t>
      </w:r>
      <w:r w:rsidR="00C0204F">
        <w:rPr>
          <w:sz w:val="28"/>
          <w:szCs w:val="28"/>
        </w:rPr>
        <w:t xml:space="preserve">relevă </w:t>
      </w:r>
      <w:r w:rsidR="00C01AE2" w:rsidRPr="00066867">
        <w:rPr>
          <w:sz w:val="28"/>
          <w:szCs w:val="28"/>
        </w:rPr>
        <w:t>căîn urma modificărilor menționate, funcția de Șef de inspectorat, Șef de inspectorat teritorial,Contabil-șef nu mai există.</w:t>
      </w:r>
    </w:p>
    <w:p w:rsidR="00C01AE2" w:rsidRDefault="00C01AE2" w:rsidP="00C01AE2">
      <w:pPr>
        <w:spacing w:line="276" w:lineRule="auto"/>
        <w:ind w:firstLine="708"/>
        <w:jc w:val="both"/>
        <w:rPr>
          <w:b/>
          <w:sz w:val="28"/>
          <w:szCs w:val="28"/>
        </w:rPr>
      </w:pPr>
      <w:r w:rsidRPr="00C9609B">
        <w:rPr>
          <w:b/>
          <w:sz w:val="28"/>
          <w:szCs w:val="28"/>
        </w:rPr>
        <w:t>Fundamentarea economico-financiară</w:t>
      </w:r>
    </w:p>
    <w:p w:rsidR="00C01AE2" w:rsidRDefault="00C01AE2" w:rsidP="00C01AE2">
      <w:pPr>
        <w:spacing w:line="276" w:lineRule="auto"/>
        <w:ind w:firstLine="708"/>
        <w:jc w:val="both"/>
        <w:rPr>
          <w:sz w:val="28"/>
          <w:szCs w:val="28"/>
        </w:rPr>
      </w:pPr>
      <w:r w:rsidRPr="00C9609B">
        <w:rPr>
          <w:sz w:val="28"/>
          <w:szCs w:val="28"/>
        </w:rPr>
        <w:t>P</w:t>
      </w:r>
      <w:r>
        <w:rPr>
          <w:sz w:val="28"/>
          <w:szCs w:val="28"/>
        </w:rPr>
        <w:t xml:space="preserve">entru implementarea proiectului de </w:t>
      </w:r>
      <w:r w:rsidR="00EA235F">
        <w:rPr>
          <w:sz w:val="28"/>
          <w:szCs w:val="28"/>
        </w:rPr>
        <w:t xml:space="preserve">hotărâre </w:t>
      </w:r>
      <w:r>
        <w:rPr>
          <w:sz w:val="28"/>
          <w:szCs w:val="28"/>
        </w:rPr>
        <w:t xml:space="preserve">menţionat nu vor fi necesare mijloace financiare suplimentare. </w:t>
      </w:r>
      <w:r w:rsidRPr="00066867">
        <w:rPr>
          <w:sz w:val="28"/>
          <w:szCs w:val="28"/>
        </w:rPr>
        <w:t>Salarizarea angajaților Serviciului Fiscal de Stat se va efectua în limita alocațiilor bugetare pentru anul respectiv.</w:t>
      </w:r>
    </w:p>
    <w:p w:rsidR="00C01AE2" w:rsidRDefault="00C01AE2" w:rsidP="00C01AE2">
      <w:pPr>
        <w:spacing w:line="276" w:lineRule="auto"/>
        <w:ind w:firstLine="708"/>
        <w:jc w:val="both"/>
        <w:rPr>
          <w:b/>
          <w:sz w:val="28"/>
          <w:szCs w:val="28"/>
        </w:rPr>
      </w:pPr>
      <w:r w:rsidRPr="00C9609B">
        <w:rPr>
          <w:b/>
          <w:sz w:val="28"/>
          <w:szCs w:val="28"/>
        </w:rPr>
        <w:lastRenderedPageBreak/>
        <w:t>Consultarea publică a proiectului</w:t>
      </w:r>
    </w:p>
    <w:p w:rsidR="00C0204F" w:rsidRPr="001D5D49" w:rsidRDefault="00C01AE2" w:rsidP="00C0204F">
      <w:pPr>
        <w:spacing w:line="276" w:lineRule="auto"/>
        <w:ind w:firstLine="708"/>
        <w:jc w:val="both"/>
        <w:rPr>
          <w:color w:val="323E4F" w:themeColor="text2" w:themeShade="BF"/>
          <w:sz w:val="28"/>
          <w:szCs w:val="28"/>
          <w:u w:val="single"/>
        </w:rPr>
      </w:pPr>
      <w:r w:rsidRPr="000D4EA3">
        <w:rPr>
          <w:sz w:val="28"/>
          <w:szCs w:val="28"/>
        </w:rPr>
        <w:t>În</w:t>
      </w:r>
      <w:r>
        <w:rPr>
          <w:sz w:val="28"/>
          <w:szCs w:val="28"/>
        </w:rPr>
        <w:t xml:space="preserve"> scopul respectării prevederilor Legii nr.239-XVI din 13 noiembrie 2008 privind transparenţa în procesul decizional, proiectul de </w:t>
      </w:r>
      <w:r w:rsidR="00C0204F">
        <w:rPr>
          <w:sz w:val="28"/>
          <w:szCs w:val="28"/>
        </w:rPr>
        <w:t>hotărâre</w:t>
      </w:r>
      <w:r>
        <w:rPr>
          <w:sz w:val="28"/>
          <w:szCs w:val="28"/>
        </w:rPr>
        <w:t xml:space="preserve"> va fi plasat pe pagina </w:t>
      </w:r>
      <w:hyperlink r:id="rId4" w:history="1">
        <w:r w:rsidR="00C0204F" w:rsidRPr="00C0204F">
          <w:rPr>
            <w:rStyle w:val="Hyperlink"/>
            <w:color w:val="0000BF"/>
            <w:sz w:val="28"/>
            <w:szCs w:val="28"/>
          </w:rPr>
          <w:t>http://mf.gov.md/ro/transparența-decizională/procesul-decizional</w:t>
        </w:r>
      </w:hyperlink>
      <w:r w:rsidR="00C0204F" w:rsidRPr="001D5D49">
        <w:rPr>
          <w:color w:val="323E4F" w:themeColor="text2" w:themeShade="BF"/>
          <w:sz w:val="28"/>
          <w:szCs w:val="28"/>
          <w:u w:val="single"/>
        </w:rPr>
        <w:t>.</w:t>
      </w:r>
    </w:p>
    <w:p w:rsidR="00C01AE2" w:rsidRDefault="00C01AE2" w:rsidP="00C01AE2">
      <w:pPr>
        <w:spacing w:line="276" w:lineRule="auto"/>
        <w:ind w:firstLine="708"/>
        <w:jc w:val="both"/>
        <w:rPr>
          <w:sz w:val="28"/>
          <w:szCs w:val="28"/>
        </w:rPr>
      </w:pPr>
      <w:r>
        <w:rPr>
          <w:sz w:val="28"/>
          <w:szCs w:val="28"/>
        </w:rPr>
        <w:t>Proiectul se remite spre avizare Ministerului Sănătăţii, Muncii şi Protecţiei Sociale şi Ministerul Justiţiei, precum şi se va prezenta Centrului Naţional Anticorupţie pentru a fi supus expertizei anticorupţie.</w:t>
      </w:r>
    </w:p>
    <w:p w:rsidR="00C01AE2" w:rsidRPr="000D4EA3" w:rsidRDefault="00C01AE2" w:rsidP="00C01AE2">
      <w:pPr>
        <w:spacing w:line="276" w:lineRule="auto"/>
        <w:ind w:firstLine="708"/>
        <w:jc w:val="both"/>
        <w:rPr>
          <w:sz w:val="28"/>
          <w:szCs w:val="28"/>
        </w:rPr>
      </w:pPr>
      <w:r>
        <w:rPr>
          <w:sz w:val="28"/>
          <w:szCs w:val="28"/>
        </w:rPr>
        <w:t xml:space="preserve">Propunerile relevante vor fi luate în consideraţie la etapa de definitivare a proiectului.      </w:t>
      </w:r>
    </w:p>
    <w:p w:rsidR="00C01AE2" w:rsidRDefault="00C01AE2" w:rsidP="00C01AE2">
      <w:pPr>
        <w:spacing w:line="276" w:lineRule="auto"/>
        <w:jc w:val="both"/>
        <w:rPr>
          <w:b/>
          <w:sz w:val="28"/>
          <w:szCs w:val="28"/>
        </w:rPr>
      </w:pPr>
    </w:p>
    <w:p w:rsidR="00C01AE2" w:rsidRPr="00066867" w:rsidRDefault="00C01AE2" w:rsidP="00C01AE2">
      <w:pPr>
        <w:spacing w:line="276" w:lineRule="auto"/>
        <w:jc w:val="both"/>
        <w:rPr>
          <w:b/>
          <w:sz w:val="28"/>
          <w:szCs w:val="28"/>
        </w:rPr>
      </w:pPr>
    </w:p>
    <w:p w:rsidR="00C01AE2" w:rsidRPr="000F7054" w:rsidRDefault="00C01AE2" w:rsidP="00C01AE2">
      <w:pPr>
        <w:spacing w:line="276" w:lineRule="auto"/>
        <w:ind w:firstLine="567"/>
        <w:jc w:val="center"/>
        <w:rPr>
          <w:b/>
          <w:sz w:val="32"/>
          <w:szCs w:val="32"/>
        </w:rPr>
      </w:pPr>
      <w:r w:rsidRPr="000F7054">
        <w:rPr>
          <w:b/>
          <w:sz w:val="32"/>
          <w:szCs w:val="32"/>
        </w:rPr>
        <w:t xml:space="preserve">Ministrul Finanțelor </w:t>
      </w:r>
      <w:r w:rsidRPr="000F7054">
        <w:rPr>
          <w:b/>
          <w:sz w:val="32"/>
          <w:szCs w:val="32"/>
        </w:rPr>
        <w:tab/>
      </w:r>
      <w:r w:rsidRPr="000F7054">
        <w:rPr>
          <w:b/>
          <w:sz w:val="32"/>
          <w:szCs w:val="32"/>
        </w:rPr>
        <w:tab/>
        <w:t>Octavian ARMAȘU</w:t>
      </w:r>
    </w:p>
    <w:p w:rsidR="00C01AE2" w:rsidRPr="00066867" w:rsidRDefault="00C01AE2" w:rsidP="00C01AE2">
      <w:pPr>
        <w:pStyle w:val="PlainText"/>
        <w:spacing w:line="276" w:lineRule="auto"/>
        <w:ind w:left="4500" w:firstLine="180"/>
        <w:rPr>
          <w:rFonts w:ascii="Times New Roman" w:hAnsi="Times New Roman"/>
          <w:b/>
          <w:sz w:val="28"/>
          <w:szCs w:val="28"/>
          <w:lang w:val="ro-RO"/>
        </w:rPr>
      </w:pPr>
    </w:p>
    <w:p w:rsidR="00C01AE2" w:rsidRPr="00066867" w:rsidRDefault="00C01AE2" w:rsidP="00C01AE2">
      <w:pPr>
        <w:ind w:firstLine="720"/>
        <w:rPr>
          <w:sz w:val="28"/>
          <w:szCs w:val="28"/>
        </w:rPr>
      </w:pPr>
    </w:p>
    <w:p w:rsidR="00C01AE2" w:rsidRDefault="00C01AE2" w:rsidP="00C01AE2">
      <w:pPr>
        <w:rPr>
          <w:szCs w:val="28"/>
          <w:lang w:val="en-US"/>
        </w:rPr>
      </w:pPr>
    </w:p>
    <w:p w:rsidR="00C01AE2" w:rsidRPr="00C01AE2" w:rsidRDefault="00C01AE2" w:rsidP="00C01AE2">
      <w:pPr>
        <w:rPr>
          <w:szCs w:val="28"/>
          <w:lang w:val="en-US"/>
        </w:rPr>
      </w:pPr>
    </w:p>
    <w:sectPr w:rsidR="00C01AE2" w:rsidRPr="00C01AE2" w:rsidSect="00B6107E">
      <w:pgSz w:w="12240" w:h="15840"/>
      <w:pgMar w:top="540" w:right="810" w:bottom="81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7"/>
  <w:proofState w:spelling="clean" w:grammar="clean"/>
  <w:defaultTabStop w:val="720"/>
  <w:hyphenationZone w:val="425"/>
  <w:characterSpacingControl w:val="doNotCompress"/>
  <w:compat/>
  <w:rsids>
    <w:rsidRoot w:val="008A4E95"/>
    <w:rsid w:val="000419D7"/>
    <w:rsid w:val="0009588F"/>
    <w:rsid w:val="00151FC3"/>
    <w:rsid w:val="002027CC"/>
    <w:rsid w:val="00250FF8"/>
    <w:rsid w:val="002E53B3"/>
    <w:rsid w:val="002F7C64"/>
    <w:rsid w:val="00313A4C"/>
    <w:rsid w:val="004B34CF"/>
    <w:rsid w:val="004E3193"/>
    <w:rsid w:val="005D439D"/>
    <w:rsid w:val="006520C7"/>
    <w:rsid w:val="007302D2"/>
    <w:rsid w:val="0073145D"/>
    <w:rsid w:val="007D623C"/>
    <w:rsid w:val="008947D4"/>
    <w:rsid w:val="008A4E95"/>
    <w:rsid w:val="00901F4F"/>
    <w:rsid w:val="009B6150"/>
    <w:rsid w:val="00B043B4"/>
    <w:rsid w:val="00B3295B"/>
    <w:rsid w:val="00B6107E"/>
    <w:rsid w:val="00C01AE2"/>
    <w:rsid w:val="00C0204F"/>
    <w:rsid w:val="00C05203"/>
    <w:rsid w:val="00C82C1B"/>
    <w:rsid w:val="00CA68B7"/>
    <w:rsid w:val="00EA23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AE2"/>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webb,webb Знак Знак Знак Char Char,webb Знак,Знак Знак1,Знак Знак Знак,Normal (Web) Знак,webb Знак Знак Знак,Normal (Web) Знак Знак Знак,Знак Знак"/>
    <w:basedOn w:val="Normal"/>
    <w:link w:val="NormalWebChar"/>
    <w:uiPriority w:val="99"/>
    <w:unhideWhenUsed/>
    <w:qFormat/>
    <w:rsid w:val="009B6150"/>
    <w:pPr>
      <w:spacing w:after="200" w:line="276" w:lineRule="auto"/>
    </w:pPr>
    <w:rPr>
      <w:rFonts w:eastAsiaTheme="minorHAnsi"/>
      <w:lang w:val="ru-RU" w:eastAsia="en-US"/>
    </w:rPr>
  </w:style>
  <w:style w:type="paragraph" w:styleId="NoSpacing">
    <w:name w:val="No Spacing"/>
    <w:uiPriority w:val="1"/>
    <w:qFormat/>
    <w:rsid w:val="00B6107E"/>
    <w:pPr>
      <w:spacing w:after="0" w:line="240" w:lineRule="auto"/>
    </w:pPr>
    <w:rPr>
      <w:lang w:val="ru-RU"/>
    </w:rPr>
  </w:style>
  <w:style w:type="paragraph" w:styleId="BalloonText">
    <w:name w:val="Balloon Text"/>
    <w:basedOn w:val="Normal"/>
    <w:link w:val="BalloonTextChar"/>
    <w:uiPriority w:val="99"/>
    <w:semiHidden/>
    <w:unhideWhenUsed/>
    <w:rsid w:val="00151F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FC3"/>
    <w:rPr>
      <w:rFonts w:ascii="Segoe UI" w:hAnsi="Segoe UI" w:cs="Segoe UI"/>
      <w:sz w:val="18"/>
      <w:szCs w:val="18"/>
      <w:lang w:val="ru-RU"/>
    </w:rPr>
  </w:style>
  <w:style w:type="paragraph" w:styleId="PlainText">
    <w:name w:val="Plain Text"/>
    <w:basedOn w:val="Normal"/>
    <w:link w:val="PlainTextChar"/>
    <w:rsid w:val="00C01AE2"/>
    <w:rPr>
      <w:rFonts w:ascii="Courier New" w:hAnsi="Courier New"/>
      <w:sz w:val="20"/>
      <w:szCs w:val="20"/>
      <w:lang w:val="en-AU" w:eastAsia="en-US"/>
    </w:rPr>
  </w:style>
  <w:style w:type="character" w:customStyle="1" w:styleId="PlainTextChar">
    <w:name w:val="Plain Text Char"/>
    <w:basedOn w:val="DefaultParagraphFont"/>
    <w:link w:val="PlainText"/>
    <w:rsid w:val="00C01AE2"/>
    <w:rPr>
      <w:rFonts w:ascii="Courier New" w:eastAsia="Times New Roman" w:hAnsi="Courier New" w:cs="Times New Roman"/>
      <w:sz w:val="20"/>
      <w:szCs w:val="20"/>
      <w:lang w:val="en-AU"/>
    </w:rPr>
  </w:style>
  <w:style w:type="character" w:styleId="Hyperlink">
    <w:name w:val="Hyperlink"/>
    <w:basedOn w:val="DefaultParagraphFont"/>
    <w:unhideWhenUsed/>
    <w:rsid w:val="00C01AE2"/>
    <w:rPr>
      <w:color w:val="0000FF"/>
      <w:u w:val="single"/>
    </w:rPr>
  </w:style>
  <w:style w:type="character" w:customStyle="1" w:styleId="NormalWebChar">
    <w:name w:val="Normal (Web) Char"/>
    <w:aliases w:val="Знак Char, Знак Char,webb Знак Знак Char,webb Char,webb Знак Знак Знак Char Char Char,webb Знак Char,Знак Знак1 Char,Знак Знак Знак Char,Normal (Web) Знак Char,webb Знак Знак Знак Char,Normal (Web) Знак Знак Знак Char,Знак Знак Char"/>
    <w:link w:val="NormalWeb"/>
    <w:uiPriority w:val="99"/>
    <w:locked/>
    <w:rsid w:val="00C01AE2"/>
    <w:rPr>
      <w:rFonts w:ascii="Times New Roman" w:hAnsi="Times New Roman" w:cs="Times New Roman"/>
      <w:sz w:val="24"/>
      <w:szCs w:val="24"/>
      <w:lang w:val="ru-RU"/>
    </w:rPr>
  </w:style>
</w:styles>
</file>

<file path=word/webSettings.xml><?xml version="1.0" encoding="utf-8"?>
<w:webSettings xmlns:r="http://schemas.openxmlformats.org/officeDocument/2006/relationships" xmlns:w="http://schemas.openxmlformats.org/wordprocessingml/2006/main">
  <w:divs>
    <w:div w:id="186526873">
      <w:bodyDiv w:val="1"/>
      <w:marLeft w:val="0"/>
      <w:marRight w:val="0"/>
      <w:marTop w:val="0"/>
      <w:marBottom w:val="0"/>
      <w:divBdr>
        <w:top w:val="none" w:sz="0" w:space="0" w:color="auto"/>
        <w:left w:val="none" w:sz="0" w:space="0" w:color="auto"/>
        <w:bottom w:val="none" w:sz="0" w:space="0" w:color="auto"/>
        <w:right w:val="none" w:sz="0" w:space="0" w:color="auto"/>
      </w:divBdr>
    </w:div>
    <w:div w:id="455174312">
      <w:bodyDiv w:val="1"/>
      <w:marLeft w:val="0"/>
      <w:marRight w:val="0"/>
      <w:marTop w:val="0"/>
      <w:marBottom w:val="0"/>
      <w:divBdr>
        <w:top w:val="none" w:sz="0" w:space="0" w:color="auto"/>
        <w:left w:val="none" w:sz="0" w:space="0" w:color="auto"/>
        <w:bottom w:val="none" w:sz="0" w:space="0" w:color="auto"/>
        <w:right w:val="none" w:sz="0" w:space="0" w:color="auto"/>
      </w:divBdr>
    </w:div>
    <w:div w:id="477461959">
      <w:bodyDiv w:val="1"/>
      <w:marLeft w:val="0"/>
      <w:marRight w:val="0"/>
      <w:marTop w:val="0"/>
      <w:marBottom w:val="0"/>
      <w:divBdr>
        <w:top w:val="none" w:sz="0" w:space="0" w:color="auto"/>
        <w:left w:val="none" w:sz="0" w:space="0" w:color="auto"/>
        <w:bottom w:val="none" w:sz="0" w:space="0" w:color="auto"/>
        <w:right w:val="none" w:sz="0" w:space="0" w:color="auto"/>
      </w:divBdr>
    </w:div>
    <w:div w:id="937983426">
      <w:bodyDiv w:val="1"/>
      <w:marLeft w:val="0"/>
      <w:marRight w:val="0"/>
      <w:marTop w:val="0"/>
      <w:marBottom w:val="0"/>
      <w:divBdr>
        <w:top w:val="none" w:sz="0" w:space="0" w:color="auto"/>
        <w:left w:val="none" w:sz="0" w:space="0" w:color="auto"/>
        <w:bottom w:val="none" w:sz="0" w:space="0" w:color="auto"/>
        <w:right w:val="none" w:sz="0" w:space="0" w:color="auto"/>
      </w:divBdr>
    </w:div>
    <w:div w:id="1236555074">
      <w:bodyDiv w:val="1"/>
      <w:marLeft w:val="0"/>
      <w:marRight w:val="0"/>
      <w:marTop w:val="0"/>
      <w:marBottom w:val="0"/>
      <w:divBdr>
        <w:top w:val="none" w:sz="0" w:space="0" w:color="auto"/>
        <w:left w:val="none" w:sz="0" w:space="0" w:color="auto"/>
        <w:bottom w:val="none" w:sz="0" w:space="0" w:color="auto"/>
        <w:right w:val="none" w:sz="0" w:space="0" w:color="auto"/>
      </w:divBdr>
    </w:div>
    <w:div w:id="124872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f.gov.md/ro/transparen&#539;a-decizional&#259;/procesul-deciz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2650</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Nedelea Valeria</dc:creator>
  <cp:lastModifiedBy>balannadej</cp:lastModifiedBy>
  <cp:revision>2</cp:revision>
  <cp:lastPrinted>2017-08-17T12:13:00Z</cp:lastPrinted>
  <dcterms:created xsi:type="dcterms:W3CDTF">2017-08-22T11:56:00Z</dcterms:created>
  <dcterms:modified xsi:type="dcterms:W3CDTF">2017-08-22T11:56:00Z</dcterms:modified>
</cp:coreProperties>
</file>